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M L O U V Y O D Í L O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647/2023</w:t>
      </w:r>
      <w:bookmarkEnd w:id="0"/>
      <w:bookmarkEnd w:id="1"/>
      <w:bookmarkEnd w:id="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 H23-021-2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„VD Stráž pod Ralskem - odstranění závad“ – projektová dokumentace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(DSP/DPS)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byla uzavřena mezi:</w:t>
      </w:r>
    </w:p>
    <w:tbl>
      <w:tblPr>
        <w:tblOverlap w:val="never"/>
        <w:jc w:val="center"/>
        <w:tblLayout w:type="fixed"/>
      </w:tblPr>
      <w:tblGrid>
        <w:gridCol w:w="3322"/>
        <w:gridCol w:w="5616"/>
      </w:tblGrid>
      <w:tr>
        <w:trPr>
          <w:trHeight w:val="13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 statutární orgán: oprávněn k podpisu smlouvy a k jednání o věcech 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0" w:right="0" w:firstLine="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Povodí Ohře, státní podnik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Bezručova 4219, 430 03 Chomutov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 jednat o věcech technických: zástupce objednatele:</w:t>
      </w:r>
      <w:bookmarkEnd w:id="3"/>
    </w:p>
    <w:p>
      <w:pPr>
        <w:widowControl w:val="0"/>
        <w:spacing w:after="219" w:line="1" w:lineRule="exact"/>
      </w:pPr>
    </w:p>
    <w:tbl>
      <w:tblPr>
        <w:tblOverlap w:val="never"/>
        <w:jc w:val="center"/>
        <w:tblLayout w:type="fixed"/>
      </w:tblPr>
      <w:tblGrid>
        <w:gridCol w:w="3322"/>
        <w:gridCol w:w="5616"/>
      </w:tblGrid>
      <w:tr>
        <w:trPr>
          <w:trHeight w:val="11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bankovní spojení: číslo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70889988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CZ70889988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v obchodním rejstříku: u Krajského soudu v Ústí nad Labem v oddílu A, vložce č. 13052</w:t>
      </w:r>
    </w:p>
    <w:p>
      <w:pPr>
        <w:widowControl w:val="0"/>
        <w:spacing w:after="17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„objednatel“)</w:t>
      </w:r>
    </w:p>
    <w:tbl>
      <w:tblPr>
        <w:tblOverlap w:val="never"/>
        <w:jc w:val="center"/>
        <w:tblLayout w:type="fixed"/>
      </w:tblPr>
      <w:tblGrid>
        <w:gridCol w:w="3322"/>
        <w:gridCol w:w="5621"/>
      </w:tblGrid>
      <w:tr>
        <w:trPr>
          <w:trHeight w:val="20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Zhotovitel: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 IČO: DIČ: zástupce ve věcech smluvních: zástupce ve věcech 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HG partner s.r.o.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Smetanova 200, 250 82 Úvaly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272 212 53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 272 212 53</w:t>
            </w:r>
          </w:p>
        </w:tc>
      </w:tr>
      <w:tr>
        <w:trPr>
          <w:trHeight w:val="12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účtu: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obchodním rejstříku: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Městský soud v Praze, v oddíl C, vložka č. 105510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8"/>
          <w:pgMar w:top="1560" w:left="1394" w:right="1572" w:bottom="1560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„zhotovitel“) na straně druhé.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336" w:lineRule="auto"/>
        <w:ind w:left="0" w:right="0" w:firstLine="6480"/>
        <w:jc w:val="both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Dodatek č. 3 k SoD 647/2023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podkladě skutečností, které se vyskytly v průběhu plnění této smlouvy, přičemž jejich zajištění je podmínkou pro řádné dokončení díla, se smluvní strany dohodly ve smyslu příslušných smluvních ustanovení na uzavření tohoto dodatku.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0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uzavírán z důvodu změny technického řešení na základě výstupů ze stavebně technického průzkumu a po odsouhlasení na výrobním výboru. Vzrostly náklady na zásah do návodního líce díky rozšíření úpravy na celkové přesvahování líce hráze a doplnění nového opevnění.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dodatkem se mění Čl. I. PŘEDMĚT SMLOUVY A PŘEDMĚT DÍLA; Čl. IV. CENA a Čl. V. PLATEBNÍ PODMÍNKY.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znění:</w:t>
      </w:r>
    </w:p>
    <w:p>
      <w:pPr>
        <w:pStyle w:val="Style2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510" w:val="left"/>
        </w:tabs>
        <w:bidi w:val="0"/>
        <w:spacing w:before="0" w:after="740" w:line="240" w:lineRule="auto"/>
        <w:ind w:left="2140" w:right="0" w:firstLine="0"/>
        <w:jc w:val="both"/>
      </w:pPr>
      <w:bookmarkStart w:id="4" w:name="bookmark4"/>
      <w:bookmarkStart w:id="5" w:name="bookmark5"/>
      <w:bookmarkStart w:id="6" w:name="bookmark6"/>
      <w:bookmarkStart w:id="7" w:name="bookmark7"/>
      <w:bookmarkEnd w:id="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 A PŘEDMĚT DÍLA</w:t>
      </w:r>
      <w:bookmarkEnd w:id="4"/>
      <w:bookmarkEnd w:id="5"/>
      <w:bookmarkEnd w:id="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PRAVÉ ČÁSTI HRÁZE A NAVAZUJÍCÍHO PRAVÉHO BŘEHU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pravé části hráze se po celé ploše návodního svahu nachází místně poškozené spárování kamenného opevnění na cementovou maltu (kaverny, trhliny).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LEVÉ ČÁSTI HRÁZE A NAVAZUJÍCÍHO LEVÉHO BŘEHU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levé části hráze se po celé ploše návodního svahu nachází místně poškozené spárování kamenného opevnění na cementovou maltu (kaverny, trhliny).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NÁVODNÍ SVAH HRÁZE NAD ÚPRAVOU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Zpevnění svahu pro možnost technické údržby.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Nové znění: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740" w:line="240" w:lineRule="auto"/>
        <w:ind w:left="2140" w:right="0" w:firstLine="0"/>
        <w:jc w:val="both"/>
      </w:pPr>
      <w:bookmarkStart w:id="10" w:name="bookmark10"/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 PŘEDMĚT SMLOUVY A PŘEDMĚT DÍLA</w:t>
      </w:r>
      <w:bookmarkEnd w:id="10"/>
      <w:bookmarkEnd w:id="11"/>
      <w:bookmarkEnd w:id="1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PRAVÉ ČÁSTI HRÁZE A NAVAZUJÍCÍHO PRAVÉHO BŘEHU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pravé části hráze se po celé ploše návodního svahu nachází místně poškozené spárování kamenného opevnění na cementovou maltu (kaverny, trhliny). Původní opevnění bude rozebráno. Dojde k celkovému přesvahování líce a doplnění nového opevnění návodního líce.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OPEVNĚNÍ LEVÉ ČÁSTI HRÁZE A NAVAZUJÍCÍHO LEVÉHO BŘEHU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levé části hráze se po celé ploše návodního svahu nachází místně poškozené spárování kamenného opevnění na cementovou maltu (kaverny, trhliny). Původní opevnění bude rozebráno. Dojde k celkovému přesvahování líce a doplnění nového opevnění návodního líce.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NÁVODNÍ SVAH HRÁZE NAD ÚPRAVOU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9" w:h="16838"/>
          <w:pgMar w:top="657" w:left="1394" w:right="1389" w:bottom="1420" w:header="229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Sklon svahu bude zmírněn společně s celkovým přesvahováním návodního líce.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38125" distL="0" distR="0" simplePos="0" relativeHeight="125829378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0</wp:posOffset>
                </wp:positionV>
                <wp:extent cx="1027430" cy="2374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Původní znění: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9.700000000000003pt;margin-top:0;width:80.900000000000006pt;height:18.699999999999999pt;z-index:-125829375;mso-wrap-distance-left:0;mso-wrap-distance-right:0;mso-wrap-distance-bottom:18.7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Původní znění: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1290" distB="76835" distL="0" distR="0" simplePos="0" relativeHeight="125829380" behindDoc="0" locked="0" layoutInCell="1" allowOverlap="1">
                <wp:simplePos x="0" y="0"/>
                <wp:positionH relativeFrom="page">
                  <wp:posOffset>3345180</wp:posOffset>
                </wp:positionH>
                <wp:positionV relativeFrom="paragraph">
                  <wp:posOffset>161290</wp:posOffset>
                </wp:positionV>
                <wp:extent cx="1136650" cy="2374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3" w:name="bookmark13"/>
                            <w:bookmarkStart w:id="14" w:name="bookmark14"/>
                            <w:bookmarkStart w:id="15" w:name="bookmark1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IV. CENA</w:t>
                            </w:r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3.39999999999998pt;margin-top:12.700000000000001pt;width:89.5pt;height:18.699999999999999pt;z-index:-125829373;mso-wrap-distance-left:0;mso-wrap-distance-top:12.700000000000001pt;mso-wrap-distance-right:0;mso-wrap-distance-bottom:6.0499999999999998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3" w:name="bookmark13"/>
                      <w:bookmarkStart w:id="14" w:name="bookmark14"/>
                      <w:bookmarkStart w:id="15" w:name="bookmark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CENA</w:t>
                      </w:r>
                      <w:bookmarkEnd w:id="13"/>
                      <w:bookmarkEnd w:id="14"/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Cena díla zahrnuje veškeré náklady zhotovitele související s realizací díla, navyšuje se 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13 700 Kč bez DPH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činí celkem: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139 700,- Kč bez DPH.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ceny díla může být změněna jen písemnou dohodou objednatele a zhotovitele formou dodatku ke smlouvě o dílo, a to pouze a jen v důsledku mimořádných nepředvídatelných okolností, které se vyskytly v průběhu provádění prací na díle.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20" w:line="286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749300</wp:posOffset>
                </wp:positionV>
                <wp:extent cx="819785" cy="23749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Nové znění: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9.700000000000003pt;margin-top:59.pt;width:64.549999999999997pt;height:18.6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Nové znění: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prohlašují, že touto smlouvou sjednaná cena za provedení díla není považována za skutečnost tvořící obchodní tajemství ve smyslu ustanovení § 504 zákona č. 89/2012 Sb., občanského zákoníku.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16" w:name="bookmark16"/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 CENA</w:t>
      </w:r>
      <w:bookmarkEnd w:id="16"/>
      <w:bookmarkEnd w:id="17"/>
      <w:bookmarkEnd w:id="1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Cena díla zahrnuje veškeré náklady zhotovitele související s realizací díla, navyšuje se 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45 600 Kč bez DPH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činí celkem: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185 300,- Kč bez DPH.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ceny díla může být změněna jen písemnou dohodou objednatele a zhotovitele formou dodatku ke smlouvě o dílo, a to pouze a jen v důsledku mimořádných nepředvídatelných okolností, které se vyskytly v průběhu provádění prací na díle.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6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prohlašují, že touto smlouvou sjednaná cena za provedení díla není považována za skutečnost tvořící obchodní tajemství ve smyslu ustanovení § 504 zákona č. 89/2012 Sb., občanského zákoníku.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znění: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bookmarkStart w:id="19" w:name="bookmark19"/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. PLATEBNÍ PODMÍNKY</w:t>
      </w:r>
      <w:bookmarkEnd w:id="19"/>
      <w:bookmarkEnd w:id="20"/>
      <w:bookmarkEnd w:id="2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bude provedena následovně: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6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V případě prvního dílčího plnění dnem protokolárního předání a převzetí kompletní PD ve výši 80 % z částky 139 700,- Kč,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tj. 111 760,- Kč bez DPH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6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b) V případě celkového plnění dnem podpisu „Rozhodnutí“ o schválení PD stupně generálním ředitelem Povodí Ohře, s. p., po předchozím projednání v dokumentační komisi ve výši zbývajících 20 % z částky 139 700,- Kč,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tj. 27 940,- Kč bez DPH.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Schválení PD v DK je povinen objednatel oznámit zhotoviteli do 5 pracovních dnů po podpisu Rozhodnutí generálním ředitelem Povodí Ohře, s. p.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2700" distL="0" distR="0" simplePos="0" relativeHeight="125829384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0</wp:posOffset>
                </wp:positionV>
                <wp:extent cx="816610" cy="2374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Nové znění: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1.049999999999997pt;margin-top:0;width:64.299999999999997pt;height:18.699999999999999pt;z-index:-125829369;mso-wrap-distance-left:0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Nové znění: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. PLATEBNÍ PODMÍNKY</w:t>
      </w:r>
      <w:bookmarkEnd w:id="22"/>
      <w:bookmarkEnd w:id="23"/>
      <w:bookmarkEnd w:id="2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bude provedena následovně: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V případě prvního dílčího plnění dnem protokolárního předání a převzetí kompletní PD ve výši 80 % z částky 185 300,- Kč,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tj. 148 240,- Kč bez DPH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7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b) V případě celkového plnění dnem podpisu „Rozhodnutí“ o schválení PD stupně generálním ředitelem Povodí Ohře, s. p., po předchozím projednání v dokumentační komisi ve výši zbývajících 20 % z částky 185 300,- Kč,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tj. 37 060,- Kč bez DPH.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Schválení PD v DK je povinen objednatel oznámit zhotoviteli do 5 pracovních dnů po podpisu Rozhodnutí generálním ředitelem Povodí Ohře, s. 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 DODATKU Č. 3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7" w:val="left"/>
        </w:tabs>
        <w:bidi w:val="0"/>
        <w:spacing w:before="0" w:line="240" w:lineRule="auto"/>
        <w:ind w:left="0" w:right="0" w:firstLine="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předmětné smlouvy zůstávají beze změn.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7" w:val="left"/>
        </w:tabs>
        <w:bidi w:val="0"/>
        <w:spacing w:before="0" w:line="240" w:lineRule="auto"/>
        <w:ind w:left="380" w:right="0" w:hanging="38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svědectví tohoto smluvní strany tímto podepisují tento dodatek ke smlouvě. Dodatek je vyhotoven ve dvou vyhotoveních, z nichž každé má platnost originálu.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7" w:val="left"/>
        </w:tabs>
        <w:bidi w:val="0"/>
        <w:spacing w:before="0" w:line="240" w:lineRule="auto"/>
        <w:ind w:left="0" w:right="0" w:firstLine="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nepovažují žádné ustanovení smlouvy za obchodní tajemství.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7" w:val="left"/>
        </w:tabs>
        <w:bidi w:val="0"/>
        <w:spacing w:before="0" w:after="700" w:line="240" w:lineRule="auto"/>
        <w:ind w:left="380" w:right="0" w:hanging="38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ke smlouvě nabývá platnosti dnem jeho podpisu poslední ze smluvních stran a účinnosti zveřejněním v Registru smluv, pokud této účinnosti dle příslušných ustanovení smlouvy nenabude později.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</w:footnotePr>
          <w:pgSz w:w="11909" w:h="16838"/>
          <w:pgMar w:top="1277" w:left="1394" w:right="1389" w:bottom="265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12700</wp:posOffset>
                </wp:positionV>
                <wp:extent cx="960120" cy="22860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Úvalech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17.40000000000003pt;margin-top:1.pt;width:75.600000000000009pt;height:18.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Úvalech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Chomutově dne: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" w:after="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531" w:left="0" w:right="0" w:bottom="1531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 investiční ředitel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Povodí Ohře, státní podnik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…………………………………….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jednatel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HG partner s.r.o.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531" w:left="1394" w:right="2364" w:bottom="1531" w:header="0" w:footer="3" w:gutter="0"/>
      <w:cols w:num="2" w:space="1757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9789795</wp:posOffset>
              </wp:positionV>
              <wp:extent cx="673735" cy="1644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73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71.69999999999999pt;margin-top:770.85000000000002pt;width:53.050000000000004pt;height:12.9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9789795</wp:posOffset>
              </wp:positionV>
              <wp:extent cx="673735" cy="1644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73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71.69999999999999pt;margin-top:770.85000000000002pt;width:53.050000000000004pt;height:12.9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9789795</wp:posOffset>
              </wp:positionV>
              <wp:extent cx="673735" cy="16446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735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71.69999999999999pt;margin-top:770.85000000000002pt;width:53.050000000000004pt;height:12.9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5006340</wp:posOffset>
              </wp:positionH>
              <wp:positionV relativeFrom="page">
                <wp:posOffset>435610</wp:posOffset>
              </wp:positionV>
              <wp:extent cx="1654810" cy="1739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54810" cy="1739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Dodatek č. 3 k SoD 647/2023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4.19999999999999pt;margin-top:34.300000000000004pt;width:130.30000000000001pt;height:13.7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Dodatek č. 3 k SoD 647/2023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5006340</wp:posOffset>
              </wp:positionH>
              <wp:positionV relativeFrom="page">
                <wp:posOffset>435610</wp:posOffset>
              </wp:positionV>
              <wp:extent cx="1654810" cy="1739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54810" cy="1739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Dodatek č. 3 k SoD 647/2023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94.19999999999999pt;margin-top:34.300000000000004pt;width:130.30000000000001pt;height:13.7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Dodatek č. 3 k SoD 647/2023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V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DefaultParagraphFont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9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Style 22"/>
    <w:basedOn w:val="Normal"/>
    <w:link w:val="CharStyle23"/>
    <w:pPr>
      <w:widowControl w:val="0"/>
      <w:shd w:val="clear" w:color="auto" w:fill="FFFFFF"/>
      <w:spacing w:after="57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S M L O U V A   O   D Í L O</dc:title>
  <dc:subject/>
  <dc:creator>RMiskovska</dc:creator>
  <cp:keywords/>
</cp:coreProperties>
</file>