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011C6" w14:textId="04A0C542" w:rsidR="00E76CE9" w:rsidRDefault="006B03B0" w:rsidP="006B03B0">
      <w:pPr>
        <w:spacing w:after="240" w:line="259" w:lineRule="auto"/>
        <w:ind w:left="0" w:right="86" w:firstLine="0"/>
        <w:jc w:val="center"/>
      </w:pPr>
      <w:r>
        <w:t xml:space="preserve">                                                                                                           49/2023/TPP</w:t>
      </w:r>
    </w:p>
    <w:p w14:paraId="6396A8E0" w14:textId="77777777" w:rsidR="00E76CE9" w:rsidRDefault="0019638D" w:rsidP="006B03B0">
      <w:pPr>
        <w:spacing w:after="208" w:line="216" w:lineRule="auto"/>
        <w:ind w:left="1838" w:right="1718" w:firstLine="0"/>
      </w:pPr>
      <w:r>
        <w:rPr>
          <w:sz w:val="30"/>
        </w:rPr>
        <w:t>DODATEK č. 2 ke smlouvě o dodávce a odběru tepelné energie číslo smlouvy 49/2023/ TPP</w:t>
      </w:r>
    </w:p>
    <w:p w14:paraId="25D99250" w14:textId="77777777" w:rsidR="00E76CE9" w:rsidRDefault="0019638D">
      <w:pPr>
        <w:spacing w:after="261" w:line="216" w:lineRule="auto"/>
        <w:ind w:left="163" w:right="4540" w:hanging="10"/>
        <w:jc w:val="left"/>
      </w:pPr>
      <w:r>
        <w:rPr>
          <w:sz w:val="24"/>
        </w:rPr>
        <w:t>SMLUVNÍ STRANY:</w:t>
      </w:r>
    </w:p>
    <w:p w14:paraId="26CEC0FC" w14:textId="77777777" w:rsidR="00E76CE9" w:rsidRPr="00E06A07" w:rsidRDefault="0019638D">
      <w:pPr>
        <w:spacing w:after="3" w:line="265" w:lineRule="auto"/>
        <w:ind w:left="153" w:right="0" w:hanging="10"/>
        <w:jc w:val="left"/>
        <w:rPr>
          <w:b/>
          <w:bCs/>
        </w:rPr>
      </w:pPr>
      <w:r w:rsidRPr="00E06A07">
        <w:rPr>
          <w:b/>
          <w:bCs/>
          <w:sz w:val="26"/>
        </w:rPr>
        <w:t>Teplo pro Prahu, a.s.</w:t>
      </w:r>
      <w:r w:rsidRPr="00E06A07">
        <w:rPr>
          <w:b/>
          <w:bCs/>
          <w:noProof/>
        </w:rPr>
        <w:drawing>
          <wp:inline distT="0" distB="0" distL="0" distR="0" wp14:anchorId="1CDA9D7D" wp14:editId="09D886CD">
            <wp:extent cx="3048" cy="3049"/>
            <wp:effectExtent l="0" t="0" r="0" b="0"/>
            <wp:docPr id="1638" name="Picture 1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Picture 16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46AE" w14:textId="77777777" w:rsidR="00E76CE9" w:rsidRDefault="0019638D">
      <w:pPr>
        <w:spacing w:after="240"/>
        <w:ind w:left="153" w:right="71"/>
      </w:pPr>
      <w:r>
        <w:t xml:space="preserve">se </w:t>
      </w:r>
      <w:r>
        <w:t>sídlem U plynárny, Praha 4, 140 00 Praha 4 IČO: 171 38 558 DIČ a17138558 zapsaná v obchodním rejstříku vedeném Městským soudem v Praze, oddíl B, vložka 27282 zastoupena Mgr. Petrem Dolejšem, předsedou představenstva a Ing. Martinem Patočkou, členem představenstva</w:t>
      </w:r>
    </w:p>
    <w:p w14:paraId="587A77D2" w14:textId="77777777" w:rsidR="00E76CE9" w:rsidRDefault="0019638D">
      <w:pPr>
        <w:spacing w:after="1" w:line="216" w:lineRule="auto"/>
        <w:ind w:left="4631" w:right="4540" w:hanging="4478"/>
        <w:jc w:val="left"/>
        <w:rPr>
          <w:sz w:val="24"/>
        </w:rPr>
      </w:pPr>
      <w:r>
        <w:rPr>
          <w:sz w:val="24"/>
        </w:rPr>
        <w:t>(dále jen „dodavatel nebo také TPP”) a</w:t>
      </w:r>
    </w:p>
    <w:p w14:paraId="32AE57A0" w14:textId="77777777" w:rsidR="00E06A07" w:rsidRDefault="00E06A07">
      <w:pPr>
        <w:spacing w:after="1" w:line="216" w:lineRule="auto"/>
        <w:ind w:left="4631" w:right="4540" w:hanging="4478"/>
        <w:jc w:val="left"/>
      </w:pPr>
    </w:p>
    <w:p w14:paraId="2C928315" w14:textId="77777777" w:rsidR="00E06A07" w:rsidRPr="00E06A07" w:rsidRDefault="0019638D">
      <w:pPr>
        <w:spacing w:after="228"/>
        <w:ind w:left="153" w:right="71"/>
        <w:rPr>
          <w:b/>
          <w:bCs/>
          <w:sz w:val="26"/>
        </w:rPr>
      </w:pPr>
      <w:r w:rsidRPr="00E06A07">
        <w:rPr>
          <w:b/>
          <w:bCs/>
          <w:sz w:val="26"/>
        </w:rPr>
        <w:t xml:space="preserve">Národní muzeum </w:t>
      </w:r>
    </w:p>
    <w:p w14:paraId="6D53A1BB" w14:textId="5D2D43E5" w:rsidR="00E76CE9" w:rsidRDefault="0019638D">
      <w:pPr>
        <w:spacing w:after="228"/>
        <w:ind w:left="153" w:right="71"/>
      </w:pPr>
      <w:r>
        <w:t>příspěvková organizace nepodléhající zápisu do obchodního rejstříku, zřízená Ministerstvem kultury ČR, Zřizovací listina č. j. 17461/2000 ve znění pozdějších změn a doplňků se sídlem Praha 1, Václavské náměstí 1700/68, PSČ: 115 79 IČO: 00023272 DIČ: CZ00023272 zastoupeno generálním ředitelem PhDr. Michalem Lukešem, Ph.D.</w:t>
      </w:r>
    </w:p>
    <w:p w14:paraId="3C707919" w14:textId="2490FEBE" w:rsidR="00E76CE9" w:rsidRDefault="0019638D">
      <w:pPr>
        <w:spacing w:after="430" w:line="265" w:lineRule="auto"/>
        <w:ind w:left="153" w:right="0" w:hanging="1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97C4363" wp14:editId="69899497">
            <wp:simplePos x="0" y="0"/>
            <wp:positionH relativeFrom="page">
              <wp:posOffset>3797808</wp:posOffset>
            </wp:positionH>
            <wp:positionV relativeFrom="page">
              <wp:posOffset>10454573</wp:posOffset>
            </wp:positionV>
            <wp:extent cx="3048" cy="3048"/>
            <wp:effectExtent l="0" t="0" r="0" b="0"/>
            <wp:wrapTopAndBottom/>
            <wp:docPr id="1641" name="Picture 1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Picture 16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(</w:t>
      </w:r>
      <w:r w:rsidRPr="00E06A07">
        <w:t>dále jen „odběratel”)</w:t>
      </w:r>
    </w:p>
    <w:p w14:paraId="41E278CB" w14:textId="6DEBB2CB" w:rsidR="00E76CE9" w:rsidRDefault="0019638D">
      <w:pPr>
        <w:spacing w:after="403" w:line="265" w:lineRule="auto"/>
        <w:ind w:left="153" w:right="0" w:hanging="10"/>
        <w:jc w:val="left"/>
      </w:pPr>
      <w:r w:rsidRPr="00E06A07">
        <w:t>(dále také jen „smluvní strany</w:t>
      </w:r>
      <w:r w:rsidR="00D834EB">
        <w:t>“)</w:t>
      </w:r>
    </w:p>
    <w:p w14:paraId="2840CCE1" w14:textId="77777777" w:rsidR="00E76CE9" w:rsidRPr="007B5BEA" w:rsidRDefault="0019638D">
      <w:pPr>
        <w:spacing w:after="0" w:line="259" w:lineRule="auto"/>
        <w:ind w:left="92" w:right="14" w:hanging="10"/>
        <w:jc w:val="center"/>
        <w:rPr>
          <w:b/>
          <w:bCs/>
        </w:rPr>
      </w:pPr>
      <w:r w:rsidRPr="007B5BEA">
        <w:rPr>
          <w:b/>
          <w:bCs/>
          <w:sz w:val="26"/>
        </w:rPr>
        <w:t>Článek 1</w:t>
      </w:r>
    </w:p>
    <w:p w14:paraId="59009201" w14:textId="77777777" w:rsidR="00E76CE9" w:rsidRPr="007B5BEA" w:rsidRDefault="0019638D">
      <w:pPr>
        <w:spacing w:after="145" w:line="259" w:lineRule="auto"/>
        <w:ind w:left="92" w:right="10" w:hanging="10"/>
        <w:jc w:val="center"/>
        <w:rPr>
          <w:b/>
          <w:bCs/>
        </w:rPr>
      </w:pPr>
      <w:r w:rsidRPr="007B5BEA">
        <w:rPr>
          <w:b/>
          <w:bCs/>
          <w:sz w:val="26"/>
        </w:rPr>
        <w:t>ÚVODNÍ USTANOVENÍ</w:t>
      </w:r>
    </w:p>
    <w:p w14:paraId="05EE0809" w14:textId="77777777" w:rsidR="00E76CE9" w:rsidRDefault="0019638D">
      <w:pPr>
        <w:spacing w:after="465"/>
        <w:ind w:left="153" w:right="71"/>
      </w:pPr>
      <w:r>
        <w:t xml:space="preserve">Smluvní strany uzavírají níže </w:t>
      </w:r>
      <w:r>
        <w:t>uvedeného dne, měsíce a roku uzavírají tento Dodatek č. 2 (dále jen „Dodatek”) ke Smlouvě o dodávce a odběru tepelné energie číslo 49/2023/TPP ze dne 31. 10. 2023 dle čl. 6 odst. 6.5 (dále jen „Smlouva”) následujícího znění.</w:t>
      </w:r>
    </w:p>
    <w:p w14:paraId="17B6E251" w14:textId="77777777" w:rsidR="00E76CE9" w:rsidRPr="007B5BEA" w:rsidRDefault="0019638D">
      <w:pPr>
        <w:spacing w:after="0" w:line="259" w:lineRule="auto"/>
        <w:ind w:left="92" w:right="24" w:hanging="10"/>
        <w:jc w:val="center"/>
        <w:rPr>
          <w:b/>
          <w:bCs/>
        </w:rPr>
      </w:pPr>
      <w:r w:rsidRPr="007B5BEA">
        <w:rPr>
          <w:b/>
          <w:bCs/>
          <w:sz w:val="26"/>
        </w:rPr>
        <w:t>Článek 2</w:t>
      </w:r>
    </w:p>
    <w:p w14:paraId="5E14F4DF" w14:textId="77777777" w:rsidR="00E76CE9" w:rsidRPr="007B5BEA" w:rsidRDefault="0019638D">
      <w:pPr>
        <w:spacing w:after="281" w:line="259" w:lineRule="auto"/>
        <w:ind w:left="92" w:right="34" w:hanging="10"/>
        <w:jc w:val="center"/>
        <w:rPr>
          <w:b/>
          <w:bCs/>
        </w:rPr>
      </w:pPr>
      <w:r w:rsidRPr="007B5BEA">
        <w:rPr>
          <w:b/>
          <w:bCs/>
          <w:sz w:val="26"/>
        </w:rPr>
        <w:t>PŘEDMĚT DODATKU</w:t>
      </w:r>
    </w:p>
    <w:p w14:paraId="6502F8BC" w14:textId="77777777" w:rsidR="00E76CE9" w:rsidRPr="00D834EB" w:rsidRDefault="0019638D">
      <w:pPr>
        <w:numPr>
          <w:ilvl w:val="0"/>
          <w:numId w:val="1"/>
        </w:numPr>
        <w:spacing w:after="3" w:line="265" w:lineRule="auto"/>
        <w:ind w:right="0" w:hanging="350"/>
        <w:jc w:val="left"/>
        <w:rPr>
          <w:b/>
          <w:bCs/>
        </w:rPr>
      </w:pPr>
      <w:r w:rsidRPr="00D834EB">
        <w:rPr>
          <w:b/>
          <w:bCs/>
          <w:sz w:val="26"/>
        </w:rPr>
        <w:t>Článek 4., odst. 4.1 Smlouvy, který zní:</w:t>
      </w:r>
    </w:p>
    <w:p w14:paraId="3E0D2973" w14:textId="77777777" w:rsidR="00E76CE9" w:rsidRDefault="0019638D">
      <w:pPr>
        <w:spacing w:after="40" w:line="216" w:lineRule="auto"/>
        <w:ind w:left="494" w:right="52" w:firstLine="0"/>
      </w:pPr>
      <w:r>
        <w:t>Smlouva se sjednává na dobu neurčitou s termínem zahájení od 1.11.2023.</w:t>
      </w:r>
    </w:p>
    <w:p w14:paraId="19FC02DC" w14:textId="77777777" w:rsidR="00E76CE9" w:rsidRDefault="0019638D">
      <w:pPr>
        <w:spacing w:after="3" w:line="265" w:lineRule="auto"/>
        <w:ind w:left="153" w:right="0" w:hanging="10"/>
        <w:jc w:val="left"/>
      </w:pPr>
      <w:r w:rsidRPr="00D834EB">
        <w:rPr>
          <w:b/>
          <w:bCs/>
          <w:sz w:val="26"/>
        </w:rPr>
        <w:t>je v plném rozsahu nahrazen</w:t>
      </w:r>
      <w:r>
        <w:rPr>
          <w:sz w:val="26"/>
        </w:rPr>
        <w:t>:</w:t>
      </w:r>
    </w:p>
    <w:p w14:paraId="740682D7" w14:textId="5C13BBDA" w:rsidR="00E76CE9" w:rsidRDefault="0019638D">
      <w:pPr>
        <w:spacing w:after="121" w:line="216" w:lineRule="auto"/>
        <w:ind w:left="494" w:right="52" w:firstLine="0"/>
      </w:pPr>
      <w:r>
        <w:t>Sm</w:t>
      </w:r>
      <w:r w:rsidR="0091037C">
        <w:t>l</w:t>
      </w:r>
      <w:r>
        <w:t>ouva se sjednává na dobu neurčitou s termínem zahájení od 1.11.2023,</w:t>
      </w:r>
      <w:r w:rsidR="00257746">
        <w:t xml:space="preserve"> </w:t>
      </w:r>
      <w:r>
        <w:t>Sm</w:t>
      </w:r>
      <w:r w:rsidR="0091037C">
        <w:t>l</w:t>
      </w:r>
      <w:r>
        <w:t>uv</w:t>
      </w:r>
      <w:r w:rsidR="0091037C">
        <w:t>ní</w:t>
      </w:r>
      <w:r>
        <w:t xml:space="preserve"> strany se dohod/% že dodávka teplené energie na období</w:t>
      </w:r>
      <w:r w:rsidR="0091037C">
        <w:t xml:space="preserve"> </w:t>
      </w:r>
      <w:r>
        <w:t>od 1.11.2023 do 31, 1.2024 bude za</w:t>
      </w:r>
      <w:r w:rsidR="0091037C">
        <w:t>jiš</w:t>
      </w:r>
      <w:r>
        <w:t>t</w:t>
      </w:r>
      <w:r w:rsidR="0091037C">
        <w:t>ě</w:t>
      </w:r>
      <w:r>
        <w:t>na výrobou ze stávajícího energetického zdroje. Dodávka tepelné energie od 1.2.2024 bude zajištěna z nového zdroje ve vlastnictví dodavatele.</w:t>
      </w:r>
    </w:p>
    <w:p w14:paraId="38D678E7" w14:textId="77777777" w:rsidR="00E76CE9" w:rsidRPr="00D834EB" w:rsidRDefault="0019638D">
      <w:pPr>
        <w:numPr>
          <w:ilvl w:val="0"/>
          <w:numId w:val="1"/>
        </w:numPr>
        <w:spacing w:after="3" w:line="265" w:lineRule="auto"/>
        <w:ind w:right="0" w:hanging="350"/>
        <w:jc w:val="left"/>
        <w:rPr>
          <w:b/>
          <w:bCs/>
        </w:rPr>
      </w:pPr>
      <w:r w:rsidRPr="00D834EB">
        <w:rPr>
          <w:b/>
          <w:bCs/>
          <w:sz w:val="26"/>
        </w:rPr>
        <w:t>Článek 5. odst. 5.1 Smlouvy, který zní:</w:t>
      </w:r>
    </w:p>
    <w:p w14:paraId="16E90711" w14:textId="580EC0C9" w:rsidR="00E76CE9" w:rsidRDefault="0019638D">
      <w:pPr>
        <w:ind w:left="571" w:right="71"/>
      </w:pPr>
      <w:r>
        <w:t>Smluvní strany se dohody, že 38 % dodávky tepelné energie bude vyúčtováno odběrateli a 62 % dodávky tepelné energie bude vyúčtováno společnosti Aktiva Praha, spo</w:t>
      </w:r>
      <w:r w:rsidR="0091037C">
        <w:t>l.</w:t>
      </w:r>
      <w:r>
        <w:t xml:space="preserve"> s r.o. IČ: 18628117,</w:t>
      </w:r>
      <w:r>
        <w:rPr>
          <w:noProof/>
        </w:rPr>
        <w:drawing>
          <wp:inline distT="0" distB="0" distL="0" distR="0" wp14:anchorId="59988868" wp14:editId="4BB5F60A">
            <wp:extent cx="3048" cy="9146"/>
            <wp:effectExtent l="0" t="0" r="0" b="0"/>
            <wp:docPr id="11639" name="Picture 1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" name="Picture 116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48D7" w14:textId="3B92A710" w:rsidR="00B53594" w:rsidRDefault="00B53594" w:rsidP="00B53594">
      <w:pPr>
        <w:pStyle w:val="Nadpis1"/>
        <w:jc w:val="center"/>
      </w:pPr>
      <w:r>
        <w:lastRenderedPageBreak/>
        <w:t xml:space="preserve">                                                                                                             49/2023/TPP</w:t>
      </w:r>
    </w:p>
    <w:p w14:paraId="04C0E627" w14:textId="3D3EC4F2" w:rsidR="00E76CE9" w:rsidRDefault="00E76CE9">
      <w:pPr>
        <w:spacing w:after="55" w:line="259" w:lineRule="auto"/>
        <w:ind w:left="312" w:right="0" w:firstLine="0"/>
        <w:jc w:val="left"/>
      </w:pPr>
    </w:p>
    <w:p w14:paraId="735BC2DE" w14:textId="77777777" w:rsidR="00E76CE9" w:rsidRDefault="0019638D">
      <w:pPr>
        <w:spacing w:after="3" w:line="265" w:lineRule="auto"/>
        <w:ind w:left="153" w:right="0" w:hanging="10"/>
        <w:jc w:val="left"/>
      </w:pPr>
      <w:r w:rsidRPr="00B53594">
        <w:rPr>
          <w:b/>
          <w:bCs/>
          <w:sz w:val="26"/>
        </w:rPr>
        <w:t>je v plném rozsahu nahrazen</w:t>
      </w:r>
      <w:r>
        <w:rPr>
          <w:sz w:val="26"/>
        </w:rPr>
        <w:t>:</w:t>
      </w:r>
    </w:p>
    <w:p w14:paraId="224FA347" w14:textId="60C2FB17" w:rsidR="00E76CE9" w:rsidRDefault="0019638D">
      <w:pPr>
        <w:spacing w:after="0"/>
        <w:ind w:left="807" w:right="71" w:hanging="346"/>
      </w:pPr>
      <w:r>
        <w:t>Rozdě</w:t>
      </w:r>
      <w:r w:rsidR="00F240BF">
        <w:t>l</w:t>
      </w:r>
      <w:r>
        <w:t>e</w:t>
      </w:r>
      <w:r w:rsidR="00F240BF">
        <w:t>ní</w:t>
      </w:r>
      <w:r>
        <w:t xml:space="preserve"> nákladů vázaných k proměnné komoditní</w:t>
      </w:r>
      <w:r w:rsidR="00F240BF">
        <w:t xml:space="preserve"> </w:t>
      </w:r>
      <w:r>
        <w:t>složce Cl na společné větvi UT mezi odběratele a společnost Aktiva Praha, spo</w:t>
      </w:r>
      <w:r w:rsidR="00F240BF">
        <w:t>l</w:t>
      </w:r>
      <w:r w:rsidR="0091037C">
        <w:t>.</w:t>
      </w:r>
      <w:r>
        <w:t xml:space="preserve"> s r.o., IČO: 18628117 bude provedeno poměrem vytápěných ploch touto větvi,</w:t>
      </w:r>
      <w:r w:rsidR="003E386D">
        <w:t xml:space="preserve"> </w:t>
      </w:r>
      <w:r>
        <w:t>které čin</w:t>
      </w:r>
      <w:r w:rsidR="003E386D">
        <w:t>í</w:t>
      </w:r>
      <w:r>
        <w:t xml:space="preserve"> 508,2 m2 (58,13 %) — odběratel, 366,0 m2 (41,87 %) — Aktiva</w:t>
      </w:r>
    </w:p>
    <w:p w14:paraId="6437B288" w14:textId="77777777" w:rsidR="00E76CE9" w:rsidRDefault="0019638D">
      <w:pPr>
        <w:spacing w:after="74" w:line="259" w:lineRule="auto"/>
        <w:ind w:left="826" w:right="0" w:hanging="5"/>
      </w:pPr>
      <w:r>
        <w:t>Praha.</w:t>
      </w:r>
    </w:p>
    <w:p w14:paraId="47C90025" w14:textId="77777777" w:rsidR="00E76CE9" w:rsidRPr="00B53594" w:rsidRDefault="0019638D">
      <w:pPr>
        <w:numPr>
          <w:ilvl w:val="0"/>
          <w:numId w:val="2"/>
        </w:numPr>
        <w:spacing w:after="3" w:line="265" w:lineRule="auto"/>
        <w:ind w:right="0" w:hanging="250"/>
        <w:jc w:val="left"/>
        <w:rPr>
          <w:b/>
          <w:bCs/>
        </w:rPr>
      </w:pPr>
      <w:r w:rsidRPr="00B53594">
        <w:rPr>
          <w:b/>
          <w:bCs/>
          <w:sz w:val="26"/>
        </w:rPr>
        <w:t>do Článku 5 Smlouvy se vkládá odst. 5,2, který zní:</w:t>
      </w:r>
    </w:p>
    <w:p w14:paraId="05176522" w14:textId="31517991" w:rsidR="00E76CE9" w:rsidRDefault="0019638D">
      <w:pPr>
        <w:spacing w:after="77" w:line="259" w:lineRule="auto"/>
        <w:ind w:left="172" w:right="0" w:hanging="5"/>
      </w:pPr>
      <w:r>
        <w:t>Rozdě</w:t>
      </w:r>
      <w:r w:rsidR="00F240BF">
        <w:t>l</w:t>
      </w:r>
      <w:r>
        <w:t>ení</w:t>
      </w:r>
      <w:r w:rsidR="00F240BF">
        <w:t xml:space="preserve"> </w:t>
      </w:r>
      <w:r>
        <w:t>nák</w:t>
      </w:r>
      <w:r w:rsidR="00F240BF">
        <w:t>l</w:t>
      </w:r>
      <w:r>
        <w:t xml:space="preserve">adů vázaných k fixní výkonové složce C2 bude provedeno na </w:t>
      </w:r>
      <w:r>
        <w:t>základě poměru odebraného tep/a odběratelem k celkové dodávce tep/a pro celý objekt. Rozdělení nákladů pro dané období bude vycházet ze skutečnosti předešlého roku a bude stanoveno Cenovým ujednáním pro daný rok. Spolu s Cenovým ujednáním dodavate</w:t>
      </w:r>
      <w:r w:rsidR="0091037C">
        <w:t>l</w:t>
      </w:r>
      <w:r>
        <w:t xml:space="preserve"> </w:t>
      </w:r>
      <w:proofErr w:type="gramStart"/>
      <w:r>
        <w:t>před</w:t>
      </w:r>
      <w:r w:rsidR="0091037C">
        <w:t>l</w:t>
      </w:r>
      <w:r>
        <w:t>oží</w:t>
      </w:r>
      <w:proofErr w:type="gramEnd"/>
      <w:r w:rsidR="0091037C">
        <w:t xml:space="preserve"> </w:t>
      </w:r>
      <w:r>
        <w:t>odběrate</w:t>
      </w:r>
      <w:r w:rsidR="0091037C">
        <w:t>l</w:t>
      </w:r>
      <w:r>
        <w:t>i způsob stanoven/' rozdě</w:t>
      </w:r>
      <w:r w:rsidR="0091037C">
        <w:t>l</w:t>
      </w:r>
      <w:r>
        <w:t>ení</w:t>
      </w:r>
      <w:r w:rsidR="0091037C">
        <w:t xml:space="preserve"> </w:t>
      </w:r>
      <w:r>
        <w:t>nák</w:t>
      </w:r>
      <w:r w:rsidR="0091037C">
        <w:t>l</w:t>
      </w:r>
      <w:r>
        <w:t>adů vázaných k fix</w:t>
      </w:r>
      <w:r w:rsidR="0091037C">
        <w:t>ní</w:t>
      </w:r>
      <w:r>
        <w:t xml:space="preserve"> výkonové složce C2 pro daný rok.</w:t>
      </w:r>
    </w:p>
    <w:p w14:paraId="6D8F8D16" w14:textId="77777777" w:rsidR="00E76CE9" w:rsidRDefault="0019638D">
      <w:pPr>
        <w:numPr>
          <w:ilvl w:val="0"/>
          <w:numId w:val="2"/>
        </w:numPr>
        <w:spacing w:after="3" w:line="265" w:lineRule="auto"/>
        <w:ind w:right="0" w:hanging="250"/>
        <w:jc w:val="left"/>
      </w:pPr>
      <w:r w:rsidRPr="00A57771">
        <w:rPr>
          <w:b/>
          <w:bCs/>
          <w:sz w:val="26"/>
        </w:rPr>
        <w:t>Článek 6. odst. 6.4 Přílohy č. 1 Smlouvy, který zní</w:t>
      </w:r>
      <w:r>
        <w:rPr>
          <w:sz w:val="26"/>
        </w:rPr>
        <w:t>:</w:t>
      </w:r>
    </w:p>
    <w:p w14:paraId="372466A0" w14:textId="1DB17C68" w:rsidR="00E76CE9" w:rsidRDefault="0019638D">
      <w:pPr>
        <w:spacing w:after="0" w:line="259" w:lineRule="auto"/>
        <w:ind w:left="461" w:right="0" w:hanging="5"/>
      </w:pPr>
      <w:r>
        <w:t>Ned</w:t>
      </w:r>
      <w:r w:rsidR="0091037C">
        <w:t>í</w:t>
      </w:r>
      <w:r>
        <w:t xml:space="preserve">lnou součástí této smlouvy je cenové ujednám' tepelné energie, Pro obdob/' od 1.10.2023 do </w:t>
      </w:r>
      <w:r>
        <w:t>31.12.2023 bude cenové ujednání tepelné energie předloženo dodavatelem odběrateli při podpisu této smlouvy, Předběžná cena pro 2023je stanovena takto</w:t>
      </w:r>
    </w:p>
    <w:tbl>
      <w:tblPr>
        <w:tblStyle w:val="TableGrid"/>
        <w:tblW w:w="9056" w:type="dxa"/>
        <w:tblInd w:w="175" w:type="dxa"/>
        <w:tblCellMar>
          <w:top w:w="47" w:type="dxa"/>
          <w:left w:w="75" w:type="dxa"/>
          <w:right w:w="77" w:type="dxa"/>
        </w:tblCellMar>
        <w:tblLook w:val="04A0" w:firstRow="1" w:lastRow="0" w:firstColumn="1" w:lastColumn="0" w:noHBand="0" w:noVBand="1"/>
      </w:tblPr>
      <w:tblGrid>
        <w:gridCol w:w="4381"/>
        <w:gridCol w:w="4675"/>
      </w:tblGrid>
      <w:tr w:rsidR="00E76CE9" w14:paraId="3ECF7CBD" w14:textId="77777777">
        <w:trPr>
          <w:trHeight w:val="320"/>
        </w:trPr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D5AE" w14:textId="77777777" w:rsidR="00E76CE9" w:rsidRDefault="0019638D">
            <w:pPr>
              <w:spacing w:after="0" w:line="259" w:lineRule="auto"/>
              <w:ind w:left="10" w:right="0" w:firstLine="0"/>
              <w:jc w:val="left"/>
            </w:pPr>
            <w:r>
              <w:t>Cl Kč/GJ bez DPH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F279D" w14:textId="77777777" w:rsidR="00E76CE9" w:rsidRDefault="0019638D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0"/>
              </w:rPr>
              <w:t>522,31 Kč/GJ</w:t>
            </w:r>
          </w:p>
        </w:tc>
      </w:tr>
      <w:tr w:rsidR="00E76CE9" w14:paraId="64EAAE04" w14:textId="77777777">
        <w:trPr>
          <w:trHeight w:val="319"/>
        </w:trPr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3C2C" w14:textId="77777777" w:rsidR="00E76CE9" w:rsidRDefault="0019638D">
            <w:pPr>
              <w:spacing w:after="0" w:line="259" w:lineRule="auto"/>
              <w:ind w:left="5" w:right="0" w:firstLine="0"/>
              <w:jc w:val="left"/>
            </w:pPr>
            <w:r>
              <w:t>C2 Kč/kW bez DPH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E31D6" w14:textId="77777777" w:rsidR="00E76CE9" w:rsidRDefault="0019638D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0"/>
              </w:rPr>
              <w:t>780,30 Kč/</w:t>
            </w:r>
            <w:proofErr w:type="spellStart"/>
            <w:r>
              <w:rPr>
                <w:sz w:val="20"/>
              </w:rPr>
              <w:t>KWsj</w:t>
            </w:r>
            <w:proofErr w:type="spellEnd"/>
          </w:p>
        </w:tc>
      </w:tr>
      <w:tr w:rsidR="00E76CE9" w14:paraId="7CBE11EB" w14:textId="77777777">
        <w:trPr>
          <w:trHeight w:val="322"/>
        </w:trPr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B00A" w14:textId="77777777" w:rsidR="00E76CE9" w:rsidRDefault="0019638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Cl Kč bez DPH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82847" w14:textId="77777777" w:rsidR="00E76CE9" w:rsidRDefault="0019638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>55 364,86 Kč</w:t>
            </w:r>
          </w:p>
        </w:tc>
      </w:tr>
      <w:tr w:rsidR="00E76CE9" w14:paraId="13B908C3" w14:textId="77777777">
        <w:trPr>
          <w:trHeight w:val="317"/>
        </w:trPr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25451" w14:textId="77777777" w:rsidR="00E76CE9" w:rsidRDefault="0019638D">
            <w:pPr>
              <w:spacing w:after="0" w:line="259" w:lineRule="auto"/>
              <w:ind w:left="5" w:right="0" w:firstLine="0"/>
              <w:jc w:val="left"/>
            </w:pPr>
            <w:r>
              <w:t xml:space="preserve">C2 Kč bez </w:t>
            </w:r>
            <w:r>
              <w:t>DPH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9694A" w14:textId="77777777" w:rsidR="00E76CE9" w:rsidRDefault="0019638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>17 790,84 Kč</w:t>
            </w:r>
          </w:p>
        </w:tc>
      </w:tr>
      <w:tr w:rsidR="00E76CE9" w14:paraId="2AABFD23" w14:textId="77777777">
        <w:trPr>
          <w:trHeight w:val="322"/>
        </w:trPr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E241" w14:textId="77777777" w:rsidR="00E76CE9" w:rsidRDefault="0019638D">
            <w:pPr>
              <w:spacing w:after="0" w:line="259" w:lineRule="auto"/>
              <w:ind w:left="0" w:right="0" w:firstLine="0"/>
              <w:jc w:val="left"/>
            </w:pPr>
            <w:r>
              <w:t>Sjednaný výkon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1A10B" w14:textId="77777777" w:rsidR="00E76CE9" w:rsidRDefault="0019638D">
            <w:pPr>
              <w:spacing w:after="0" w:line="259" w:lineRule="auto"/>
              <w:ind w:left="0" w:right="0" w:firstLine="0"/>
              <w:jc w:val="right"/>
            </w:pPr>
            <w:r>
              <w:t xml:space="preserve">136,8 </w:t>
            </w:r>
            <w:proofErr w:type="spellStart"/>
            <w:r>
              <w:t>kWsj</w:t>
            </w:r>
            <w:proofErr w:type="spellEnd"/>
          </w:p>
        </w:tc>
      </w:tr>
    </w:tbl>
    <w:p w14:paraId="231AEEE6" w14:textId="6F5DB201" w:rsidR="00E76CE9" w:rsidRDefault="0019638D">
      <w:pPr>
        <w:spacing w:after="84"/>
        <w:ind w:left="461" w:right="71"/>
      </w:pPr>
      <w:r>
        <w:t>Na každý následující</w:t>
      </w:r>
      <w:r w:rsidR="00A57771">
        <w:t xml:space="preserve"> </w:t>
      </w:r>
      <w:r>
        <w:t>rok dodávky tepelné energie bude cenové ujednání</w:t>
      </w:r>
      <w:r w:rsidR="00A57771">
        <w:t xml:space="preserve"> </w:t>
      </w:r>
      <w:r>
        <w:t>zasláno odběrateli vždy do 1512. roku předcházej</w:t>
      </w:r>
      <w:r w:rsidR="0030649C">
        <w:t>ícím</w:t>
      </w:r>
      <w:r>
        <w:t>u období</w:t>
      </w:r>
      <w:r w:rsidR="0030649C">
        <w:t xml:space="preserve"> </w:t>
      </w:r>
      <w:r>
        <w:t>dodávky.</w:t>
      </w:r>
    </w:p>
    <w:p w14:paraId="5B4BB675" w14:textId="77777777" w:rsidR="00E76CE9" w:rsidRDefault="0019638D">
      <w:pPr>
        <w:spacing w:after="3" w:line="265" w:lineRule="auto"/>
        <w:ind w:left="153" w:right="0" w:hanging="10"/>
        <w:jc w:val="left"/>
      </w:pPr>
      <w:r w:rsidRPr="0030649C">
        <w:rPr>
          <w:b/>
          <w:bCs/>
          <w:sz w:val="26"/>
        </w:rPr>
        <w:t>se v celém rozsahu zrušuje</w:t>
      </w:r>
      <w:r>
        <w:rPr>
          <w:sz w:val="26"/>
        </w:rPr>
        <w:t>.</w:t>
      </w:r>
    </w:p>
    <w:p w14:paraId="02A39C98" w14:textId="77777777" w:rsidR="00E76CE9" w:rsidRDefault="0019638D">
      <w:pPr>
        <w:ind w:left="667" w:right="71"/>
      </w:pPr>
      <w:r>
        <w:t xml:space="preserve">Přílohy č. 1 se v plném rozsahu </w:t>
      </w:r>
      <w:proofErr w:type="gramStart"/>
      <w:r>
        <w:t>ruší</w:t>
      </w:r>
      <w:proofErr w:type="gramEnd"/>
      <w:r>
        <w:t>.</w:t>
      </w:r>
    </w:p>
    <w:p w14:paraId="59BB30E2" w14:textId="77777777" w:rsidR="00E76CE9" w:rsidRPr="0030649C" w:rsidRDefault="0019638D">
      <w:pPr>
        <w:numPr>
          <w:ilvl w:val="0"/>
          <w:numId w:val="2"/>
        </w:numPr>
        <w:spacing w:after="145" w:line="265" w:lineRule="auto"/>
        <w:ind w:right="0" w:hanging="250"/>
        <w:jc w:val="left"/>
        <w:rPr>
          <w:b/>
          <w:bCs/>
        </w:rPr>
      </w:pPr>
      <w:r w:rsidRPr="0030649C">
        <w:rPr>
          <w:b/>
          <w:bCs/>
          <w:sz w:val="26"/>
        </w:rPr>
        <w:t xml:space="preserve">do </w:t>
      </w:r>
      <w:r w:rsidRPr="0030649C">
        <w:rPr>
          <w:b/>
          <w:bCs/>
          <w:sz w:val="26"/>
        </w:rPr>
        <w:t>článku 7 Smlouvy, který zní:</w:t>
      </w:r>
    </w:p>
    <w:p w14:paraId="7D4F3ABF" w14:textId="609D7CB0" w:rsidR="00E76CE9" w:rsidRPr="00D71320" w:rsidRDefault="0019638D">
      <w:pPr>
        <w:spacing w:after="0" w:line="259" w:lineRule="auto"/>
        <w:ind w:left="610" w:right="0" w:hanging="5"/>
        <w:rPr>
          <w:i/>
          <w:iCs/>
        </w:rPr>
      </w:pPr>
      <w:r w:rsidRPr="00D71320">
        <w:rPr>
          <w:i/>
          <w:iCs/>
        </w:rPr>
        <w:t>Nedí</w:t>
      </w:r>
      <w:r w:rsidR="00D71320">
        <w:rPr>
          <w:i/>
          <w:iCs/>
        </w:rPr>
        <w:t>ln</w:t>
      </w:r>
      <w:r w:rsidRPr="00D71320">
        <w:rPr>
          <w:i/>
          <w:iCs/>
        </w:rPr>
        <w:t>ou součástí této smlouvy</w:t>
      </w:r>
      <w:r w:rsidR="00D71320">
        <w:rPr>
          <w:i/>
          <w:iCs/>
        </w:rPr>
        <w:t xml:space="preserve"> </w:t>
      </w:r>
      <w:r w:rsidRPr="00D71320">
        <w:rPr>
          <w:i/>
          <w:iCs/>
        </w:rPr>
        <w:t>jsou následující</w:t>
      </w:r>
      <w:r w:rsidR="00D71320">
        <w:rPr>
          <w:i/>
          <w:iCs/>
        </w:rPr>
        <w:t xml:space="preserve"> </w:t>
      </w:r>
      <w:r w:rsidRPr="00D71320">
        <w:rPr>
          <w:i/>
          <w:iCs/>
        </w:rPr>
        <w:t>př</w:t>
      </w:r>
      <w:r w:rsidR="00DE19EB">
        <w:rPr>
          <w:i/>
          <w:iCs/>
        </w:rPr>
        <w:t>íl</w:t>
      </w:r>
      <w:r w:rsidRPr="00D71320">
        <w:rPr>
          <w:i/>
          <w:iCs/>
        </w:rPr>
        <w:t>ohy:</w:t>
      </w:r>
    </w:p>
    <w:p w14:paraId="0E624944" w14:textId="77777777" w:rsidR="00DE19EB" w:rsidRDefault="0019638D">
      <w:pPr>
        <w:spacing w:after="125" w:line="269" w:lineRule="auto"/>
        <w:ind w:left="585" w:right="4176" w:firstLine="0"/>
        <w:rPr>
          <w:i/>
          <w:iCs/>
          <w:sz w:val="20"/>
        </w:rPr>
      </w:pPr>
      <w:r w:rsidRPr="00D71320">
        <w:rPr>
          <w:i/>
          <w:iCs/>
          <w:sz w:val="20"/>
        </w:rPr>
        <w:t>Příloha č. 1: DODACÍ</w:t>
      </w:r>
      <w:r w:rsidR="00DE19EB">
        <w:rPr>
          <w:i/>
          <w:iCs/>
          <w:sz w:val="20"/>
        </w:rPr>
        <w:t xml:space="preserve"> </w:t>
      </w:r>
      <w:r w:rsidRPr="00D71320">
        <w:rPr>
          <w:i/>
          <w:iCs/>
          <w:sz w:val="20"/>
        </w:rPr>
        <w:t xml:space="preserve">A OBCHODNÍ PODMÍNKY </w:t>
      </w:r>
    </w:p>
    <w:p w14:paraId="2989642E" w14:textId="77777777" w:rsidR="00DE19EB" w:rsidRDefault="0019638D">
      <w:pPr>
        <w:spacing w:after="125" w:line="269" w:lineRule="auto"/>
        <w:ind w:left="585" w:right="4176" w:firstLine="0"/>
        <w:rPr>
          <w:i/>
          <w:iCs/>
          <w:sz w:val="20"/>
        </w:rPr>
      </w:pPr>
      <w:r w:rsidRPr="00D71320">
        <w:rPr>
          <w:i/>
          <w:iCs/>
          <w:sz w:val="20"/>
        </w:rPr>
        <w:t xml:space="preserve">Příloha č. 2: KONKTATNÍ </w:t>
      </w:r>
      <w:r w:rsidRPr="00DE19EB">
        <w:rPr>
          <w:i/>
          <w:iCs/>
          <w:sz w:val="20"/>
        </w:rPr>
        <w:t xml:space="preserve">ÚDAJE </w:t>
      </w:r>
    </w:p>
    <w:p w14:paraId="638DB0C3" w14:textId="1E570533" w:rsidR="00E76CE9" w:rsidRPr="00223565" w:rsidRDefault="0019638D" w:rsidP="00533525">
      <w:pPr>
        <w:spacing w:after="125" w:line="269" w:lineRule="auto"/>
        <w:ind w:left="585" w:right="3768" w:firstLine="0"/>
        <w:rPr>
          <w:b/>
          <w:bCs/>
          <w:sz w:val="26"/>
        </w:rPr>
      </w:pPr>
      <w:r w:rsidRPr="00223565">
        <w:rPr>
          <w:b/>
          <w:bCs/>
          <w:sz w:val="26"/>
        </w:rPr>
        <w:t xml:space="preserve">se za Přílohu č. 2: KONTAKTNÍ ÚDAJE </w:t>
      </w:r>
      <w:r w:rsidR="00533525">
        <w:rPr>
          <w:b/>
          <w:bCs/>
          <w:sz w:val="26"/>
        </w:rPr>
        <w:t>vklá</w:t>
      </w:r>
      <w:r w:rsidRPr="00223565">
        <w:rPr>
          <w:b/>
          <w:bCs/>
          <w:sz w:val="26"/>
        </w:rPr>
        <w:t>dá:</w:t>
      </w:r>
    </w:p>
    <w:p w14:paraId="4DC320F3" w14:textId="77777777" w:rsidR="00E76CE9" w:rsidRPr="00533525" w:rsidRDefault="0019638D">
      <w:pPr>
        <w:spacing w:after="475" w:line="269" w:lineRule="auto"/>
        <w:ind w:left="585" w:right="0" w:firstLine="0"/>
        <w:rPr>
          <w:i/>
          <w:iCs/>
        </w:rPr>
      </w:pPr>
      <w:r w:rsidRPr="00533525">
        <w:rPr>
          <w:i/>
          <w:iCs/>
          <w:sz w:val="20"/>
        </w:rPr>
        <w:t xml:space="preserve">Příloha č. 3: CENOVÉ UJEDNÁNÍ CENY TEPELNÉ </w:t>
      </w:r>
      <w:r w:rsidRPr="00533525">
        <w:rPr>
          <w:i/>
          <w:iCs/>
          <w:sz w:val="20"/>
        </w:rPr>
        <w:t>ENERGIE</w:t>
      </w:r>
    </w:p>
    <w:p w14:paraId="51D3EAA2" w14:textId="77777777" w:rsidR="00E76CE9" w:rsidRPr="00533525" w:rsidRDefault="0019638D">
      <w:pPr>
        <w:spacing w:after="0" w:line="259" w:lineRule="auto"/>
        <w:ind w:left="92" w:right="0" w:hanging="10"/>
        <w:jc w:val="center"/>
        <w:rPr>
          <w:b/>
          <w:bCs/>
        </w:rPr>
      </w:pPr>
      <w:r w:rsidRPr="00533525">
        <w:rPr>
          <w:b/>
          <w:bCs/>
          <w:sz w:val="26"/>
        </w:rPr>
        <w:t>Článek 3</w:t>
      </w:r>
    </w:p>
    <w:p w14:paraId="49DD3952" w14:textId="77777777" w:rsidR="00E76CE9" w:rsidRPr="00533525" w:rsidRDefault="0019638D">
      <w:pPr>
        <w:spacing w:after="0" w:line="259" w:lineRule="auto"/>
        <w:ind w:left="92" w:right="5" w:hanging="10"/>
        <w:jc w:val="center"/>
        <w:rPr>
          <w:b/>
          <w:bCs/>
        </w:rPr>
      </w:pPr>
      <w:r w:rsidRPr="00533525">
        <w:rPr>
          <w:b/>
          <w:bCs/>
          <w:sz w:val="26"/>
        </w:rPr>
        <w:t>ZÁVĚREČNÁ USTANOVENÍ</w:t>
      </w:r>
    </w:p>
    <w:p w14:paraId="46ECCAEB" w14:textId="77777777" w:rsidR="00E76CE9" w:rsidRDefault="0019638D">
      <w:pPr>
        <w:numPr>
          <w:ilvl w:val="1"/>
          <w:numId w:val="3"/>
        </w:numPr>
        <w:ind w:right="71" w:hanging="360"/>
      </w:pPr>
      <w:r>
        <w:t>Ostatní ustanovení Smlouvy zůstávají v platnosti beze změn.</w:t>
      </w:r>
    </w:p>
    <w:p w14:paraId="7EA5A8FF" w14:textId="77777777" w:rsidR="00257746" w:rsidRDefault="00257746" w:rsidP="00534F00">
      <w:pPr>
        <w:spacing w:after="246"/>
        <w:ind w:left="513" w:right="71" w:firstLine="0"/>
      </w:pPr>
    </w:p>
    <w:p w14:paraId="6789843E" w14:textId="7796F0C5" w:rsidR="00257746" w:rsidRDefault="00257746" w:rsidP="00257746">
      <w:pPr>
        <w:pStyle w:val="Nadpis1"/>
        <w:spacing w:after="116"/>
        <w:ind w:right="168"/>
        <w:jc w:val="center"/>
      </w:pPr>
      <w:r>
        <w:rPr>
          <w:sz w:val="24"/>
        </w:rPr>
        <w:lastRenderedPageBreak/>
        <w:t xml:space="preserve">                                                                                                    49/2023/TPP</w:t>
      </w:r>
    </w:p>
    <w:p w14:paraId="2B12B95F" w14:textId="77777777" w:rsidR="00257746" w:rsidRDefault="00257746" w:rsidP="00257746">
      <w:pPr>
        <w:spacing w:after="246"/>
        <w:ind w:left="513" w:right="71" w:firstLine="0"/>
      </w:pPr>
    </w:p>
    <w:p w14:paraId="053161D5" w14:textId="3C6595C8" w:rsidR="00E76CE9" w:rsidRDefault="0019638D">
      <w:pPr>
        <w:numPr>
          <w:ilvl w:val="1"/>
          <w:numId w:val="3"/>
        </w:numPr>
        <w:spacing w:after="246"/>
        <w:ind w:right="71" w:hanging="360"/>
      </w:pPr>
      <w:r>
        <w:t>Pokud některé ustanovení tohoto Dodatku bude v rozporu s platnými právními předpisy nebo bude či se stane neplatným nebo nevymahatelným (ať již zcela, nebo z části), nebude tím dotčena platnost nebo vymahatelnost ostatních ustanovení Dodatku.</w:t>
      </w:r>
    </w:p>
    <w:p w14:paraId="5282CE4B" w14:textId="77777777" w:rsidR="00E76CE9" w:rsidRDefault="0019638D">
      <w:pPr>
        <w:numPr>
          <w:ilvl w:val="1"/>
          <w:numId w:val="3"/>
        </w:numPr>
        <w:ind w:right="71" w:hanging="360"/>
      </w:pPr>
      <w:r>
        <w:t>Ukáže-li se některé z ustanovení Dodatku zdánlivým (nicotným), posoudí se vliv této vady na ostatní ustanovení Dodatku obdobně podle S 576 občanského zákoníku.</w:t>
      </w:r>
    </w:p>
    <w:p w14:paraId="127FFC9E" w14:textId="77777777" w:rsidR="00E76CE9" w:rsidRDefault="0019638D">
      <w:pPr>
        <w:spacing w:after="284"/>
        <w:ind w:left="494" w:right="144" w:hanging="341"/>
      </w:pPr>
      <w:r>
        <w:t xml:space="preserve">3.4 Tento Dodatek je sepsán ve dvou (2) vyhotoveních a každá smluvní strana </w:t>
      </w:r>
      <w:proofErr w:type="gramStart"/>
      <w:r>
        <w:t>obdrží</w:t>
      </w:r>
      <w:proofErr w:type="gramEnd"/>
      <w:r>
        <w:t xml:space="preserve"> jedno z nich. V případě uzavření tohoto Dodatku elektronicky </w:t>
      </w:r>
      <w:proofErr w:type="gramStart"/>
      <w:r>
        <w:t>postačí</w:t>
      </w:r>
      <w:proofErr w:type="gramEnd"/>
      <w:r>
        <w:t xml:space="preserve"> jedno (1) vyhotovení tohoto Dodatku, na </w:t>
      </w:r>
      <w:r>
        <w:rPr>
          <w:noProof/>
        </w:rPr>
        <w:drawing>
          <wp:inline distT="0" distB="0" distL="0" distR="0" wp14:anchorId="4842DC07" wp14:editId="47FFE052">
            <wp:extent cx="3048" cy="3049"/>
            <wp:effectExtent l="0" t="0" r="0" b="0"/>
            <wp:docPr id="5973" name="Picture 5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" name="Picture 59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němž budou vyznačeny uznávané elektronické podpisy oprávněných zástupců smluvních strana</w:t>
      </w:r>
    </w:p>
    <w:p w14:paraId="530AEA2D" w14:textId="77777777" w:rsidR="00E76CE9" w:rsidRDefault="0019638D">
      <w:pPr>
        <w:spacing w:after="302"/>
        <w:ind w:left="446" w:right="71" w:hanging="355"/>
      </w:pPr>
      <w:r>
        <w:t>3.5 Tento Dodatek nabývá platnosti a účinností dnem podpisu oprávněnými zástupci všech smluvních stran.</w:t>
      </w:r>
    </w:p>
    <w:p w14:paraId="64C6A3B3" w14:textId="77777777" w:rsidR="00E76CE9" w:rsidRDefault="0019638D">
      <w:pPr>
        <w:spacing w:after="972"/>
        <w:ind w:left="442" w:right="71" w:hanging="360"/>
      </w:pPr>
      <w:r>
        <w:t>3.6 Smluvní strany tohoto Dodatku po jeho přečtení výslovně prohlašují, že byl sepsán podle jejich pravé a svobodné vůle na základě pravdivých údajů a na důkaz toho připojují vlastnoruční podpisy.</w:t>
      </w:r>
    </w:p>
    <w:p w14:paraId="1D4C8D6F" w14:textId="15D07266" w:rsidR="00E76CE9" w:rsidRDefault="00534F00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>V Praze dne</w:t>
      </w:r>
      <w:r w:rsidR="00C106DA">
        <w:rPr>
          <w:sz w:val="24"/>
        </w:rPr>
        <w:tab/>
        <w:t>V Praze dne</w:t>
      </w:r>
    </w:p>
    <w:p w14:paraId="3169FFD8" w14:textId="77777777" w:rsidR="00C106DA" w:rsidRDefault="00C106DA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  <w:rPr>
          <w:sz w:val="24"/>
        </w:rPr>
      </w:pPr>
    </w:p>
    <w:p w14:paraId="55252A89" w14:textId="77777777" w:rsidR="00C106DA" w:rsidRDefault="00C106DA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  <w:rPr>
          <w:sz w:val="24"/>
        </w:rPr>
      </w:pPr>
    </w:p>
    <w:p w14:paraId="0D612C40" w14:textId="77777777" w:rsidR="00C106DA" w:rsidRDefault="00C106DA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  <w:rPr>
          <w:sz w:val="24"/>
        </w:rPr>
      </w:pPr>
    </w:p>
    <w:p w14:paraId="52F9CB45" w14:textId="4EE3002C" w:rsidR="00C106DA" w:rsidRDefault="00C106DA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>Teplo pro Prahu, a.s.</w:t>
      </w:r>
      <w:r>
        <w:rPr>
          <w:sz w:val="24"/>
        </w:rPr>
        <w:tab/>
      </w:r>
      <w:r w:rsidR="002E76CB">
        <w:rPr>
          <w:sz w:val="24"/>
        </w:rPr>
        <w:t xml:space="preserve">   </w:t>
      </w:r>
      <w:r>
        <w:rPr>
          <w:sz w:val="24"/>
        </w:rPr>
        <w:t>Národní muzeum</w:t>
      </w:r>
    </w:p>
    <w:p w14:paraId="4862785D" w14:textId="5CE17162" w:rsidR="00C106DA" w:rsidRDefault="00C106DA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>Mgr. Petr Dolejš, předseda představenstva    PhDr. Michal Lukeš</w:t>
      </w:r>
      <w:r w:rsidR="002E76CB">
        <w:rPr>
          <w:sz w:val="24"/>
        </w:rPr>
        <w:t>, Ph.D., generální ředitel</w:t>
      </w:r>
    </w:p>
    <w:p w14:paraId="5C62B022" w14:textId="77777777" w:rsidR="002E76CB" w:rsidRDefault="002E76CB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  <w:rPr>
          <w:sz w:val="24"/>
        </w:rPr>
      </w:pPr>
    </w:p>
    <w:p w14:paraId="501F4167" w14:textId="77777777" w:rsidR="002E76CB" w:rsidRDefault="002E76CB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  <w:rPr>
          <w:sz w:val="24"/>
        </w:rPr>
      </w:pPr>
    </w:p>
    <w:p w14:paraId="2346F1CE" w14:textId="77777777" w:rsidR="002E76CB" w:rsidRDefault="002E76CB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  <w:rPr>
          <w:sz w:val="24"/>
        </w:rPr>
      </w:pPr>
    </w:p>
    <w:p w14:paraId="542A86DF" w14:textId="165CE98B" w:rsidR="002E76CB" w:rsidRDefault="002E76CB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>Teplo pro Prahu, a.s.</w:t>
      </w:r>
    </w:p>
    <w:p w14:paraId="6EFA7746" w14:textId="005F3136" w:rsidR="002E76CB" w:rsidRDefault="002E76CB" w:rsidP="00AB521C">
      <w:pPr>
        <w:tabs>
          <w:tab w:val="center" w:pos="5081"/>
          <w:tab w:val="center" w:pos="6602"/>
        </w:tabs>
        <w:spacing w:after="17" w:line="259" w:lineRule="auto"/>
        <w:ind w:left="0" w:right="0" w:firstLine="0"/>
        <w:jc w:val="left"/>
      </w:pPr>
      <w:r>
        <w:rPr>
          <w:sz w:val="24"/>
        </w:rPr>
        <w:t>Ing. Mar</w:t>
      </w:r>
      <w:r w:rsidR="00BF03A5">
        <w:rPr>
          <w:sz w:val="24"/>
        </w:rPr>
        <w:t>t</w:t>
      </w:r>
      <w:r>
        <w:rPr>
          <w:sz w:val="24"/>
        </w:rPr>
        <w:t>in Patočka</w:t>
      </w:r>
      <w:r w:rsidR="00BF03A5">
        <w:rPr>
          <w:sz w:val="24"/>
        </w:rPr>
        <w:t>, člen představenstva</w:t>
      </w:r>
    </w:p>
    <w:sectPr w:rsidR="002E76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835" w:right="1354" w:bottom="1288" w:left="1253" w:header="859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CB8EB" w14:textId="77777777" w:rsidR="00AA2D80" w:rsidRDefault="00AA2D80">
      <w:pPr>
        <w:spacing w:after="0" w:line="240" w:lineRule="auto"/>
      </w:pPr>
      <w:r>
        <w:separator/>
      </w:r>
    </w:p>
  </w:endnote>
  <w:endnote w:type="continuationSeparator" w:id="0">
    <w:p w14:paraId="0D4EDA1F" w14:textId="77777777" w:rsidR="00AA2D80" w:rsidRDefault="00AA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7EA96" w14:textId="77777777" w:rsidR="00E76CE9" w:rsidRDefault="0019638D">
    <w:pPr>
      <w:spacing w:after="0" w:line="259" w:lineRule="auto"/>
      <w:ind w:left="5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FB39" w14:textId="77777777" w:rsidR="00E76CE9" w:rsidRDefault="0019638D">
    <w:pPr>
      <w:spacing w:after="0" w:line="259" w:lineRule="auto"/>
      <w:ind w:left="5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1B3E" w14:textId="77777777" w:rsidR="00E76CE9" w:rsidRDefault="0019638D">
    <w:pPr>
      <w:spacing w:after="0" w:line="259" w:lineRule="auto"/>
      <w:ind w:left="5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A5D9F" w14:textId="77777777" w:rsidR="00AA2D80" w:rsidRDefault="00AA2D80">
      <w:pPr>
        <w:spacing w:after="0" w:line="240" w:lineRule="auto"/>
      </w:pPr>
      <w:r>
        <w:separator/>
      </w:r>
    </w:p>
  </w:footnote>
  <w:footnote w:type="continuationSeparator" w:id="0">
    <w:p w14:paraId="0386DA62" w14:textId="77777777" w:rsidR="00AA2D80" w:rsidRDefault="00AA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D960D" w14:textId="77777777" w:rsidR="00E76CE9" w:rsidRDefault="0019638D">
    <w:pPr>
      <w:spacing w:after="0" w:line="216" w:lineRule="auto"/>
      <w:ind w:left="1152" w:right="5870" w:hanging="24"/>
      <w:jc w:val="left"/>
    </w:pPr>
    <w:r>
      <w:rPr>
        <w:sz w:val="58"/>
      </w:rPr>
      <w:t xml:space="preserve">Teplo </w:t>
    </w:r>
    <w:r>
      <w:rPr>
        <w:sz w:val="60"/>
      </w:rPr>
      <w:t xml:space="preserve">pro </w:t>
    </w:r>
    <w:r>
      <w:rPr>
        <w:sz w:val="62"/>
      </w:rPr>
      <w:t>Prahu</w:t>
    </w:r>
  </w:p>
  <w:p w14:paraId="4C72525B" w14:textId="77777777" w:rsidR="00E76CE9" w:rsidRDefault="0019638D">
    <w:pPr>
      <w:spacing w:after="0" w:line="259" w:lineRule="auto"/>
      <w:ind w:left="0" w:right="1310" w:firstLine="0"/>
      <w:jc w:val="right"/>
    </w:pPr>
    <w:r>
      <w:t xml:space="preserve">číslo smlouvy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86C90" w14:textId="77777777" w:rsidR="00E76CE9" w:rsidRDefault="0019638D">
    <w:pPr>
      <w:spacing w:after="0" w:line="216" w:lineRule="auto"/>
      <w:ind w:left="1152" w:right="5870" w:hanging="24"/>
      <w:jc w:val="left"/>
    </w:pPr>
    <w:r>
      <w:rPr>
        <w:sz w:val="58"/>
      </w:rPr>
      <w:t xml:space="preserve">Teplo </w:t>
    </w:r>
    <w:r>
      <w:rPr>
        <w:sz w:val="60"/>
      </w:rPr>
      <w:t xml:space="preserve">pro </w:t>
    </w:r>
    <w:r>
      <w:rPr>
        <w:sz w:val="62"/>
      </w:rPr>
      <w:t>Prahu</w:t>
    </w:r>
  </w:p>
  <w:p w14:paraId="2A59C581" w14:textId="77777777" w:rsidR="00E76CE9" w:rsidRDefault="0019638D">
    <w:pPr>
      <w:spacing w:after="0" w:line="259" w:lineRule="auto"/>
      <w:ind w:left="0" w:right="1310" w:firstLine="0"/>
      <w:jc w:val="right"/>
    </w:pPr>
    <w:r>
      <w:t xml:space="preserve">číslo smlouvy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4E6F" w14:textId="77777777" w:rsidR="00E76CE9" w:rsidRDefault="0019638D">
    <w:pPr>
      <w:spacing w:after="0" w:line="216" w:lineRule="auto"/>
      <w:ind w:left="1152" w:right="5870" w:hanging="24"/>
      <w:jc w:val="left"/>
    </w:pPr>
    <w:r>
      <w:rPr>
        <w:sz w:val="58"/>
      </w:rPr>
      <w:t xml:space="preserve">Teplo </w:t>
    </w:r>
    <w:r>
      <w:rPr>
        <w:sz w:val="60"/>
      </w:rPr>
      <w:t xml:space="preserve">pro </w:t>
    </w:r>
    <w:r>
      <w:rPr>
        <w:sz w:val="62"/>
      </w:rPr>
      <w:t>Prahu</w:t>
    </w:r>
  </w:p>
  <w:p w14:paraId="56A6B889" w14:textId="77777777" w:rsidR="00E76CE9" w:rsidRDefault="0019638D">
    <w:pPr>
      <w:spacing w:after="0" w:line="259" w:lineRule="auto"/>
      <w:ind w:left="0" w:right="1310" w:firstLine="0"/>
      <w:jc w:val="right"/>
    </w:pPr>
    <w: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5CC5"/>
    <w:multiLevelType w:val="hybridMultilevel"/>
    <w:tmpl w:val="79C2AE56"/>
    <w:lvl w:ilvl="0" w:tplc="94B4378C">
      <w:start w:val="1"/>
      <w:numFmt w:val="decimal"/>
      <w:lvlText w:val="%1.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7E726A">
      <w:start w:val="1"/>
      <w:numFmt w:val="lowerLetter"/>
      <w:lvlText w:val="%2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264820">
      <w:start w:val="1"/>
      <w:numFmt w:val="lowerRoman"/>
      <w:lvlText w:val="%3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83EEE">
      <w:start w:val="1"/>
      <w:numFmt w:val="decimal"/>
      <w:lvlText w:val="%4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7EFFD6">
      <w:start w:val="1"/>
      <w:numFmt w:val="lowerLetter"/>
      <w:lvlText w:val="%5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A88FA">
      <w:start w:val="1"/>
      <w:numFmt w:val="lowerRoman"/>
      <w:lvlText w:val="%6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8AFCE">
      <w:start w:val="1"/>
      <w:numFmt w:val="decimal"/>
      <w:lvlText w:val="%7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24D02">
      <w:start w:val="1"/>
      <w:numFmt w:val="lowerLetter"/>
      <w:lvlText w:val="%8"/>
      <w:lvlJc w:val="left"/>
      <w:pPr>
        <w:ind w:left="5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E54B4">
      <w:start w:val="1"/>
      <w:numFmt w:val="lowerRoman"/>
      <w:lvlText w:val="%9"/>
      <w:lvlJc w:val="left"/>
      <w:pPr>
        <w:ind w:left="6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392073"/>
    <w:multiLevelType w:val="hybridMultilevel"/>
    <w:tmpl w:val="115E830C"/>
    <w:lvl w:ilvl="0" w:tplc="C8DAFE2C">
      <w:start w:val="3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634AC">
      <w:start w:val="1"/>
      <w:numFmt w:val="lowerLetter"/>
      <w:lvlText w:val="%2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839E6">
      <w:start w:val="1"/>
      <w:numFmt w:val="lowerRoman"/>
      <w:lvlText w:val="%3"/>
      <w:lvlJc w:val="left"/>
      <w:pPr>
        <w:ind w:left="2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D0AFC8">
      <w:start w:val="1"/>
      <w:numFmt w:val="decimal"/>
      <w:lvlText w:val="%4"/>
      <w:lvlJc w:val="left"/>
      <w:pPr>
        <w:ind w:left="2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AE5A68">
      <w:start w:val="1"/>
      <w:numFmt w:val="lowerLetter"/>
      <w:lvlText w:val="%5"/>
      <w:lvlJc w:val="left"/>
      <w:pPr>
        <w:ind w:left="3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8CD3F2">
      <w:start w:val="1"/>
      <w:numFmt w:val="lowerRoman"/>
      <w:lvlText w:val="%6"/>
      <w:lvlJc w:val="left"/>
      <w:pPr>
        <w:ind w:left="4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69FE4">
      <w:start w:val="1"/>
      <w:numFmt w:val="decimal"/>
      <w:lvlText w:val="%7"/>
      <w:lvlJc w:val="left"/>
      <w:pPr>
        <w:ind w:left="5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24ED8">
      <w:start w:val="1"/>
      <w:numFmt w:val="lowerLetter"/>
      <w:lvlText w:val="%8"/>
      <w:lvlJc w:val="left"/>
      <w:pPr>
        <w:ind w:left="5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081F4">
      <w:start w:val="1"/>
      <w:numFmt w:val="lowerRoman"/>
      <w:lvlText w:val="%9"/>
      <w:lvlJc w:val="left"/>
      <w:pPr>
        <w:ind w:left="6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F37D33"/>
    <w:multiLevelType w:val="multilevel"/>
    <w:tmpl w:val="BD8A050A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873865">
    <w:abstractNumId w:val="0"/>
  </w:num>
  <w:num w:numId="2" w16cid:durableId="1305549284">
    <w:abstractNumId w:val="1"/>
  </w:num>
  <w:num w:numId="3" w16cid:durableId="117126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E9"/>
    <w:rsid w:val="0019638D"/>
    <w:rsid w:val="00223565"/>
    <w:rsid w:val="00257746"/>
    <w:rsid w:val="002E76CB"/>
    <w:rsid w:val="0030649C"/>
    <w:rsid w:val="003E386D"/>
    <w:rsid w:val="00405F43"/>
    <w:rsid w:val="00533525"/>
    <w:rsid w:val="00534F00"/>
    <w:rsid w:val="005C0713"/>
    <w:rsid w:val="00683526"/>
    <w:rsid w:val="006B03B0"/>
    <w:rsid w:val="007B5BEA"/>
    <w:rsid w:val="007F0C99"/>
    <w:rsid w:val="0091037C"/>
    <w:rsid w:val="00A57771"/>
    <w:rsid w:val="00AA2D80"/>
    <w:rsid w:val="00AB521C"/>
    <w:rsid w:val="00B53594"/>
    <w:rsid w:val="00BF03A5"/>
    <w:rsid w:val="00BF4BAE"/>
    <w:rsid w:val="00C106DA"/>
    <w:rsid w:val="00D71320"/>
    <w:rsid w:val="00D834EB"/>
    <w:rsid w:val="00DE19EB"/>
    <w:rsid w:val="00E06A07"/>
    <w:rsid w:val="00E76CE9"/>
    <w:rsid w:val="00F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0668"/>
  <w15:docId w15:val="{E8DB6F79-E89C-4241-B862-3381DE53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90" w:line="218" w:lineRule="auto"/>
      <w:ind w:left="158" w:right="67" w:firstLine="4"/>
      <w:jc w:val="both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4" w:line="259" w:lineRule="auto"/>
      <w:ind w:right="101"/>
      <w:jc w:val="right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749</Words>
  <Characters>4421</Characters>
  <Application>Microsoft Office Word</Application>
  <DocSecurity>0</DocSecurity>
  <Lines>36</Lines>
  <Paragraphs>10</Paragraphs>
  <ScaleCrop>false</ScaleCrop>
  <Company>Národní muzeum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Lubovská Markéta</dc:creator>
  <cp:keywords/>
  <cp:lastModifiedBy>Lubovská Markéta</cp:lastModifiedBy>
  <cp:revision>23</cp:revision>
  <dcterms:created xsi:type="dcterms:W3CDTF">2024-05-14T12:41:00Z</dcterms:created>
  <dcterms:modified xsi:type="dcterms:W3CDTF">2024-05-15T11:23:00Z</dcterms:modified>
</cp:coreProperties>
</file>