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19E63" w14:textId="77777777" w:rsidR="00EF3924" w:rsidRDefault="00EF3924">
      <w:pPr>
        <w:rPr>
          <w:rFonts w:ascii="Arial" w:hAnsi="Arial"/>
          <w:sz w:val="22"/>
          <w:szCs w:val="22"/>
        </w:rPr>
      </w:pPr>
    </w:p>
    <w:p w14:paraId="59160A44" w14:textId="77777777" w:rsidR="00EF3924" w:rsidRDefault="007B6FBB">
      <w:pPr>
        <w:jc w:val="center"/>
      </w:pPr>
      <w:r>
        <w:rPr>
          <w:rFonts w:ascii="Arial" w:hAnsi="Arial"/>
          <w:b/>
          <w:bCs/>
          <w:sz w:val="22"/>
          <w:szCs w:val="22"/>
        </w:rPr>
        <w:t>Smlouva o užívání věci</w:t>
      </w:r>
    </w:p>
    <w:p w14:paraId="3D94A56D" w14:textId="77777777" w:rsidR="00EF3924" w:rsidRDefault="00EF3924">
      <w:pPr>
        <w:rPr>
          <w:b/>
          <w:bCs/>
        </w:rPr>
      </w:pPr>
    </w:p>
    <w:p w14:paraId="0A9B0E75" w14:textId="107EE896" w:rsidR="00EF3924" w:rsidRDefault="007B6FBB" w:rsidP="00DD4226">
      <w:pPr>
        <w:jc w:val="center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</w:rPr>
        <w:t>uzavřená v souladu s § 1746 odst. 2 zákona č. 89/2012 Sb. Občanského zákoník</w:t>
      </w:r>
      <w:r w:rsidR="00B643DD"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 xml:space="preserve"> (dále „občanský zákoník“) níže uvedeného dne, měsíce a roku mezi smluvními stranami</w:t>
      </w:r>
    </w:p>
    <w:p w14:paraId="79865965" w14:textId="77777777" w:rsidR="00EF3924" w:rsidRDefault="00EF3924">
      <w:pPr>
        <w:rPr>
          <w:rFonts w:ascii="Arial" w:hAnsi="Arial"/>
          <w:sz w:val="22"/>
          <w:szCs w:val="22"/>
        </w:rPr>
      </w:pPr>
    </w:p>
    <w:p w14:paraId="32206F0E" w14:textId="77777777" w:rsidR="00EF3924" w:rsidRDefault="007B6FBB">
      <w:pPr>
        <w:pStyle w:val="Pedformtovantex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1) Vrchlického divadlo, příspěvková organizace </w:t>
      </w:r>
    </w:p>
    <w:p w14:paraId="21512D33" w14:textId="77777777" w:rsidR="00EF3924" w:rsidRDefault="007B6FBB">
      <w:pPr>
        <w:pStyle w:val="Pedformtovantex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Osvoboditelů 411, </w:t>
      </w:r>
    </w:p>
    <w:p w14:paraId="423FD172" w14:textId="77777777" w:rsidR="00EF3924" w:rsidRDefault="007B6FBB">
      <w:pPr>
        <w:pStyle w:val="Pedformtovantex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440 01 Louny </w:t>
      </w:r>
    </w:p>
    <w:p w14:paraId="2552ED0A" w14:textId="77777777" w:rsidR="00EF3924" w:rsidRDefault="007B6FBB">
      <w:pPr>
        <w:pStyle w:val="Pedformtovantext"/>
      </w:pPr>
      <w:r>
        <w:rPr>
          <w:rFonts w:ascii="Arial" w:hAnsi="Arial"/>
          <w:b/>
          <w:bCs/>
          <w:sz w:val="22"/>
          <w:szCs w:val="22"/>
        </w:rPr>
        <w:t>IČ:</w:t>
      </w:r>
      <w:r>
        <w:rPr>
          <w:rStyle w:val="Silnzdraznn"/>
          <w:rFonts w:ascii="Arial" w:hAnsi="Arial"/>
          <w:color w:val="1D1D1D"/>
          <w:sz w:val="22"/>
          <w:szCs w:val="22"/>
        </w:rPr>
        <w:t xml:space="preserve"> 75037637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795C5E50" w14:textId="77777777" w:rsidR="00EF3924" w:rsidRDefault="007B6FBB">
      <w:pPr>
        <w:pStyle w:val="Pedformtovantext"/>
      </w:pPr>
      <w:r>
        <w:rPr>
          <w:rFonts w:ascii="Arial" w:hAnsi="Arial"/>
          <w:b/>
          <w:bCs/>
          <w:sz w:val="22"/>
          <w:szCs w:val="22"/>
        </w:rPr>
        <w:t>DIČ: CZ</w:t>
      </w:r>
      <w:r>
        <w:rPr>
          <w:rStyle w:val="Silnzdraznn"/>
          <w:rFonts w:ascii="Arial" w:hAnsi="Arial"/>
          <w:color w:val="1D1D1D"/>
          <w:sz w:val="22"/>
          <w:szCs w:val="22"/>
        </w:rPr>
        <w:t>75037637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679B206A" w14:textId="77777777" w:rsidR="00EF3924" w:rsidRDefault="007B6FBB">
      <w:pPr>
        <w:pStyle w:val="Pedformtovantex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zastoupené Jakubem </w:t>
      </w:r>
      <w:proofErr w:type="spellStart"/>
      <w:r>
        <w:rPr>
          <w:rFonts w:ascii="Arial" w:hAnsi="Arial"/>
          <w:b/>
          <w:bCs/>
          <w:sz w:val="22"/>
          <w:szCs w:val="22"/>
        </w:rPr>
        <w:t>Bieleckým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, ředitelem </w:t>
      </w:r>
    </w:p>
    <w:p w14:paraId="45377E5D" w14:textId="77777777" w:rsidR="00EF3924" w:rsidRDefault="007B6FBB">
      <w:pPr>
        <w:pStyle w:val="Pedformtovantext"/>
      </w:pPr>
      <w:r>
        <w:rPr>
          <w:rFonts w:ascii="Arial" w:hAnsi="Arial"/>
          <w:sz w:val="22"/>
          <w:szCs w:val="22"/>
        </w:rPr>
        <w:t>(dále též jako „</w:t>
      </w:r>
      <w:proofErr w:type="spellStart"/>
      <w:r>
        <w:rPr>
          <w:rFonts w:ascii="Arial" w:hAnsi="Arial"/>
          <w:sz w:val="22"/>
          <w:szCs w:val="22"/>
        </w:rPr>
        <w:t>vypůjčítel</w:t>
      </w:r>
      <w:proofErr w:type="spellEnd"/>
      <w:r>
        <w:rPr>
          <w:rFonts w:ascii="Arial" w:hAnsi="Arial"/>
          <w:sz w:val="22"/>
          <w:szCs w:val="22"/>
        </w:rPr>
        <w:t xml:space="preserve">") </w:t>
      </w:r>
    </w:p>
    <w:p w14:paraId="7CF79949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41C08E1D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</w:t>
      </w:r>
    </w:p>
    <w:p w14:paraId="1318CD79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398F53C1" w14:textId="77777777" w:rsidR="00EF3924" w:rsidRDefault="007B6FBB">
      <w:pPr>
        <w:pStyle w:val="Pedformtovantex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2) Veřejné stravování CZ a. s. </w:t>
      </w:r>
    </w:p>
    <w:p w14:paraId="4A8CE0D0" w14:textId="77777777" w:rsidR="00EF3924" w:rsidRDefault="007B6FBB">
      <w:pPr>
        <w:pStyle w:val="Pedformtovantex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Světická 1114/6 </w:t>
      </w:r>
    </w:p>
    <w:p w14:paraId="19997344" w14:textId="77777777" w:rsidR="00EF3924" w:rsidRDefault="007B6FBB">
      <w:pPr>
        <w:pStyle w:val="Pedformtovantex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100 00 Praha 10 </w:t>
      </w:r>
    </w:p>
    <w:p w14:paraId="2EE7BA2A" w14:textId="77777777" w:rsidR="00EF3924" w:rsidRDefault="007B6FBB">
      <w:pPr>
        <w:pStyle w:val="Pedformtovantex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IČ: 28507215 </w:t>
      </w:r>
    </w:p>
    <w:p w14:paraId="0ADDBB85" w14:textId="77777777" w:rsidR="00EF3924" w:rsidRDefault="007B6FBB">
      <w:pPr>
        <w:pStyle w:val="Pedformtovantex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zastoupené Zdeňkem Krupkou, ředitelem </w:t>
      </w:r>
    </w:p>
    <w:p w14:paraId="776FA41F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(dále též jako „uživatel") </w:t>
      </w:r>
    </w:p>
    <w:p w14:paraId="10F82C0E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1BBED30E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dále též jako „smluvní strana" nebo „smluvní strany" </w:t>
      </w:r>
    </w:p>
    <w:p w14:paraId="02B37BE2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3AA43EA1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Shora uvedené smluvní strany uzavírají na základě vzájemné dohody tuto smlouvu o užívání </w:t>
      </w:r>
    </w:p>
    <w:p w14:paraId="4A0382CD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věci (dále jen „smlouva"): </w:t>
      </w:r>
    </w:p>
    <w:p w14:paraId="03BDDAED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25847185" w14:textId="77777777" w:rsidR="00EF3924" w:rsidRDefault="007B6FBB">
      <w:pPr>
        <w:pStyle w:val="Pedformtovantex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I. </w:t>
      </w:r>
    </w:p>
    <w:p w14:paraId="6503B05D" w14:textId="77777777" w:rsidR="00EF3924" w:rsidRDefault="007B6FBB">
      <w:pPr>
        <w:pStyle w:val="Pedformtovantex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Předmět užívání </w:t>
      </w:r>
    </w:p>
    <w:p w14:paraId="5991D0B3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4A0058F7" w14:textId="77777777" w:rsidR="00EF3924" w:rsidRDefault="007B6FBB">
      <w:r>
        <w:rPr>
          <w:rFonts w:ascii="Arial" w:hAnsi="Arial"/>
          <w:sz w:val="22"/>
          <w:szCs w:val="22"/>
        </w:rPr>
        <w:t>1. Vypůjčitel prohlašuje, že je na základě smlouvy uzavřené pod č.j. MULNCJ 88431/2020/</w:t>
      </w:r>
      <w:proofErr w:type="spellStart"/>
      <w:r>
        <w:rPr>
          <w:rFonts w:ascii="Arial" w:hAnsi="Arial"/>
          <w:sz w:val="22"/>
          <w:szCs w:val="22"/>
        </w:rPr>
        <w:t>OŠKaS</w:t>
      </w:r>
      <w:proofErr w:type="spellEnd"/>
      <w:r>
        <w:rPr>
          <w:rFonts w:ascii="Arial" w:hAnsi="Arial"/>
          <w:sz w:val="22"/>
          <w:szCs w:val="22"/>
        </w:rPr>
        <w:t xml:space="preserve">  ev. č. OS202000182 uzavřené dne 23.12.2020 s vlastníkem věci Městem Louny oprávněn užívat nemovitosti, a to pozemky - </w:t>
      </w:r>
      <w:proofErr w:type="spellStart"/>
      <w:r>
        <w:rPr>
          <w:rFonts w:ascii="Arial" w:hAnsi="Arial"/>
          <w:sz w:val="22"/>
          <w:szCs w:val="22"/>
        </w:rPr>
        <w:t>p.p.č</w:t>
      </w:r>
      <w:proofErr w:type="spellEnd"/>
      <w:r>
        <w:rPr>
          <w:rFonts w:ascii="Arial" w:hAnsi="Arial"/>
          <w:sz w:val="22"/>
          <w:szCs w:val="22"/>
        </w:rPr>
        <w:t xml:space="preserve">. 2616 o výměře 1073 m2, zastavěná plocha a nádvoří, jehož součástí je stavba KD Zastávka Louny, č.p. 1135, jiná stavba, - </w:t>
      </w:r>
      <w:proofErr w:type="spellStart"/>
      <w:r>
        <w:rPr>
          <w:rFonts w:ascii="Arial" w:hAnsi="Arial"/>
          <w:sz w:val="22"/>
          <w:szCs w:val="22"/>
        </w:rPr>
        <w:t>p.p.č</w:t>
      </w:r>
      <w:proofErr w:type="spellEnd"/>
      <w:r>
        <w:rPr>
          <w:rFonts w:ascii="Arial" w:hAnsi="Arial"/>
          <w:sz w:val="22"/>
          <w:szCs w:val="22"/>
        </w:rPr>
        <w:t>. 2615/1 o výměře  238 m2,ostatní plocha, jiná plocha, vše zapsané v katastru nemovitostí vedeném Katastrálním úřadem  pro Ústecký kraj, Katastrální pracoviště Louny v listu vlastnictví č. 10001, pro okres, obec a katastrální území Louny.</w:t>
      </w:r>
    </w:p>
    <w:p w14:paraId="0A61D1D4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65BB5A2D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Vypůjčitel na základě této smlouvy přenechává uživateli do užívání část </w:t>
      </w:r>
    </w:p>
    <w:p w14:paraId="5F7F57F9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budovy č.p. 1135 uvedené v odst. 1 článku I, této smlouvy a to v I. NP kavárnu 143,57 </w:t>
      </w:r>
    </w:p>
    <w:p w14:paraId="335ECD51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m2, příruční sklad 5,20 m2, mobilní bar se skladem 14 m2, ve II. NP </w:t>
      </w:r>
    </w:p>
    <w:p w14:paraId="56F75871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restauraci 77,79 m2, přípravny pokrmů - 22,91 m2 se zázemím, kancelář 5,53 m2 </w:t>
      </w:r>
    </w:p>
    <w:p w14:paraId="6A08D3D8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šatnu 4,13 m2, sklad 13,02 m2). </w:t>
      </w:r>
    </w:p>
    <w:p w14:paraId="6FB3FBC7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66CEFA3A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Uživatel prohlašuje, že stav věcí vymezených v článku I. odst. 1 této smlouvy je mu </w:t>
      </w:r>
    </w:p>
    <w:p w14:paraId="2D626381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dobře znám, a že má za podmínek stanovených touto smlouvou zájem tyto nemovitosti </w:t>
      </w:r>
    </w:p>
    <w:p w14:paraId="32901CF0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užívat k účelu níže uvedenému. </w:t>
      </w:r>
    </w:p>
    <w:p w14:paraId="5DB2EB31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33F5A5FF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71EDF064" w14:textId="77777777" w:rsidR="00EF3924" w:rsidRDefault="007B6FBB">
      <w:pPr>
        <w:pStyle w:val="Pedformtovantex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II. </w:t>
      </w:r>
    </w:p>
    <w:p w14:paraId="502C147A" w14:textId="77777777" w:rsidR="00EF3924" w:rsidRDefault="007B6FBB">
      <w:pPr>
        <w:pStyle w:val="Pedformtovantex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4 Účel předmětu užívání </w:t>
      </w:r>
    </w:p>
    <w:p w14:paraId="461A78BE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0096E47F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Uživatel bude užívat výše uvedené předměty za účelem občerstvení na kulturních a </w:t>
      </w:r>
    </w:p>
    <w:p w14:paraId="37C89CF3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společenských akcích Kulturního domu Zastávka. </w:t>
      </w:r>
    </w:p>
    <w:p w14:paraId="2639F4B1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186CE426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247941F9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5AE4C1D3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14ECA9BA" w14:textId="77777777" w:rsidR="00EF3924" w:rsidRDefault="007B6FBB">
      <w:pPr>
        <w:pStyle w:val="Pedformtovantex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 xml:space="preserve">III. </w:t>
      </w:r>
    </w:p>
    <w:p w14:paraId="5637F187" w14:textId="77777777" w:rsidR="00EF3924" w:rsidRDefault="007B6FBB">
      <w:pPr>
        <w:pStyle w:val="Pedformtovantext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Doba trvání smlouvy</w:t>
      </w:r>
      <w:r>
        <w:rPr>
          <w:rFonts w:ascii="Arial" w:hAnsi="Arial"/>
          <w:sz w:val="22"/>
          <w:szCs w:val="22"/>
        </w:rPr>
        <w:t xml:space="preserve"> </w:t>
      </w:r>
    </w:p>
    <w:p w14:paraId="3B39A148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2CED2DCF" w14:textId="302F4271" w:rsidR="00EF3924" w:rsidRDefault="007B6FBB">
      <w:pPr>
        <w:pStyle w:val="Pedformtovantext"/>
      </w:pPr>
      <w:r>
        <w:rPr>
          <w:rFonts w:ascii="Arial" w:hAnsi="Arial"/>
          <w:sz w:val="22"/>
          <w:szCs w:val="22"/>
        </w:rPr>
        <w:t xml:space="preserve">1. Smlouvou, uzavřenou dne </w:t>
      </w:r>
      <w:r w:rsidR="006027E1">
        <w:rPr>
          <w:rFonts w:ascii="Arial" w:hAnsi="Arial"/>
          <w:sz w:val="22"/>
          <w:szCs w:val="22"/>
        </w:rPr>
        <w:t>1</w:t>
      </w:r>
      <w:r w:rsidR="0012375D">
        <w:rPr>
          <w:rFonts w:ascii="Arial" w:hAnsi="Arial"/>
          <w:sz w:val="22"/>
          <w:szCs w:val="22"/>
        </w:rPr>
        <w:t>4</w:t>
      </w:r>
      <w:r w:rsidRPr="00B643DD">
        <w:rPr>
          <w:rFonts w:ascii="Arial" w:hAnsi="Arial"/>
          <w:sz w:val="22"/>
          <w:szCs w:val="22"/>
        </w:rPr>
        <w:t xml:space="preserve">. </w:t>
      </w:r>
      <w:r w:rsidR="006027E1">
        <w:rPr>
          <w:rFonts w:ascii="Arial" w:hAnsi="Arial"/>
          <w:sz w:val="22"/>
          <w:szCs w:val="22"/>
        </w:rPr>
        <w:t>5</w:t>
      </w:r>
      <w:r w:rsidRPr="00B643DD">
        <w:rPr>
          <w:rFonts w:ascii="Arial" w:hAnsi="Arial"/>
          <w:sz w:val="22"/>
          <w:szCs w:val="22"/>
        </w:rPr>
        <w:t>. 202</w:t>
      </w:r>
      <w:r w:rsidR="006027E1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je sjednána doba nájmu od 1.7. 202</w:t>
      </w:r>
      <w:r w:rsidR="006027E1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30. 6. 202</w:t>
      </w:r>
      <w:r w:rsidR="006027E1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s možností dalšího prodloužení v případě řádného plnění podmínek této nájemní smlouvy. Uživatel </w:t>
      </w:r>
    </w:p>
    <w:p w14:paraId="22033232" w14:textId="77777777" w:rsidR="00EF3924" w:rsidRDefault="007B6FBB">
      <w:pPr>
        <w:pStyle w:val="Pedformtovantext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</w:rPr>
        <w:t xml:space="preserve">písemně požádá vypůjčitele o prodloužení smlouvy o užívání minimálně 3 měsíce před </w:t>
      </w:r>
    </w:p>
    <w:p w14:paraId="6FA97364" w14:textId="77777777" w:rsidR="00EF3924" w:rsidRDefault="007B6FBB">
      <w:pPr>
        <w:pStyle w:val="Pedformtovantext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</w:rPr>
        <w:t xml:space="preserve">datem uplynutí sjednané doby užívání. </w:t>
      </w:r>
    </w:p>
    <w:p w14:paraId="52BCAB41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2B02B40E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Smlouva zaniká: </w:t>
      </w:r>
    </w:p>
    <w:p w14:paraId="21C255F4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uplynutím doby užívání, </w:t>
      </w:r>
    </w:p>
    <w:p w14:paraId="37683574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písemnou dohodou obou smluvních stran, </w:t>
      </w:r>
    </w:p>
    <w:p w14:paraId="33D76561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c) zánikem jedné ze smluvních stran bez právního nástupce, </w:t>
      </w:r>
    </w:p>
    <w:p w14:paraId="69590397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d) výpovědí smluvních stran, i bez udání důvodu, kdy výpovědní lhůta činí 3 měsíce a počíná běžet prvním dnem měsíce následujícího po doručení písemné výpovědi druhé smluvní straně, </w:t>
      </w:r>
    </w:p>
    <w:p w14:paraId="16EBB164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e) výpovědí ze strany vypůjčitele z důvodu hrubého porušení ustanovení smlouvy nebo </w:t>
      </w:r>
    </w:p>
    <w:p w14:paraId="6B0114A1" w14:textId="6534535E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opakovaného neplnění podmínek daných smlouvou uživatelem, kdy tento ani na základě písemného upozornění ze strany vypůjčitele v přiměřené lhůtě neprovede nápravu. Výpovědní lhůta činí 1 měsíc a počíná běžet prvním dnem měsíce následujícího po doručení písemné výpovědi nájemci. </w:t>
      </w:r>
    </w:p>
    <w:p w14:paraId="23815362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3368A9D9" w14:textId="77777777" w:rsidR="00EF3924" w:rsidRDefault="007B6FBB">
      <w:pPr>
        <w:pStyle w:val="Pedformtovantex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IV. </w:t>
      </w:r>
    </w:p>
    <w:p w14:paraId="5148BC1A" w14:textId="77777777" w:rsidR="00EF3924" w:rsidRDefault="007B6FBB">
      <w:pPr>
        <w:pStyle w:val="Pedformtovantex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Nájemné </w:t>
      </w:r>
    </w:p>
    <w:p w14:paraId="6E651C37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37F863F7" w14:textId="738990C1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Smluvní strany se dohodly na ročním nájemném za předmět užívání ve výši </w:t>
      </w:r>
      <w:r w:rsidR="00DD4226" w:rsidRPr="0072570D">
        <w:rPr>
          <w:rFonts w:ascii="Arial" w:hAnsi="Arial"/>
          <w:color w:val="000000" w:themeColor="text1"/>
          <w:sz w:val="22"/>
          <w:szCs w:val="22"/>
        </w:rPr>
        <w:t>1</w:t>
      </w:r>
      <w:r w:rsidR="0012375D">
        <w:rPr>
          <w:rFonts w:ascii="Arial" w:hAnsi="Arial"/>
          <w:color w:val="000000" w:themeColor="text1"/>
          <w:sz w:val="22"/>
          <w:szCs w:val="22"/>
        </w:rPr>
        <w:t>7 325</w:t>
      </w:r>
      <w:r w:rsidRPr="0072570D">
        <w:rPr>
          <w:rFonts w:ascii="Arial" w:hAnsi="Arial"/>
          <w:color w:val="000000" w:themeColor="text1"/>
          <w:sz w:val="22"/>
          <w:szCs w:val="22"/>
        </w:rPr>
        <w:t xml:space="preserve"> Kč</w:t>
      </w:r>
      <w:r>
        <w:rPr>
          <w:rFonts w:ascii="Arial" w:hAnsi="Arial"/>
          <w:sz w:val="22"/>
          <w:szCs w:val="22"/>
        </w:rPr>
        <w:t xml:space="preserve"> </w:t>
      </w:r>
    </w:p>
    <w:p w14:paraId="4F1FC97B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měsíčně a úhradě energií dle používaných spotřebičů. Nájemné se nehradí v případě, že </w:t>
      </w:r>
    </w:p>
    <w:p w14:paraId="118149DB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prostory KD jsou uzavřeny (předpoklad v měsících červenec a srpen). </w:t>
      </w:r>
    </w:p>
    <w:p w14:paraId="27FB05B1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64161471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Platba za elektřinu bude vypočtena znalcem na základě příkonu el. spotřebičů uživatelem </w:t>
      </w:r>
    </w:p>
    <w:p w14:paraId="3E1B1548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provozovaných. A/nebo dle nainstalovaných samostatných měřidel energií. </w:t>
      </w:r>
    </w:p>
    <w:p w14:paraId="300C4A04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628053A4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Uživatel je povinen hradit roční nájemné vždy do 15. dne příslušného kalendářního </w:t>
      </w:r>
    </w:p>
    <w:p w14:paraId="7015B2C3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měsíce na účet vypůjčitele vedený u České spořitelny, a. s., číslo účtu 1044301379/0800 </w:t>
      </w:r>
    </w:p>
    <w:p w14:paraId="0B77CA2B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variabilní symbol 1135. </w:t>
      </w:r>
    </w:p>
    <w:p w14:paraId="0D9399AF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727B7BAE" w14:textId="25ABD89B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Nájemné bude hr</w:t>
      </w:r>
      <w:r w:rsidR="00DD4226">
        <w:rPr>
          <w:rFonts w:ascii="Arial" w:hAnsi="Arial"/>
          <w:sz w:val="22"/>
          <w:szCs w:val="22"/>
        </w:rPr>
        <w:t>azeno počínaje měsícem zářím 202</w:t>
      </w:r>
      <w:r w:rsidR="006027E1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s platbou nejpozději do 15. 9. </w:t>
      </w:r>
    </w:p>
    <w:p w14:paraId="0644A964" w14:textId="6917E72D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</w:t>
      </w:r>
      <w:r w:rsidR="00DD4226">
        <w:rPr>
          <w:rFonts w:ascii="Arial" w:hAnsi="Arial"/>
          <w:sz w:val="22"/>
          <w:szCs w:val="22"/>
        </w:rPr>
        <w:t>2</w:t>
      </w:r>
      <w:r w:rsidR="006027E1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. </w:t>
      </w:r>
    </w:p>
    <w:p w14:paraId="13231974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44942C7D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V případě prodlení s úhradou nájemného je uživatel povinen uhradit vypůjčiteli smluvní </w:t>
      </w:r>
    </w:p>
    <w:p w14:paraId="037B9DD7" w14:textId="34D4EB96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pokutu ve výši 1</w:t>
      </w:r>
      <w:r w:rsidR="0012375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% z dlužné částky za každý den prodlení až do úplného uhrazení dlužné </w:t>
      </w:r>
    </w:p>
    <w:p w14:paraId="38630032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částky. </w:t>
      </w:r>
    </w:p>
    <w:p w14:paraId="490B55C1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52E5B3EA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5133F9F0" w14:textId="77777777" w:rsidR="00EF3924" w:rsidRDefault="007B6FBB">
      <w:pPr>
        <w:pStyle w:val="Pedformtovantext"/>
        <w:jc w:val="center"/>
      </w:pPr>
      <w:r>
        <w:rPr>
          <w:rFonts w:ascii="Arial" w:hAnsi="Arial"/>
          <w:b/>
          <w:bCs/>
          <w:sz w:val="22"/>
          <w:szCs w:val="22"/>
        </w:rPr>
        <w:t xml:space="preserve">V. </w:t>
      </w:r>
    </w:p>
    <w:p w14:paraId="52085589" w14:textId="77777777" w:rsidR="00EF3924" w:rsidRDefault="007B6FBB">
      <w:pPr>
        <w:pStyle w:val="Pedformtovantex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Práva a povinnosti uživatele </w:t>
      </w:r>
    </w:p>
    <w:p w14:paraId="24C65172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672F52BC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Uživatel se zavazuje, že bude předmět užívání užívat způsobem obvyklým a přiměřeným </w:t>
      </w:r>
    </w:p>
    <w:p w14:paraId="1D85EBB6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jeho charakteru a účelu a zabezpečí, aby nedocházelo k jeho poškození. Případné škody, </w:t>
      </w:r>
    </w:p>
    <w:p w14:paraId="35B070CC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vzniklé porušením této povinnosti, hradí v plné výši uživatel. Uživatel se zavazuje ihned po </w:t>
      </w:r>
    </w:p>
    <w:p w14:paraId="4CE4071E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podpisu smlouvy uzavřít pojištění odpovědnosti za škodu třetím osobám minimálně do výše </w:t>
      </w:r>
    </w:p>
    <w:p w14:paraId="62F1EEE6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250 000 Kč. </w:t>
      </w:r>
    </w:p>
    <w:p w14:paraId="7666E80F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64E186FA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Uživatel je povinen udržovat předmět užívání v pořádku a čistotě, na vlastní náklady </w:t>
      </w:r>
    </w:p>
    <w:p w14:paraId="3B0404A7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zajistit likvidaci odpadu, vzniklého provozem restauračního zařízení, a restaurační prostory </w:t>
      </w:r>
    </w:p>
    <w:p w14:paraId="243360B9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uklízet okamžitě po ukončení akce. </w:t>
      </w:r>
    </w:p>
    <w:p w14:paraId="62125BD1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75594D1F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Uživatel poskytuje občerstvení ve flexibilním rozsahu a době stanovené vypůjčitelem, tj. </w:t>
      </w:r>
    </w:p>
    <w:p w14:paraId="7DF08330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během dopoledne, ve večerních až nočních hodinách či během dnů pracovního volna. </w:t>
      </w:r>
    </w:p>
    <w:p w14:paraId="0EE5BC0E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Obsluhu zajišťuje odborně vyškolený personál, včetně jednotného </w:t>
      </w:r>
      <w:proofErr w:type="spellStart"/>
      <w:r>
        <w:rPr>
          <w:rFonts w:ascii="Arial" w:hAnsi="Arial"/>
          <w:sz w:val="22"/>
          <w:szCs w:val="22"/>
        </w:rPr>
        <w:t>dresscodu</w:t>
      </w:r>
      <w:proofErr w:type="spellEnd"/>
      <w:r>
        <w:rPr>
          <w:rFonts w:ascii="Arial" w:hAnsi="Arial"/>
          <w:sz w:val="22"/>
          <w:szCs w:val="22"/>
        </w:rPr>
        <w:t xml:space="preserve">. </w:t>
      </w:r>
    </w:p>
    <w:p w14:paraId="1E6C230E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35898BE1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4. Uživatel vybaví provozovnu vlastním </w:t>
      </w:r>
      <w:proofErr w:type="gramStart"/>
      <w:r>
        <w:rPr>
          <w:rFonts w:ascii="Arial" w:hAnsi="Arial"/>
          <w:sz w:val="22"/>
          <w:szCs w:val="22"/>
        </w:rPr>
        <w:t>vybavením - zařízením</w:t>
      </w:r>
      <w:proofErr w:type="gramEnd"/>
      <w:r>
        <w:rPr>
          <w:rFonts w:ascii="Arial" w:hAnsi="Arial"/>
          <w:sz w:val="22"/>
          <w:szCs w:val="22"/>
        </w:rPr>
        <w:t xml:space="preserve"> (sklo, ledničky, kávovar) </w:t>
      </w:r>
    </w:p>
    <w:p w14:paraId="78C80EA0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2DE612CD" w14:textId="77777777" w:rsidR="00EF3924" w:rsidRDefault="007B6FBB">
      <w:pPr>
        <w:pStyle w:val="Pedformtovantext"/>
      </w:pPr>
      <w:r>
        <w:rPr>
          <w:rFonts w:ascii="Arial" w:hAnsi="Arial"/>
          <w:sz w:val="22"/>
          <w:szCs w:val="22"/>
        </w:rPr>
        <w:t xml:space="preserve">5. Uživatel na vlastní náklady zajišťuje přípravu a úklid stolů na sále a v předsálí dle pokynů </w:t>
      </w:r>
    </w:p>
    <w:p w14:paraId="6E6C13EB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vypůjčitele, a to včetně pokládání čistých ubrusů. </w:t>
      </w:r>
    </w:p>
    <w:p w14:paraId="43450938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4A7F8415" w14:textId="77777777" w:rsidR="00EF3924" w:rsidRDefault="007B6FBB">
      <w:pPr>
        <w:pStyle w:val="Pedformtovantext"/>
      </w:pPr>
      <w:r>
        <w:rPr>
          <w:rFonts w:ascii="Arial" w:hAnsi="Arial"/>
          <w:sz w:val="22"/>
          <w:szCs w:val="22"/>
        </w:rPr>
        <w:t xml:space="preserve">6. Pronajaté prostory nesmí uživatel pronajímat třetím osobám, a to ani z části. </w:t>
      </w:r>
    </w:p>
    <w:p w14:paraId="18FAF232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6E2A3676" w14:textId="77777777" w:rsidR="00EF3924" w:rsidRDefault="007B6FBB">
      <w:pPr>
        <w:pStyle w:val="Pedformtovantext"/>
      </w:pPr>
      <w:r>
        <w:rPr>
          <w:rFonts w:ascii="Arial" w:hAnsi="Arial"/>
          <w:sz w:val="22"/>
          <w:szCs w:val="22"/>
        </w:rPr>
        <w:t xml:space="preserve">7. Uživatel není oprávněn na předmětu užívání bez předchozího písemného souhlasu vlastníka zřizovat stavby a měnit zásadním způsobem podstatu a charakter předmětu užívání a ručí vypůjčiteli za veškerou škodu tím způsobenou. </w:t>
      </w:r>
    </w:p>
    <w:p w14:paraId="647845F3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7520697E" w14:textId="208F1F2E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10. Uživatel odpovídá za škody, které vzniknou na předmětu užívání v důsledku jeho činnosti a zavazuje se tyto škody neprodleně odstranit na své náklady, případně po dohodě s vypůjčitelem uhradit jejich odstranění. </w:t>
      </w:r>
    </w:p>
    <w:p w14:paraId="777C0E64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6D4109D6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11. Uživatel bere na vědomí, že není oprávněn s předmětem nájmu nakládat v rozporu </w:t>
      </w:r>
    </w:p>
    <w:p w14:paraId="73234C27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 touto smlouvou. </w:t>
      </w:r>
    </w:p>
    <w:p w14:paraId="2C2D6649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64B9CA92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12. Uživatel je povinen akceptovat požadavky vlastníka týkající se předmětu užívání </w:t>
      </w:r>
    </w:p>
    <w:p w14:paraId="469D2AE4" w14:textId="77777777" w:rsidR="00EF3924" w:rsidRDefault="007B6FBB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 důvodu naléhavého veřejného zájmu. </w:t>
      </w:r>
    </w:p>
    <w:p w14:paraId="16833D3B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43D0B017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380029EA" w14:textId="77777777" w:rsidR="00EF3924" w:rsidRDefault="007B6FBB">
      <w:pPr>
        <w:pStyle w:val="Pedformtovantex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VI. </w:t>
      </w:r>
    </w:p>
    <w:p w14:paraId="7954BB63" w14:textId="77777777" w:rsidR="00EF3924" w:rsidRDefault="007B6FBB">
      <w:pPr>
        <w:pStyle w:val="Pedformtovantex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Závěrečná ustanovení</w:t>
      </w:r>
      <w:r>
        <w:rPr>
          <w:rFonts w:ascii="Arial" w:hAnsi="Arial"/>
          <w:b/>
          <w:bCs/>
          <w:sz w:val="22"/>
          <w:szCs w:val="22"/>
        </w:rPr>
        <w:br/>
      </w:r>
    </w:p>
    <w:p w14:paraId="42A5CCCF" w14:textId="77777777" w:rsidR="00EF3924" w:rsidRDefault="00EF3924">
      <w:pPr>
        <w:jc w:val="center"/>
        <w:rPr>
          <w:rFonts w:ascii="Arial" w:hAnsi="Arial"/>
          <w:sz w:val="22"/>
          <w:szCs w:val="22"/>
        </w:rPr>
      </w:pPr>
    </w:p>
    <w:p w14:paraId="6DAF072D" w14:textId="77777777" w:rsidR="00EF3924" w:rsidRDefault="007B6FBB" w:rsidP="00DD4226">
      <w:pPr>
        <w:jc w:val="both"/>
      </w:pPr>
      <w:r>
        <w:rPr>
          <w:rFonts w:ascii="Arial" w:hAnsi="Arial"/>
          <w:sz w:val="22"/>
          <w:szCs w:val="22"/>
        </w:rPr>
        <w:t>1. Veškeré změny a doplňky této smlouvy vyžadují ke své platnosti písemné dohody smluvních stran.</w:t>
      </w:r>
    </w:p>
    <w:p w14:paraId="6EB32B5A" w14:textId="77777777" w:rsidR="00EF3924" w:rsidRDefault="00EF3924" w:rsidP="00DD4226">
      <w:pPr>
        <w:jc w:val="both"/>
        <w:rPr>
          <w:rFonts w:ascii="Arial" w:hAnsi="Arial"/>
          <w:sz w:val="22"/>
          <w:szCs w:val="22"/>
        </w:rPr>
      </w:pPr>
    </w:p>
    <w:p w14:paraId="6A930C03" w14:textId="77777777" w:rsidR="00EF3924" w:rsidRDefault="007B6FBB" w:rsidP="00DD4226">
      <w:pPr>
        <w:jc w:val="both"/>
      </w:pPr>
      <w:r>
        <w:rPr>
          <w:rFonts w:ascii="Arial" w:hAnsi="Arial"/>
          <w:sz w:val="22"/>
          <w:szCs w:val="22"/>
        </w:rPr>
        <w:t>2. Ostatní práva a povinnosti smluvních stran touto smlouvou neupravené se řídí příslušnými ustanoveními zákona č. 89/2012 Sb., občanského zákoníku, v platném znění.</w:t>
      </w:r>
    </w:p>
    <w:p w14:paraId="2640B3B8" w14:textId="77777777" w:rsidR="00EF3924" w:rsidRDefault="00EF3924" w:rsidP="00DD4226">
      <w:pPr>
        <w:jc w:val="both"/>
        <w:rPr>
          <w:rFonts w:ascii="Arial" w:hAnsi="Arial"/>
          <w:sz w:val="22"/>
          <w:szCs w:val="22"/>
        </w:rPr>
      </w:pPr>
    </w:p>
    <w:p w14:paraId="1B3B7183" w14:textId="3FB3C8ED" w:rsidR="00EF3924" w:rsidRDefault="007B6FBB" w:rsidP="00DD4226">
      <w:pPr>
        <w:jc w:val="both"/>
      </w:pPr>
      <w:r>
        <w:rPr>
          <w:rFonts w:ascii="Arial" w:hAnsi="Arial"/>
          <w:sz w:val="22"/>
          <w:szCs w:val="22"/>
        </w:rPr>
        <w:t xml:space="preserve">3. Tato smlouva nabývá platnosti dnem 1. </w:t>
      </w:r>
      <w:r w:rsidR="00DD4226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>. 202</w:t>
      </w:r>
      <w:r w:rsidR="006027E1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a účinnosti dnem zveřejnění v registru smluv.</w:t>
      </w:r>
    </w:p>
    <w:p w14:paraId="527E75FF" w14:textId="77777777" w:rsidR="00EF3924" w:rsidRDefault="00EF3924" w:rsidP="00DD4226">
      <w:pPr>
        <w:jc w:val="both"/>
        <w:rPr>
          <w:rFonts w:ascii="Arial" w:hAnsi="Arial"/>
          <w:sz w:val="22"/>
          <w:szCs w:val="22"/>
        </w:rPr>
      </w:pPr>
    </w:p>
    <w:p w14:paraId="58819572" w14:textId="32A7F1A5" w:rsidR="00EF3924" w:rsidRPr="00DD4226" w:rsidRDefault="007B6FBB" w:rsidP="00DD4226">
      <w:pPr>
        <w:jc w:val="both"/>
        <w:rPr>
          <w:rFonts w:ascii="Arial" w:hAnsi="Arial" w:cs="Arial"/>
        </w:rPr>
      </w:pPr>
      <w:r w:rsidRPr="00DD4226">
        <w:rPr>
          <w:rFonts w:ascii="Arial" w:hAnsi="Arial" w:cs="Arial"/>
          <w:sz w:val="22"/>
          <w:szCs w:val="22"/>
        </w:rPr>
        <w:t>4. Vzhledem k veřejnoprávnímu charakteru vypůjčitele souhlasí uživatel se zveřejněním obsahu smlouvy dle zákona č. 106/1999 Sb., o svobodném přístupu k informacím ve znění pozdějších předpisů a zákona č. 110/ 2019 Sb., o zpracování osobních údajů, ve znění pozdějších předpisů. Smluvní strany souhlasně prohlašují, že žádný údaj v této smlo</w:t>
      </w:r>
      <w:r w:rsidR="00703CE1">
        <w:rPr>
          <w:rFonts w:ascii="Arial" w:hAnsi="Arial" w:cs="Arial"/>
          <w:sz w:val="22"/>
          <w:szCs w:val="22"/>
        </w:rPr>
        <w:t>u</w:t>
      </w:r>
      <w:r w:rsidRPr="00DD4226">
        <w:rPr>
          <w:rFonts w:ascii="Arial" w:hAnsi="Arial" w:cs="Arial"/>
          <w:sz w:val="22"/>
          <w:szCs w:val="22"/>
        </w:rPr>
        <w:t>vě není označován za obchodní tajemství.</w:t>
      </w:r>
    </w:p>
    <w:p w14:paraId="7E4F2022" w14:textId="77777777" w:rsidR="00EF3924" w:rsidRPr="00DD4226" w:rsidRDefault="00EF3924" w:rsidP="00DD4226">
      <w:pPr>
        <w:jc w:val="both"/>
        <w:rPr>
          <w:rFonts w:ascii="Arial" w:hAnsi="Arial" w:cs="Arial"/>
          <w:sz w:val="22"/>
          <w:szCs w:val="22"/>
        </w:rPr>
      </w:pPr>
    </w:p>
    <w:p w14:paraId="3C90C3DE" w14:textId="77777777" w:rsidR="00EF3924" w:rsidRDefault="007B6FBB" w:rsidP="00DD4226">
      <w:pPr>
        <w:jc w:val="both"/>
      </w:pPr>
      <w:r>
        <w:rPr>
          <w:rFonts w:ascii="Arial" w:hAnsi="Arial"/>
          <w:sz w:val="22"/>
          <w:szCs w:val="22"/>
        </w:rPr>
        <w:t>5. Smluvní strany souhlasí se zpracováním osobních údajů ve smyslu zákona č. 101/2000 Sb., o ochraně osobních údajů a o změně některých zákonů, ve znění pozdějších předpisů pro účely plnění předmětu smlouvy.</w:t>
      </w:r>
    </w:p>
    <w:p w14:paraId="18B6FDE2" w14:textId="77777777" w:rsidR="00EF3924" w:rsidRDefault="00EF3924" w:rsidP="00DD4226">
      <w:pPr>
        <w:jc w:val="both"/>
        <w:rPr>
          <w:rFonts w:ascii="Arial" w:hAnsi="Arial"/>
          <w:sz w:val="22"/>
          <w:szCs w:val="22"/>
        </w:rPr>
      </w:pPr>
    </w:p>
    <w:p w14:paraId="3F367F99" w14:textId="2DABF603" w:rsidR="00EF3924" w:rsidRDefault="007B6FBB" w:rsidP="00DD4226">
      <w:pPr>
        <w:jc w:val="both"/>
      </w:pPr>
      <w:r>
        <w:rPr>
          <w:rFonts w:ascii="Arial" w:hAnsi="Arial"/>
          <w:sz w:val="22"/>
          <w:szCs w:val="22"/>
        </w:rPr>
        <w:t>6. Smluvní strany berou na vědomí a souhlasí s uveřejněním dodatku vč. smlouvy v registru smluv dle zákona č. 340/2015 Sb., o zvláštních podmínkách účinnosti některých smluv, uveřejňování těchto smluv a o registru smluv (zákon o registru smluv) s tím, že budou dodrženy podmínky stanovené § 3 odst. 1 tohoto zákona.</w:t>
      </w:r>
    </w:p>
    <w:p w14:paraId="28C9E8C6" w14:textId="77777777" w:rsidR="00EF3924" w:rsidRDefault="00EF3924" w:rsidP="00DD4226">
      <w:pPr>
        <w:jc w:val="both"/>
        <w:rPr>
          <w:rFonts w:ascii="Arial" w:hAnsi="Arial"/>
          <w:sz w:val="22"/>
          <w:szCs w:val="22"/>
        </w:rPr>
      </w:pPr>
    </w:p>
    <w:p w14:paraId="64F3C5C0" w14:textId="77777777" w:rsidR="00EF3924" w:rsidRDefault="007B6FBB" w:rsidP="00DD4226">
      <w:pPr>
        <w:jc w:val="both"/>
      </w:pPr>
      <w:r>
        <w:rPr>
          <w:rFonts w:ascii="Arial" w:hAnsi="Arial"/>
          <w:sz w:val="22"/>
          <w:szCs w:val="22"/>
        </w:rPr>
        <w:t>7. Smluvní strany se dohodly, že v případě, že smlouva obsahuje informace týkající se obchodního tajemství dle § 504 občanského zákoníku, tyto informace budou označeny tak, aby nebyly součástí elektronického obrazu textového obsahu smlouvy.</w:t>
      </w:r>
    </w:p>
    <w:p w14:paraId="76F63E13" w14:textId="77777777" w:rsidR="00EF3924" w:rsidRDefault="00EF3924" w:rsidP="00DD4226">
      <w:pPr>
        <w:jc w:val="both"/>
        <w:rPr>
          <w:rFonts w:ascii="Arial" w:hAnsi="Arial"/>
          <w:sz w:val="22"/>
          <w:szCs w:val="22"/>
        </w:rPr>
      </w:pPr>
    </w:p>
    <w:p w14:paraId="5FB84B3F" w14:textId="77777777" w:rsidR="00EF3924" w:rsidRDefault="007B6FBB" w:rsidP="00DD4226">
      <w:pPr>
        <w:jc w:val="both"/>
      </w:pPr>
      <w:r>
        <w:rPr>
          <w:rFonts w:ascii="Arial" w:hAnsi="Arial"/>
          <w:sz w:val="22"/>
          <w:szCs w:val="22"/>
        </w:rPr>
        <w:t>8. Smluvní strany se dohodly, že uveřejnění smlouvy dle zákona č. 340/2015 Sb., zajistí zasláním správci registru smluv vypůjčitel.</w:t>
      </w:r>
    </w:p>
    <w:p w14:paraId="3C2BA2E7" w14:textId="77777777" w:rsidR="00EF3924" w:rsidRDefault="00EF3924" w:rsidP="00DD4226">
      <w:pPr>
        <w:jc w:val="both"/>
        <w:rPr>
          <w:rFonts w:ascii="Arial" w:hAnsi="Arial"/>
          <w:sz w:val="22"/>
          <w:szCs w:val="22"/>
        </w:rPr>
      </w:pPr>
    </w:p>
    <w:p w14:paraId="71154AC9" w14:textId="77777777" w:rsidR="00EF3924" w:rsidRDefault="007B6FBB" w:rsidP="00DD4226">
      <w:pPr>
        <w:jc w:val="both"/>
      </w:pPr>
      <w:r>
        <w:rPr>
          <w:rFonts w:ascii="Arial" w:hAnsi="Arial"/>
          <w:sz w:val="22"/>
          <w:szCs w:val="22"/>
        </w:rPr>
        <w:t>9. Smluvní strany shodně prohlašují, že si smlouvu řádně přečetly, souhlasí s jejím obsahem, neboť byla uzavřena na základě jejich pravé a svobodné vůle, což stvrzují svými podpisy.</w:t>
      </w:r>
    </w:p>
    <w:p w14:paraId="58E2FD2D" w14:textId="77777777" w:rsidR="00EF3924" w:rsidRDefault="00EF3924" w:rsidP="00DD4226">
      <w:pPr>
        <w:jc w:val="both"/>
        <w:rPr>
          <w:rFonts w:ascii="Arial" w:hAnsi="Arial"/>
          <w:sz w:val="22"/>
          <w:szCs w:val="22"/>
        </w:rPr>
      </w:pPr>
    </w:p>
    <w:p w14:paraId="17178071" w14:textId="77777777" w:rsidR="00EF3924" w:rsidRDefault="007B6FBB" w:rsidP="00DD4226">
      <w:pPr>
        <w:jc w:val="both"/>
      </w:pPr>
      <w:r>
        <w:rPr>
          <w:rFonts w:ascii="Arial" w:hAnsi="Arial"/>
          <w:sz w:val="22"/>
          <w:szCs w:val="22"/>
        </w:rPr>
        <w:t xml:space="preserve">10 Smlouva je vyhotovena ve čtyřech stejnopisech, z nichž pronajímatel i nájemce obdrží po dvou </w:t>
      </w:r>
      <w:r>
        <w:rPr>
          <w:rFonts w:ascii="Arial" w:hAnsi="Arial"/>
          <w:sz w:val="22"/>
          <w:szCs w:val="22"/>
        </w:rPr>
        <w:lastRenderedPageBreak/>
        <w:t>vyhotoveních.</w:t>
      </w:r>
    </w:p>
    <w:p w14:paraId="7BA72166" w14:textId="77777777" w:rsidR="00EF3924" w:rsidRDefault="00EF3924" w:rsidP="00DD4226">
      <w:pPr>
        <w:pStyle w:val="Pedformtovantext"/>
        <w:jc w:val="both"/>
        <w:rPr>
          <w:rFonts w:ascii="Arial" w:hAnsi="Arial"/>
          <w:sz w:val="22"/>
          <w:szCs w:val="22"/>
        </w:rPr>
      </w:pPr>
    </w:p>
    <w:p w14:paraId="55B948A7" w14:textId="77777777" w:rsidR="00EF3924" w:rsidRDefault="007B6FBB">
      <w:pPr>
        <w:pStyle w:val="Pedformtovantext"/>
      </w:pPr>
      <w:r>
        <w:rPr>
          <w:rFonts w:ascii="Arial" w:hAnsi="Arial"/>
          <w:sz w:val="22"/>
          <w:szCs w:val="22"/>
        </w:rPr>
        <w:t>-----------------------------------------------------------------------------------------------------------------------------------</w:t>
      </w:r>
    </w:p>
    <w:p w14:paraId="40251F96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6B398D10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19E59B45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188274AB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5FC28C5A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458F366E" w14:textId="4975312F" w:rsidR="00EF3924" w:rsidRDefault="007B6FBB">
      <w:pPr>
        <w:pStyle w:val="Pedformtovantext"/>
      </w:pPr>
      <w:r>
        <w:rPr>
          <w:rFonts w:ascii="Arial" w:hAnsi="Arial"/>
          <w:sz w:val="22"/>
          <w:szCs w:val="22"/>
        </w:rPr>
        <w:t xml:space="preserve">V Lounech dne </w:t>
      </w:r>
      <w:r w:rsidR="00DD4226">
        <w:rPr>
          <w:rFonts w:ascii="Arial" w:hAnsi="Arial"/>
          <w:sz w:val="22"/>
          <w:szCs w:val="22"/>
        </w:rPr>
        <w:t xml:space="preserve">  </w:t>
      </w:r>
      <w:r w:rsidR="006027E1">
        <w:rPr>
          <w:rFonts w:ascii="Arial" w:hAnsi="Arial"/>
          <w:sz w:val="22"/>
          <w:szCs w:val="22"/>
        </w:rPr>
        <w:t>14</w:t>
      </w:r>
      <w:r>
        <w:rPr>
          <w:rFonts w:ascii="Arial" w:hAnsi="Arial"/>
          <w:sz w:val="22"/>
          <w:szCs w:val="22"/>
        </w:rPr>
        <w:t xml:space="preserve">. </w:t>
      </w:r>
      <w:r w:rsidR="006027E1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>. 202</w:t>
      </w:r>
      <w:r w:rsidR="006027E1">
        <w:rPr>
          <w:rFonts w:ascii="Arial" w:hAnsi="Arial"/>
          <w:sz w:val="22"/>
          <w:szCs w:val="22"/>
        </w:rPr>
        <w:t>4</w:t>
      </w:r>
    </w:p>
    <w:p w14:paraId="2227FCB8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7316E1C0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4FDF8AD2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4DDD6EBC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42EDF0F9" w14:textId="77777777" w:rsidR="00EF3924" w:rsidRDefault="00EF3924">
      <w:pPr>
        <w:pStyle w:val="Pedformtovantext"/>
        <w:rPr>
          <w:rFonts w:ascii="Arial" w:hAnsi="Arial"/>
          <w:sz w:val="22"/>
          <w:szCs w:val="22"/>
        </w:rPr>
      </w:pPr>
    </w:p>
    <w:p w14:paraId="3D424FA8" w14:textId="77777777" w:rsidR="00EF3924" w:rsidRDefault="00DD4226">
      <w:pPr>
        <w:pStyle w:val="Pedformtovantext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7B6FBB">
        <w:rPr>
          <w:rFonts w:ascii="Arial" w:hAnsi="Arial"/>
          <w:sz w:val="22"/>
          <w:szCs w:val="22"/>
        </w:rPr>
        <w:t>…………………………………………..</w:t>
      </w:r>
      <w:r w:rsidR="007B6FBB">
        <w:rPr>
          <w:rFonts w:ascii="Arial" w:hAnsi="Arial"/>
          <w:sz w:val="22"/>
          <w:szCs w:val="22"/>
        </w:rPr>
        <w:tab/>
      </w:r>
      <w:r w:rsidR="007B6FBB">
        <w:rPr>
          <w:rFonts w:ascii="Arial" w:hAnsi="Arial"/>
          <w:sz w:val="22"/>
          <w:szCs w:val="22"/>
        </w:rPr>
        <w:tab/>
      </w:r>
      <w:r w:rsidR="007B6FBB">
        <w:rPr>
          <w:rFonts w:ascii="Arial" w:hAnsi="Arial"/>
          <w:sz w:val="22"/>
          <w:szCs w:val="22"/>
        </w:rPr>
        <w:tab/>
      </w:r>
      <w:r w:rsidR="007B6FBB">
        <w:rPr>
          <w:rFonts w:ascii="Arial" w:hAnsi="Arial"/>
          <w:sz w:val="22"/>
          <w:szCs w:val="22"/>
        </w:rPr>
        <w:tab/>
        <w:t>…………………………………….</w:t>
      </w:r>
    </w:p>
    <w:p w14:paraId="33F6B9A6" w14:textId="77777777" w:rsidR="00EF3924" w:rsidRDefault="007B6FBB">
      <w:pPr>
        <w:pStyle w:val="Pedformtovantext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Vrchlického divadlo, </w:t>
      </w:r>
      <w:proofErr w:type="spellStart"/>
      <w:r>
        <w:rPr>
          <w:rFonts w:ascii="Arial" w:hAnsi="Arial"/>
          <w:sz w:val="22"/>
          <w:szCs w:val="22"/>
        </w:rPr>
        <w:t>přispěvková</w:t>
      </w:r>
      <w:proofErr w:type="spellEnd"/>
      <w:r>
        <w:rPr>
          <w:rFonts w:ascii="Arial" w:hAnsi="Arial"/>
          <w:sz w:val="22"/>
          <w:szCs w:val="22"/>
        </w:rPr>
        <w:t xml:space="preserve"> organizace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DD4226"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 xml:space="preserve">    Veřejné stravování CZ, a. s </w:t>
      </w:r>
    </w:p>
    <w:p w14:paraId="1B3CD213" w14:textId="77777777" w:rsidR="00EF3924" w:rsidRDefault="00DD4226">
      <w:pPr>
        <w:pStyle w:val="Pedformtovantext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</w:t>
      </w:r>
      <w:r w:rsidR="007B6FBB">
        <w:rPr>
          <w:rFonts w:ascii="Arial" w:hAnsi="Arial"/>
          <w:sz w:val="22"/>
          <w:szCs w:val="22"/>
        </w:rPr>
        <w:t xml:space="preserve">Jakub Bielecki, ředitel </w:t>
      </w:r>
      <w:r w:rsidR="007B6FBB">
        <w:rPr>
          <w:rFonts w:ascii="Arial" w:hAnsi="Arial"/>
          <w:sz w:val="22"/>
          <w:szCs w:val="22"/>
        </w:rPr>
        <w:tab/>
      </w:r>
      <w:r w:rsidR="007B6FBB">
        <w:rPr>
          <w:rFonts w:ascii="Arial" w:hAnsi="Arial"/>
          <w:sz w:val="22"/>
          <w:szCs w:val="22"/>
        </w:rPr>
        <w:tab/>
      </w:r>
      <w:r w:rsidR="007B6FBB">
        <w:rPr>
          <w:rFonts w:ascii="Arial" w:hAnsi="Arial"/>
          <w:sz w:val="22"/>
          <w:szCs w:val="22"/>
        </w:rPr>
        <w:tab/>
      </w:r>
      <w:r w:rsidR="007B6FBB">
        <w:rPr>
          <w:rFonts w:ascii="Arial" w:hAnsi="Arial"/>
          <w:sz w:val="22"/>
          <w:szCs w:val="22"/>
        </w:rPr>
        <w:tab/>
      </w:r>
      <w:r w:rsidR="007B6FBB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     </w:t>
      </w:r>
      <w:r w:rsidR="007B6FBB">
        <w:rPr>
          <w:rFonts w:ascii="Arial" w:hAnsi="Arial"/>
          <w:sz w:val="22"/>
          <w:szCs w:val="22"/>
        </w:rPr>
        <w:t>Zdeněk Krupka</w:t>
      </w:r>
    </w:p>
    <w:p w14:paraId="0753E24C" w14:textId="77777777" w:rsidR="00EF3924" w:rsidRDefault="00DD4226">
      <w:pPr>
        <w:pStyle w:val="Pedformtovantext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</w:t>
      </w:r>
      <w:r w:rsidR="007B6FBB">
        <w:rPr>
          <w:rFonts w:ascii="Arial" w:hAnsi="Arial"/>
          <w:sz w:val="22"/>
          <w:szCs w:val="22"/>
        </w:rPr>
        <w:t xml:space="preserve">vypůjčitel </w:t>
      </w:r>
      <w:r w:rsidR="007B6FBB">
        <w:rPr>
          <w:rFonts w:ascii="Arial" w:hAnsi="Arial"/>
          <w:sz w:val="22"/>
          <w:szCs w:val="22"/>
        </w:rPr>
        <w:tab/>
      </w:r>
      <w:r w:rsidR="007B6FBB">
        <w:rPr>
          <w:rFonts w:ascii="Arial" w:hAnsi="Arial"/>
          <w:sz w:val="22"/>
          <w:szCs w:val="22"/>
        </w:rPr>
        <w:tab/>
      </w:r>
      <w:r w:rsidR="007B6FBB">
        <w:rPr>
          <w:rFonts w:ascii="Arial" w:hAnsi="Arial"/>
          <w:sz w:val="22"/>
          <w:szCs w:val="22"/>
        </w:rPr>
        <w:tab/>
      </w:r>
      <w:r w:rsidR="007B6FBB">
        <w:rPr>
          <w:rFonts w:ascii="Arial" w:hAnsi="Arial"/>
          <w:sz w:val="22"/>
          <w:szCs w:val="22"/>
        </w:rPr>
        <w:tab/>
      </w:r>
      <w:r w:rsidR="007B6FBB">
        <w:rPr>
          <w:rFonts w:ascii="Arial" w:hAnsi="Arial"/>
          <w:sz w:val="22"/>
          <w:szCs w:val="22"/>
        </w:rPr>
        <w:tab/>
      </w:r>
      <w:r w:rsidR="007B6FBB">
        <w:rPr>
          <w:rFonts w:ascii="Arial" w:hAnsi="Arial"/>
          <w:sz w:val="22"/>
          <w:szCs w:val="22"/>
        </w:rPr>
        <w:tab/>
      </w:r>
      <w:r w:rsidR="007B6FBB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</w:t>
      </w:r>
      <w:r w:rsidR="007B6FBB">
        <w:rPr>
          <w:rFonts w:ascii="Arial" w:hAnsi="Arial"/>
          <w:sz w:val="22"/>
          <w:szCs w:val="22"/>
        </w:rPr>
        <w:t xml:space="preserve">    uživatel</w:t>
      </w:r>
    </w:p>
    <w:p w14:paraId="381D2459" w14:textId="77777777" w:rsidR="00EF3924" w:rsidRDefault="00DD4226">
      <w:pPr>
        <w:pStyle w:val="Pedformtova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510840A6" w14:textId="77777777" w:rsidR="00EF3924" w:rsidRDefault="007B6FBB">
      <w:pPr>
        <w:pStyle w:val="Pedformtovantext"/>
      </w:pPr>
      <w:r>
        <w:rPr>
          <w:rFonts w:ascii="Arial" w:hAnsi="Arial"/>
          <w:sz w:val="22"/>
          <w:szCs w:val="22"/>
        </w:rPr>
        <w:t xml:space="preserve"> </w:t>
      </w:r>
    </w:p>
    <w:sectPr w:rsidR="00EF3924" w:rsidSect="00EF3924">
      <w:headerReference w:type="default" r:id="rId7"/>
      <w:footerReference w:type="default" r:id="rId8"/>
      <w:pgSz w:w="11906" w:h="16838"/>
      <w:pgMar w:top="1080" w:right="1134" w:bottom="624" w:left="1134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6E236" w14:textId="77777777" w:rsidR="00500E54" w:rsidRDefault="00500E54" w:rsidP="00EF3924">
      <w:r>
        <w:separator/>
      </w:r>
    </w:p>
  </w:endnote>
  <w:endnote w:type="continuationSeparator" w:id="0">
    <w:p w14:paraId="6BE3D35F" w14:textId="77777777" w:rsidR="00500E54" w:rsidRDefault="00500E54" w:rsidP="00EF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663BF" w14:textId="77777777" w:rsidR="00EF3924" w:rsidRDefault="00EF3924">
    <w:pPr>
      <w:pStyle w:val="Zpat1"/>
      <w:jc w:val="right"/>
    </w:pPr>
    <w:r>
      <w:fldChar w:fldCharType="begin"/>
    </w:r>
    <w:r w:rsidR="007B6FBB">
      <w:instrText>PAGE</w:instrText>
    </w:r>
    <w:r>
      <w:fldChar w:fldCharType="separate"/>
    </w:r>
    <w:r w:rsidR="00DD4226">
      <w:rPr>
        <w:noProof/>
      </w:rPr>
      <w:t>1</w:t>
    </w:r>
    <w:r>
      <w:fldChar w:fldCharType="end"/>
    </w:r>
  </w:p>
  <w:p w14:paraId="630D5C11" w14:textId="77777777" w:rsidR="00EF3924" w:rsidRDefault="00EF3924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D778C" w14:textId="77777777" w:rsidR="00500E54" w:rsidRDefault="00500E54" w:rsidP="00EF3924">
      <w:r>
        <w:separator/>
      </w:r>
    </w:p>
  </w:footnote>
  <w:footnote w:type="continuationSeparator" w:id="0">
    <w:p w14:paraId="36A99A66" w14:textId="77777777" w:rsidR="00500E54" w:rsidRDefault="00500E54" w:rsidP="00EF3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33D0" w14:textId="77777777" w:rsidR="00EF3924" w:rsidRDefault="00EF3924">
    <w:pPr>
      <w:pStyle w:val="Zhlav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24"/>
    <w:rsid w:val="0012375D"/>
    <w:rsid w:val="00161681"/>
    <w:rsid w:val="00187891"/>
    <w:rsid w:val="00312BBA"/>
    <w:rsid w:val="00500E54"/>
    <w:rsid w:val="006027E1"/>
    <w:rsid w:val="006901B4"/>
    <w:rsid w:val="00703CE1"/>
    <w:rsid w:val="0072570D"/>
    <w:rsid w:val="0073689E"/>
    <w:rsid w:val="00783007"/>
    <w:rsid w:val="007B6FBB"/>
    <w:rsid w:val="008C16C8"/>
    <w:rsid w:val="00B643DD"/>
    <w:rsid w:val="00C0045E"/>
    <w:rsid w:val="00DD4226"/>
    <w:rsid w:val="00E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F5CB"/>
  <w15:docId w15:val="{C1CC5ED2-23BD-42B4-B436-3018612B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Mangal"/>
        <w:kern w:val="2"/>
        <w:sz w:val="2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924"/>
    <w:pPr>
      <w:widowControl w:val="0"/>
      <w:suppressAutoHyphens/>
    </w:pPr>
    <w:rPr>
      <w:rFonts w:ascii="Times New Roman" w:eastAsia="Times New Roman" w:hAnsi="Times New Roman" w:cs="Tahoma"/>
      <w:color w:val="00000A"/>
      <w:sz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EF3924"/>
    <w:rPr>
      <w:color w:val="000080"/>
      <w:u w:val="single"/>
    </w:rPr>
  </w:style>
  <w:style w:type="character" w:customStyle="1" w:styleId="Odrky">
    <w:name w:val="Odrážky"/>
    <w:qFormat/>
    <w:rsid w:val="00EF3924"/>
    <w:rPr>
      <w:rFonts w:ascii="OpenSymbol" w:eastAsia="OpenSymbol" w:hAnsi="OpenSymbol" w:cs="OpenSymbol"/>
    </w:rPr>
  </w:style>
  <w:style w:type="character" w:customStyle="1" w:styleId="TextbublinyChar">
    <w:name w:val="Text bubliny Char"/>
    <w:basedOn w:val="Standardnpsmoodstavce"/>
    <w:qFormat/>
    <w:rsid w:val="00EF3924"/>
    <w:rPr>
      <w:rFonts w:ascii="Times New Roman" w:hAnsi="Times New Roman" w:cs="Times New Roman"/>
      <w:sz w:val="2"/>
    </w:rPr>
  </w:style>
  <w:style w:type="character" w:customStyle="1" w:styleId="ZhlavChar">
    <w:name w:val="Záhlaví Char"/>
    <w:basedOn w:val="Standardnpsmoodstavce"/>
    <w:qFormat/>
    <w:rsid w:val="00EF3924"/>
  </w:style>
  <w:style w:type="character" w:customStyle="1" w:styleId="ZpatChar">
    <w:name w:val="Zápatí Char"/>
    <w:basedOn w:val="Standardnpsmoodstavce"/>
    <w:qFormat/>
    <w:rsid w:val="00EF3924"/>
  </w:style>
  <w:style w:type="character" w:customStyle="1" w:styleId="Silnzdraznn">
    <w:name w:val="Silné zdůraznění"/>
    <w:qFormat/>
    <w:rsid w:val="00EF3924"/>
    <w:rPr>
      <w:b/>
      <w:bCs/>
    </w:rPr>
  </w:style>
  <w:style w:type="paragraph" w:customStyle="1" w:styleId="Nadpis">
    <w:name w:val="Nadpis"/>
    <w:basedOn w:val="Normln"/>
    <w:next w:val="Zkladntext"/>
    <w:qFormat/>
    <w:rsid w:val="00EF392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EF3924"/>
    <w:pPr>
      <w:spacing w:after="120"/>
    </w:pPr>
  </w:style>
  <w:style w:type="paragraph" w:styleId="Seznam">
    <w:name w:val="List"/>
    <w:basedOn w:val="Zkladntext"/>
    <w:rsid w:val="00EF3924"/>
    <w:rPr>
      <w:rFonts w:cs="Mangal"/>
    </w:rPr>
  </w:style>
  <w:style w:type="paragraph" w:customStyle="1" w:styleId="Titulek1">
    <w:name w:val="Titulek1"/>
    <w:basedOn w:val="Normln"/>
    <w:qFormat/>
    <w:rsid w:val="00EF392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EF3924"/>
    <w:pPr>
      <w:suppressLineNumbers/>
    </w:pPr>
    <w:rPr>
      <w:rFonts w:cs="Mangal"/>
    </w:rPr>
  </w:style>
  <w:style w:type="paragraph" w:styleId="Textbubliny">
    <w:name w:val="Balloon Text"/>
    <w:basedOn w:val="Normln"/>
    <w:qFormat/>
    <w:rsid w:val="00EF3924"/>
    <w:rPr>
      <w:rFonts w:ascii="Tahoma" w:hAnsi="Tahoma"/>
      <w:sz w:val="16"/>
      <w:szCs w:val="16"/>
    </w:rPr>
  </w:style>
  <w:style w:type="paragraph" w:customStyle="1" w:styleId="Prosttext1">
    <w:name w:val="Prostý text1"/>
    <w:basedOn w:val="Normln"/>
    <w:qFormat/>
    <w:rsid w:val="00EF3924"/>
    <w:rPr>
      <w:rFonts w:ascii="Courier New" w:hAnsi="Courier New" w:cs="Courier New"/>
      <w:sz w:val="20"/>
      <w:szCs w:val="20"/>
    </w:rPr>
  </w:style>
  <w:style w:type="paragraph" w:customStyle="1" w:styleId="Zhlavazpat">
    <w:name w:val="Záhlaví a zápatí"/>
    <w:basedOn w:val="Normln"/>
    <w:qFormat/>
    <w:rsid w:val="00EF3924"/>
  </w:style>
  <w:style w:type="paragraph" w:customStyle="1" w:styleId="Zhlav1">
    <w:name w:val="Záhlaví1"/>
    <w:basedOn w:val="Normln"/>
    <w:rsid w:val="00EF392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EF3924"/>
    <w:pPr>
      <w:tabs>
        <w:tab w:val="center" w:pos="4536"/>
        <w:tab w:val="right" w:pos="9072"/>
      </w:tabs>
    </w:pPr>
  </w:style>
  <w:style w:type="paragraph" w:customStyle="1" w:styleId="Pedformtovantext">
    <w:name w:val="Předformátovaný text"/>
    <w:basedOn w:val="Normln"/>
    <w:qFormat/>
    <w:rsid w:val="00EF3924"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7216-84BC-45CA-B49B-9B1F6FBB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 užívání věci - Kulturního domu Zastávka,</vt:lpstr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 užívání věci - Kulturního domu Zastávka,</dc:title>
  <dc:subject/>
  <dc:creator>Pavelková Eva Ing.</dc:creator>
  <dc:description/>
  <cp:lastModifiedBy>KamilaS</cp:lastModifiedBy>
  <cp:revision>3</cp:revision>
  <cp:lastPrinted>2015-10-08T14:18:00Z</cp:lastPrinted>
  <dcterms:created xsi:type="dcterms:W3CDTF">2024-05-20T11:23:00Z</dcterms:created>
  <dcterms:modified xsi:type="dcterms:W3CDTF">2024-05-20T11:25:00Z</dcterms:modified>
  <dc:language>cs-CZ</dc:language>
</cp:coreProperties>
</file>