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49C01" w14:textId="77777777" w:rsidR="007B5FB2" w:rsidRDefault="00000000">
      <w:pPr>
        <w:pStyle w:val="Heading410"/>
        <w:keepNext/>
        <w:keepLines/>
      </w:pPr>
      <w:bookmarkStart w:id="0" w:name="bookmark2"/>
      <w:r>
        <w:rPr>
          <w:rStyle w:val="Heading41"/>
        </w:rPr>
        <w:t>Dodatek č. 1</w:t>
      </w:r>
      <w:r>
        <w:rPr>
          <w:rStyle w:val="Heading41"/>
        </w:rPr>
        <w:br/>
        <w:t>ke Smlouvě na zhotovení projektové dokumentace a autorského dozoru</w:t>
      </w:r>
      <w:bookmarkEnd w:id="0"/>
    </w:p>
    <w:p w14:paraId="72A1AA67" w14:textId="5F964C57" w:rsidR="007B5FB2" w:rsidRDefault="00000000">
      <w:pPr>
        <w:spacing w:line="1" w:lineRule="exact"/>
        <w:sectPr w:rsidR="007B5FB2">
          <w:pgSz w:w="11900" w:h="16840"/>
          <w:pgMar w:top="1354" w:right="687" w:bottom="1434" w:left="1305" w:header="926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14630" distB="36195" distL="0" distR="0" simplePos="0" relativeHeight="125829378" behindDoc="0" locked="0" layoutInCell="1" allowOverlap="1" wp14:anchorId="78AE134D" wp14:editId="492766E9">
                <wp:simplePos x="0" y="0"/>
                <wp:positionH relativeFrom="page">
                  <wp:posOffset>3270250</wp:posOffset>
                </wp:positionH>
                <wp:positionV relativeFrom="paragraph">
                  <wp:posOffset>214630</wp:posOffset>
                </wp:positionV>
                <wp:extent cx="987425" cy="1644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A8C0B" w14:textId="77777777" w:rsidR="007B5FB2" w:rsidRDefault="00000000">
                            <w:pPr>
                              <w:pStyle w:val="Heading510"/>
                              <w:keepNext/>
                              <w:keepLines/>
                              <w:spacing w:line="240" w:lineRule="auto"/>
                            </w:pPr>
                            <w:bookmarkStart w:id="1" w:name="bookmark0"/>
                            <w:r>
                              <w:rPr>
                                <w:rStyle w:val="Heading51"/>
                                <w:b/>
                                <w:bCs/>
                              </w:rPr>
                              <w:t>I. Smluvní strany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AE134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57.5pt;margin-top:16.9pt;width:77.75pt;height:12.95pt;z-index:125829378;visibility:visible;mso-wrap-style:none;mso-wrap-distance-left:0;mso-wrap-distance-top:16.9pt;mso-wrap-distance-right:0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" filled="f" stroked="f">
                <v:textbox inset="0,0,0,0">
                  <w:txbxContent>
                    <w:p w14:paraId="29FA8C0B" w14:textId="77777777" w:rsidR="007B5FB2" w:rsidRDefault="00000000">
                      <w:pPr>
                        <w:pStyle w:val="Heading510"/>
                        <w:keepNext/>
                        <w:keepLines/>
                        <w:spacing w:line="240" w:lineRule="auto"/>
                      </w:pPr>
                      <w:bookmarkStart w:id="2" w:name="bookmark0"/>
                      <w:r>
                        <w:rPr>
                          <w:rStyle w:val="Heading51"/>
                          <w:b/>
                          <w:bCs/>
                        </w:rPr>
                        <w:t>I. Smluvní strany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6336"/>
      </w:tblGrid>
      <w:tr w:rsidR="007B5FB2" w14:paraId="33D8EBDF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915" w:type="dxa"/>
            <w:shd w:val="clear" w:color="auto" w:fill="auto"/>
            <w:vAlign w:val="bottom"/>
          </w:tcPr>
          <w:p w14:paraId="3F131BAB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after="40" w:line="240" w:lineRule="auto"/>
            </w:pPr>
            <w:r>
              <w:rPr>
                <w:rStyle w:val="Other1"/>
              </w:rPr>
              <w:t xml:space="preserve">Se </w:t>
            </w:r>
            <w:proofErr w:type="gramStart"/>
            <w:r>
              <w:rPr>
                <w:rStyle w:val="Other1"/>
              </w:rPr>
              <w:t>sídlem :</w:t>
            </w:r>
            <w:proofErr w:type="gramEnd"/>
          </w:p>
          <w:p w14:paraId="5B193879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line="240" w:lineRule="auto"/>
            </w:pPr>
            <w:proofErr w:type="gramStart"/>
            <w:r>
              <w:rPr>
                <w:rStyle w:val="Other1"/>
              </w:rPr>
              <w:t>Zastoupena :</w:t>
            </w:r>
            <w:proofErr w:type="gramEnd"/>
          </w:p>
        </w:tc>
        <w:tc>
          <w:tcPr>
            <w:tcW w:w="63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8737D" w14:textId="1E44B7E3" w:rsidR="007B5FB2" w:rsidRDefault="00000000">
            <w:pPr>
              <w:pStyle w:val="Other10"/>
              <w:framePr w:w="8251" w:h="2484" w:vSpace="346" w:wrap="notBeside" w:vAnchor="text" w:hAnchor="text" w:y="347"/>
              <w:tabs>
                <w:tab w:val="left" w:pos="4893"/>
                <w:tab w:val="left" w:leader="dot" w:pos="6282"/>
              </w:tabs>
              <w:spacing w:after="40" w:line="240" w:lineRule="auto"/>
              <w:ind w:firstLine="220"/>
            </w:pPr>
            <w:r>
              <w:rPr>
                <w:rStyle w:val="Other1"/>
              </w:rPr>
              <w:t>Dělnická 1132/24, 736 01 Havířov</w:t>
            </w:r>
            <w:r>
              <w:rPr>
                <w:rStyle w:val="Other1"/>
              </w:rPr>
              <w:tab/>
            </w:r>
          </w:p>
          <w:p w14:paraId="00937415" w14:textId="43DA5515" w:rsidR="007B5FB2" w:rsidRDefault="00000000">
            <w:pPr>
              <w:pStyle w:val="Other10"/>
              <w:framePr w:w="8251" w:h="2484" w:vSpace="346" w:wrap="notBeside" w:vAnchor="text" w:hAnchor="text" w:y="347"/>
              <w:tabs>
                <w:tab w:val="left" w:pos="4907"/>
              </w:tabs>
              <w:spacing w:line="240" w:lineRule="auto"/>
              <w:ind w:left="220"/>
            </w:pPr>
            <w:r>
              <w:rPr>
                <w:rStyle w:val="Other1"/>
              </w:rPr>
              <w:t>ředitel</w:t>
            </w:r>
            <w:r>
              <w:rPr>
                <w:rStyle w:val="Other1"/>
              </w:rPr>
              <w:tab/>
            </w:r>
          </w:p>
        </w:tc>
      </w:tr>
      <w:tr w:rsidR="007B5FB2" w14:paraId="4B9172A4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915" w:type="dxa"/>
            <w:shd w:val="clear" w:color="auto" w:fill="auto"/>
          </w:tcPr>
          <w:p w14:paraId="23DDA43B" w14:textId="77777777" w:rsidR="007B5FB2" w:rsidRDefault="00000000">
            <w:pPr>
              <w:pStyle w:val="Other10"/>
              <w:framePr w:w="8251" w:h="2484" w:vSpace="346" w:wrap="notBeside" w:vAnchor="text" w:hAnchor="text" w:y="347"/>
            </w:pPr>
            <w:r>
              <w:rPr>
                <w:rStyle w:val="Other1"/>
              </w:rPr>
              <w:t>Oprávněná osoba k jednání ve věcech technických:</w:t>
            </w:r>
          </w:p>
        </w:tc>
        <w:tc>
          <w:tcPr>
            <w:tcW w:w="6336" w:type="dxa"/>
            <w:shd w:val="clear" w:color="auto" w:fill="auto"/>
            <w:vAlign w:val="bottom"/>
          </w:tcPr>
          <w:p w14:paraId="751DBF1F" w14:textId="77777777" w:rsidR="00763CA7" w:rsidRDefault="00000000">
            <w:pPr>
              <w:pStyle w:val="Other10"/>
              <w:framePr w:w="8251" w:h="2484" w:vSpace="346" w:wrap="notBeside" w:vAnchor="text" w:hAnchor="text" w:y="347"/>
              <w:spacing w:line="300" w:lineRule="auto"/>
              <w:ind w:left="220"/>
              <w:rPr>
                <w:rStyle w:val="Other1"/>
              </w:rPr>
            </w:pPr>
            <w:r>
              <w:rPr>
                <w:rStyle w:val="Other1"/>
              </w:rPr>
              <w:t xml:space="preserve">provozně-technický náměstek </w:t>
            </w:r>
          </w:p>
          <w:p w14:paraId="08F21EBA" w14:textId="526483B6" w:rsidR="007B5FB2" w:rsidRDefault="00000000">
            <w:pPr>
              <w:pStyle w:val="Other10"/>
              <w:framePr w:w="8251" w:h="2484" w:vSpace="346" w:wrap="notBeside" w:vAnchor="text" w:hAnchor="text" w:y="347"/>
              <w:spacing w:line="300" w:lineRule="auto"/>
              <w:ind w:left="220"/>
            </w:pPr>
            <w:r>
              <w:rPr>
                <w:rStyle w:val="Other1"/>
              </w:rPr>
              <w:t>manažer provozně-technických činností</w:t>
            </w:r>
          </w:p>
        </w:tc>
      </w:tr>
      <w:tr w:rsidR="007B5FB2" w14:paraId="0D94A4DE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915" w:type="dxa"/>
            <w:shd w:val="clear" w:color="auto" w:fill="auto"/>
          </w:tcPr>
          <w:p w14:paraId="25E7CE17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after="40" w:line="240" w:lineRule="auto"/>
            </w:pPr>
            <w:r>
              <w:rPr>
                <w:rStyle w:val="Other1"/>
              </w:rPr>
              <w:t>IČ:</w:t>
            </w:r>
          </w:p>
          <w:p w14:paraId="48DA15AE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line="240" w:lineRule="auto"/>
            </w:pPr>
            <w:r>
              <w:rPr>
                <w:rStyle w:val="Other1"/>
              </w:rPr>
              <w:t>DIČ:</w:t>
            </w:r>
          </w:p>
        </w:tc>
        <w:tc>
          <w:tcPr>
            <w:tcW w:w="6336" w:type="dxa"/>
            <w:shd w:val="clear" w:color="auto" w:fill="auto"/>
          </w:tcPr>
          <w:p w14:paraId="717E9F6E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after="40" w:line="240" w:lineRule="auto"/>
              <w:ind w:firstLine="220"/>
            </w:pPr>
            <w:r>
              <w:rPr>
                <w:rStyle w:val="Other1"/>
              </w:rPr>
              <w:t>00844896</w:t>
            </w:r>
          </w:p>
          <w:p w14:paraId="21B73C65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line="240" w:lineRule="auto"/>
              <w:ind w:firstLine="220"/>
            </w:pPr>
            <w:r>
              <w:rPr>
                <w:rStyle w:val="Other1"/>
              </w:rPr>
              <w:t>CZ00844896</w:t>
            </w:r>
          </w:p>
        </w:tc>
      </w:tr>
      <w:tr w:rsidR="007B5FB2" w14:paraId="5CF245B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15" w:type="dxa"/>
            <w:shd w:val="clear" w:color="auto" w:fill="auto"/>
            <w:vAlign w:val="bottom"/>
          </w:tcPr>
          <w:p w14:paraId="1A8598A4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line="240" w:lineRule="auto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6336" w:type="dxa"/>
            <w:shd w:val="clear" w:color="auto" w:fill="auto"/>
            <w:vAlign w:val="bottom"/>
          </w:tcPr>
          <w:p w14:paraId="123D83B4" w14:textId="1139F895" w:rsidR="007B5FB2" w:rsidRDefault="007B5FB2">
            <w:pPr>
              <w:pStyle w:val="Other10"/>
              <w:framePr w:w="8251" w:h="2484" w:vSpace="346" w:wrap="notBeside" w:vAnchor="text" w:hAnchor="text" w:y="347"/>
              <w:spacing w:line="240" w:lineRule="auto"/>
              <w:ind w:firstLine="220"/>
            </w:pPr>
          </w:p>
        </w:tc>
      </w:tr>
      <w:tr w:rsidR="007B5FB2" w14:paraId="165BD40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915" w:type="dxa"/>
            <w:shd w:val="clear" w:color="auto" w:fill="auto"/>
          </w:tcPr>
          <w:p w14:paraId="556A4A16" w14:textId="77777777" w:rsidR="007B5FB2" w:rsidRDefault="00000000">
            <w:pPr>
              <w:pStyle w:val="Other10"/>
              <w:framePr w:w="8251" w:h="2484" w:vSpace="346" w:wrap="notBeside" w:vAnchor="text" w:hAnchor="text" w:y="347"/>
              <w:spacing w:line="240" w:lineRule="auto"/>
            </w:pPr>
            <w:r>
              <w:rPr>
                <w:rStyle w:val="Other1"/>
              </w:rPr>
              <w:t xml:space="preserve">Číslo </w:t>
            </w:r>
            <w:proofErr w:type="gramStart"/>
            <w:r>
              <w:rPr>
                <w:rStyle w:val="Other1"/>
              </w:rPr>
              <w:t>účtu :</w:t>
            </w:r>
            <w:proofErr w:type="gramEnd"/>
          </w:p>
        </w:tc>
        <w:tc>
          <w:tcPr>
            <w:tcW w:w="6336" w:type="dxa"/>
            <w:shd w:val="clear" w:color="auto" w:fill="auto"/>
          </w:tcPr>
          <w:p w14:paraId="69A91371" w14:textId="78022A64" w:rsidR="007B5FB2" w:rsidRDefault="007B5FB2">
            <w:pPr>
              <w:pStyle w:val="Other10"/>
              <w:framePr w:w="8251" w:h="2484" w:vSpace="346" w:wrap="notBeside" w:vAnchor="text" w:hAnchor="text" w:y="347"/>
              <w:spacing w:line="240" w:lineRule="auto"/>
              <w:ind w:firstLine="220"/>
            </w:pPr>
          </w:p>
        </w:tc>
      </w:tr>
    </w:tbl>
    <w:p w14:paraId="5BE1112A" w14:textId="23FB9567" w:rsidR="007B5FB2" w:rsidRDefault="00000000">
      <w:pPr>
        <w:pStyle w:val="Tablecaption10"/>
        <w:framePr w:w="8230" w:h="216" w:hSpace="1677" w:wrap="notBeside" w:vAnchor="text" w:hAnchor="text" w:x="23" w:y="1"/>
        <w:tabs>
          <w:tab w:val="left" w:pos="6785"/>
        </w:tabs>
        <w:spacing w:line="240" w:lineRule="auto"/>
        <w:ind w:left="3120"/>
        <w:rPr>
          <w:sz w:val="14"/>
          <w:szCs w:val="14"/>
        </w:rPr>
      </w:pPr>
      <w:r>
        <w:rPr>
          <w:rStyle w:val="Tablecaption1"/>
          <w:sz w:val="14"/>
          <w:szCs w:val="14"/>
        </w:rPr>
        <w:t>,</w:t>
      </w:r>
      <w:r>
        <w:rPr>
          <w:rStyle w:val="Tablecaption1"/>
          <w:sz w:val="14"/>
          <w:szCs w:val="14"/>
        </w:rPr>
        <w:tab/>
      </w:r>
    </w:p>
    <w:p w14:paraId="645C5A30" w14:textId="77777777" w:rsidR="007B5FB2" w:rsidRDefault="00000000">
      <w:pPr>
        <w:pStyle w:val="Tablecaption10"/>
        <w:framePr w:w="8230" w:h="223" w:hSpace="1677" w:wrap="notBeside" w:vAnchor="text" w:hAnchor="text" w:x="23" w:y="189"/>
        <w:spacing w:line="190" w:lineRule="auto"/>
      </w:pPr>
      <w:r>
        <w:rPr>
          <w:rStyle w:val="Tablecaption1"/>
          <w:b/>
          <w:bCs/>
        </w:rPr>
        <w:t>1. Nemocnice Havířov, příspěvková organizace</w:t>
      </w:r>
    </w:p>
    <w:p w14:paraId="45FCCCC9" w14:textId="77777777" w:rsidR="007B5FB2" w:rsidRDefault="00000000">
      <w:pPr>
        <w:pStyle w:val="Tablecaption10"/>
        <w:framePr w:w="7006" w:h="562" w:hSpace="2901" w:wrap="notBeside" w:vAnchor="text" w:hAnchor="text" w:y="2853"/>
      </w:pPr>
      <w:r>
        <w:rPr>
          <w:rStyle w:val="Tablecaption1"/>
        </w:rPr>
        <w:t xml:space="preserve">Zapsána v obchodním rejstříku Krajského soudu v Ostravě, oddíl </w:t>
      </w:r>
      <w:proofErr w:type="spellStart"/>
      <w:r>
        <w:rPr>
          <w:rStyle w:val="Tablecaption1"/>
        </w:rPr>
        <w:t>Pr</w:t>
      </w:r>
      <w:proofErr w:type="spellEnd"/>
      <w:r>
        <w:rPr>
          <w:rStyle w:val="Tablecaption1"/>
        </w:rPr>
        <w:t xml:space="preserve">, vložka 899 dále jen v části B a D </w:t>
      </w:r>
      <w:r>
        <w:rPr>
          <w:rStyle w:val="Tablecaption1"/>
          <w:b/>
          <w:bCs/>
        </w:rPr>
        <w:t xml:space="preserve">„objednatel" </w:t>
      </w:r>
      <w:r>
        <w:rPr>
          <w:rStyle w:val="Tablecaption1"/>
        </w:rPr>
        <w:t xml:space="preserve">a v části C </w:t>
      </w:r>
      <w:r>
        <w:rPr>
          <w:rStyle w:val="Tablecaption1"/>
          <w:b/>
          <w:bCs/>
        </w:rPr>
        <w:t>„příkazce"</w:t>
      </w:r>
    </w:p>
    <w:p w14:paraId="0E4923B3" w14:textId="77777777" w:rsidR="007B5FB2" w:rsidRDefault="007B5FB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5026"/>
      </w:tblGrid>
      <w:tr w:rsidR="007B5FB2" w14:paraId="7B496D5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22" w:type="dxa"/>
            <w:shd w:val="clear" w:color="auto" w:fill="auto"/>
          </w:tcPr>
          <w:p w14:paraId="26EB33FD" w14:textId="77777777" w:rsidR="007B5FB2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  <w:b/>
                <w:bCs/>
              </w:rPr>
              <w:t>2. PROSPECT, s.r.o.</w:t>
            </w:r>
          </w:p>
          <w:p w14:paraId="28363FF6" w14:textId="77777777" w:rsidR="007B5FB2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 xml:space="preserve">Se </w:t>
            </w:r>
            <w:proofErr w:type="gramStart"/>
            <w:r>
              <w:rPr>
                <w:rStyle w:val="Other1"/>
              </w:rPr>
              <w:t>sídlem :</w:t>
            </w:r>
            <w:proofErr w:type="gramEnd"/>
          </w:p>
        </w:tc>
        <w:tc>
          <w:tcPr>
            <w:tcW w:w="5026" w:type="dxa"/>
            <w:shd w:val="clear" w:color="auto" w:fill="auto"/>
            <w:vAlign w:val="bottom"/>
          </w:tcPr>
          <w:p w14:paraId="44408C0B" w14:textId="77777777" w:rsidR="007B5FB2" w:rsidRDefault="00000000">
            <w:pPr>
              <w:pStyle w:val="Other10"/>
              <w:spacing w:line="240" w:lineRule="auto"/>
              <w:ind w:firstLine="200"/>
            </w:pPr>
            <w:r>
              <w:rPr>
                <w:rStyle w:val="Other1"/>
              </w:rPr>
              <w:t>Výstavní 2224/8, 709 00 Ostrava</w:t>
            </w:r>
          </w:p>
        </w:tc>
      </w:tr>
      <w:tr w:rsidR="007B5FB2" w14:paraId="4B7E863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22" w:type="dxa"/>
            <w:shd w:val="clear" w:color="auto" w:fill="auto"/>
            <w:vAlign w:val="bottom"/>
          </w:tcPr>
          <w:p w14:paraId="4AF59427" w14:textId="77777777" w:rsidR="007B5FB2" w:rsidRDefault="00000000">
            <w:pPr>
              <w:pStyle w:val="Other10"/>
              <w:spacing w:line="240" w:lineRule="auto"/>
            </w:pPr>
            <w:proofErr w:type="gramStart"/>
            <w:r>
              <w:rPr>
                <w:rStyle w:val="Other1"/>
              </w:rPr>
              <w:t>Zastoupena :</w:t>
            </w:r>
            <w:proofErr w:type="gramEnd"/>
          </w:p>
        </w:tc>
        <w:tc>
          <w:tcPr>
            <w:tcW w:w="5026" w:type="dxa"/>
            <w:shd w:val="clear" w:color="auto" w:fill="auto"/>
            <w:vAlign w:val="bottom"/>
          </w:tcPr>
          <w:p w14:paraId="4A417050" w14:textId="06213C5D" w:rsidR="007B5FB2" w:rsidRDefault="00000000">
            <w:pPr>
              <w:pStyle w:val="Other10"/>
              <w:spacing w:line="240" w:lineRule="auto"/>
              <w:ind w:firstLine="200"/>
            </w:pPr>
            <w:r>
              <w:rPr>
                <w:rStyle w:val="Other1"/>
              </w:rPr>
              <w:t>jednatel společnosti</w:t>
            </w:r>
          </w:p>
        </w:tc>
      </w:tr>
      <w:tr w:rsidR="007B5FB2" w14:paraId="78FA22B3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922" w:type="dxa"/>
            <w:shd w:val="clear" w:color="auto" w:fill="auto"/>
          </w:tcPr>
          <w:p w14:paraId="4FF03EC1" w14:textId="77777777" w:rsidR="007B5FB2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IČ:</w:t>
            </w:r>
          </w:p>
          <w:p w14:paraId="4EA44A3A" w14:textId="77777777" w:rsidR="007B5FB2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DIČ:</w:t>
            </w:r>
          </w:p>
        </w:tc>
        <w:tc>
          <w:tcPr>
            <w:tcW w:w="5026" w:type="dxa"/>
            <w:shd w:val="clear" w:color="auto" w:fill="auto"/>
          </w:tcPr>
          <w:p w14:paraId="0FC0844A" w14:textId="77777777" w:rsidR="007B5FB2" w:rsidRDefault="00000000">
            <w:pPr>
              <w:pStyle w:val="Other10"/>
              <w:spacing w:after="40" w:line="240" w:lineRule="auto"/>
              <w:ind w:firstLine="200"/>
            </w:pPr>
            <w:r>
              <w:rPr>
                <w:rStyle w:val="Other1"/>
              </w:rPr>
              <w:t>14616688</w:t>
            </w:r>
          </w:p>
          <w:p w14:paraId="679FCFF7" w14:textId="77777777" w:rsidR="007B5FB2" w:rsidRDefault="00000000">
            <w:pPr>
              <w:pStyle w:val="Other10"/>
              <w:spacing w:line="240" w:lineRule="auto"/>
              <w:ind w:firstLine="200"/>
            </w:pPr>
            <w:r>
              <w:rPr>
                <w:rStyle w:val="Other1"/>
              </w:rPr>
              <w:t>CZ14616688</w:t>
            </w:r>
          </w:p>
        </w:tc>
      </w:tr>
      <w:tr w:rsidR="007B5FB2" w14:paraId="2E7B6F8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22" w:type="dxa"/>
            <w:shd w:val="clear" w:color="auto" w:fill="auto"/>
          </w:tcPr>
          <w:p w14:paraId="2F12236A" w14:textId="77777777" w:rsidR="007B5FB2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5026" w:type="dxa"/>
            <w:shd w:val="clear" w:color="auto" w:fill="auto"/>
          </w:tcPr>
          <w:p w14:paraId="65E5730C" w14:textId="44155CFA" w:rsidR="007B5FB2" w:rsidRDefault="007B5FB2">
            <w:pPr>
              <w:pStyle w:val="Other10"/>
              <w:spacing w:line="240" w:lineRule="auto"/>
              <w:ind w:firstLine="200"/>
            </w:pPr>
          </w:p>
        </w:tc>
      </w:tr>
    </w:tbl>
    <w:p w14:paraId="50722B30" w14:textId="77777777" w:rsidR="007B5FB2" w:rsidRDefault="00000000">
      <w:pPr>
        <w:pStyle w:val="Tablecaption10"/>
      </w:pPr>
      <w:r>
        <w:rPr>
          <w:rStyle w:val="Tablecaption1"/>
        </w:rPr>
        <w:t xml:space="preserve">Zapsána v obchodním rejstříku Krajského soudu v Ostravě, oddíl C, vložka 660 Dále jen v části A, B a D </w:t>
      </w:r>
      <w:r>
        <w:rPr>
          <w:rStyle w:val="Tablecaption1"/>
          <w:b/>
          <w:bCs/>
        </w:rPr>
        <w:t xml:space="preserve">„zhotovitel" </w:t>
      </w:r>
      <w:r>
        <w:rPr>
          <w:rStyle w:val="Tablecaption1"/>
        </w:rPr>
        <w:t xml:space="preserve">a v části C </w:t>
      </w:r>
      <w:r>
        <w:rPr>
          <w:rStyle w:val="Tablecaption1"/>
          <w:b/>
          <w:bCs/>
        </w:rPr>
        <w:t>„příkazník"</w:t>
      </w:r>
    </w:p>
    <w:p w14:paraId="46EFC387" w14:textId="77777777" w:rsidR="007B5FB2" w:rsidRDefault="007B5FB2">
      <w:pPr>
        <w:spacing w:after="499" w:line="1" w:lineRule="exact"/>
      </w:pPr>
    </w:p>
    <w:p w14:paraId="772CEBE1" w14:textId="77777777" w:rsidR="007B5FB2" w:rsidRDefault="00000000">
      <w:pPr>
        <w:pStyle w:val="Bodytext10"/>
        <w:spacing w:after="260" w:line="293" w:lineRule="auto"/>
      </w:pPr>
      <w:r>
        <w:rPr>
          <w:rStyle w:val="Bodytext1"/>
        </w:rPr>
        <w:t xml:space="preserve">Na základě Smlouvy na zhotovení projektové dokumentace a autorského dozoru uzavřené dne 9.2.2024 se smluvní strany dohodly na těchto </w:t>
      </w:r>
      <w:proofErr w:type="gramStart"/>
      <w:r>
        <w:rPr>
          <w:rStyle w:val="Bodytext1"/>
        </w:rPr>
        <w:t>změnách :</w:t>
      </w:r>
      <w:proofErr w:type="gramEnd"/>
    </w:p>
    <w:p w14:paraId="11620EC7" w14:textId="77777777" w:rsidR="007B5FB2" w:rsidRDefault="00000000">
      <w:pPr>
        <w:pStyle w:val="Heading510"/>
        <w:keepNext/>
        <w:keepLines/>
        <w:numPr>
          <w:ilvl w:val="0"/>
          <w:numId w:val="1"/>
        </w:numPr>
        <w:tabs>
          <w:tab w:val="left" w:pos="709"/>
        </w:tabs>
      </w:pPr>
      <w:bookmarkStart w:id="3" w:name="bookmark4"/>
      <w:r>
        <w:rPr>
          <w:rStyle w:val="Heading51"/>
          <w:b/>
          <w:bCs/>
        </w:rPr>
        <w:t xml:space="preserve">článek IV. Doba a místo plnění se odst. la) mění </w:t>
      </w:r>
      <w:proofErr w:type="gramStart"/>
      <w:r>
        <w:rPr>
          <w:rStyle w:val="Heading51"/>
          <w:b/>
          <w:bCs/>
        </w:rPr>
        <w:t>následovně :</w:t>
      </w:r>
      <w:bookmarkEnd w:id="3"/>
      <w:proofErr w:type="gramEnd"/>
    </w:p>
    <w:p w14:paraId="79DD9B77" w14:textId="77777777" w:rsidR="007B5FB2" w:rsidRDefault="00000000">
      <w:pPr>
        <w:pStyle w:val="Bodytext10"/>
        <w:spacing w:after="260"/>
      </w:pPr>
      <w:r>
        <w:rPr>
          <w:rStyle w:val="Bodytext1"/>
        </w:rPr>
        <w:t>Smluvní strany se dohodly na prodloužení termínu dodání předmětu plnění do 26.4.2024 včetně zapracování připomínek objednatele, s výjimkou hlukové studie, která bude dodána po provedení měření úrovně hluku. Toto měření bude možné provést po uvedení do provozu systému chlazení v Nemocnici Havířov.</w:t>
      </w:r>
    </w:p>
    <w:p w14:paraId="45A226C1" w14:textId="77777777" w:rsidR="007B5FB2" w:rsidRDefault="00000000">
      <w:pPr>
        <w:pStyle w:val="Heading510"/>
        <w:keepNext/>
        <w:keepLines/>
        <w:numPr>
          <w:ilvl w:val="0"/>
          <w:numId w:val="1"/>
        </w:numPr>
        <w:tabs>
          <w:tab w:val="left" w:pos="709"/>
        </w:tabs>
        <w:spacing w:line="300" w:lineRule="auto"/>
      </w:pPr>
      <w:bookmarkStart w:id="4" w:name="bookmark6"/>
      <w:r>
        <w:rPr>
          <w:rStyle w:val="Heading51"/>
          <w:b/>
          <w:bCs/>
        </w:rPr>
        <w:t xml:space="preserve">článek VII. Cena díla se mění </w:t>
      </w:r>
      <w:proofErr w:type="gramStart"/>
      <w:r>
        <w:rPr>
          <w:rStyle w:val="Heading51"/>
          <w:b/>
          <w:bCs/>
        </w:rPr>
        <w:t>následovně :</w:t>
      </w:r>
      <w:bookmarkEnd w:id="4"/>
      <w:proofErr w:type="gramEnd"/>
    </w:p>
    <w:p w14:paraId="78B5A422" w14:textId="77777777" w:rsidR="007B5FB2" w:rsidRDefault="00000000">
      <w:pPr>
        <w:pStyle w:val="Bodytext10"/>
        <w:spacing w:line="300" w:lineRule="auto"/>
      </w:pPr>
      <w:r>
        <w:rPr>
          <w:rStyle w:val="Bodytext1"/>
          <w:u w:val="single"/>
        </w:rPr>
        <w:t>Vícepráce v rozsahu:</w:t>
      </w:r>
    </w:p>
    <w:p w14:paraId="6B66AD60" w14:textId="77777777" w:rsidR="007B5FB2" w:rsidRDefault="00000000">
      <w:pPr>
        <w:pStyle w:val="Bodytext10"/>
        <w:numPr>
          <w:ilvl w:val="0"/>
          <w:numId w:val="2"/>
        </w:numPr>
        <w:tabs>
          <w:tab w:val="left" w:pos="709"/>
        </w:tabs>
        <w:spacing w:line="300" w:lineRule="auto"/>
        <w:ind w:left="720" w:hanging="720"/>
      </w:pPr>
      <w:r>
        <w:rPr>
          <w:rStyle w:val="Bodytext1"/>
        </w:rPr>
        <w:t>Provedení indikativního měření hlukové situace současného stavu, měření lze provést až v průběhu května 2024.</w:t>
      </w:r>
    </w:p>
    <w:p w14:paraId="5D1633FC" w14:textId="77777777" w:rsidR="007B5FB2" w:rsidRDefault="00000000">
      <w:pPr>
        <w:pStyle w:val="Bodytext10"/>
        <w:numPr>
          <w:ilvl w:val="0"/>
          <w:numId w:val="2"/>
        </w:numPr>
        <w:tabs>
          <w:tab w:val="left" w:pos="709"/>
        </w:tabs>
        <w:spacing w:line="300" w:lineRule="auto"/>
        <w:ind w:left="720" w:hanging="720"/>
      </w:pPr>
      <w:r>
        <w:rPr>
          <w:rStyle w:val="Bodytext1"/>
        </w:rPr>
        <w:t>Technické projednání koncepce přenosu dat na energetický dispečink MSKEC, tvorba databáze přenášených hodnot a stavů</w:t>
      </w:r>
    </w:p>
    <w:p w14:paraId="37D52AFB" w14:textId="77777777" w:rsidR="007B5FB2" w:rsidRDefault="00000000">
      <w:pPr>
        <w:pStyle w:val="Bodytext10"/>
        <w:spacing w:after="160" w:line="300" w:lineRule="auto"/>
        <w:ind w:firstLine="720"/>
      </w:pPr>
      <w:r>
        <w:rPr>
          <w:rStyle w:val="Bodytext1"/>
          <w:b/>
          <w:bCs/>
        </w:rPr>
        <w:t>Cena víceprací: 15 000,-Kč</w:t>
      </w:r>
    </w:p>
    <w:p w14:paraId="07DEB042" w14:textId="77777777" w:rsidR="007B5FB2" w:rsidRDefault="00000000">
      <w:pPr>
        <w:pStyle w:val="Bodytext10"/>
        <w:spacing w:after="160" w:line="324" w:lineRule="auto"/>
      </w:pPr>
      <w:r>
        <w:rPr>
          <w:rStyle w:val="Bodytext1"/>
        </w:rPr>
        <w:t>Vícepráce vznikly v důsledku požadavku Moravskoslezského energetického centra na sledování parametrů KGJ. Tento požadavek byl vznesen po vyhlášení VZ.</w:t>
      </w:r>
    </w:p>
    <w:p w14:paraId="051C9BFD" w14:textId="77777777" w:rsidR="007B5FB2" w:rsidRDefault="00000000">
      <w:pPr>
        <w:pStyle w:val="Bodytext10"/>
        <w:spacing w:line="300" w:lineRule="auto"/>
      </w:pPr>
      <w:proofErr w:type="spellStart"/>
      <w:r>
        <w:rPr>
          <w:rStyle w:val="Bodytext1"/>
          <w:u w:val="single"/>
        </w:rPr>
        <w:t>Měněpráce</w:t>
      </w:r>
      <w:proofErr w:type="spellEnd"/>
      <w:r>
        <w:rPr>
          <w:rStyle w:val="Bodytext1"/>
          <w:u w:val="single"/>
        </w:rPr>
        <w:t xml:space="preserve"> v </w:t>
      </w:r>
      <w:proofErr w:type="gramStart"/>
      <w:r>
        <w:rPr>
          <w:rStyle w:val="Bodytext1"/>
          <w:u w:val="single"/>
        </w:rPr>
        <w:t>rozsahu :</w:t>
      </w:r>
      <w:proofErr w:type="gramEnd"/>
    </w:p>
    <w:p w14:paraId="3598DB61" w14:textId="77777777" w:rsidR="007B5FB2" w:rsidRDefault="00000000">
      <w:pPr>
        <w:pStyle w:val="Bodytext10"/>
        <w:spacing w:line="300" w:lineRule="auto"/>
      </w:pPr>
      <w:r>
        <w:rPr>
          <w:rStyle w:val="Bodytext1"/>
        </w:rPr>
        <w:t>a) dopracování požárně bezpečnostního řešení stavby</w:t>
      </w:r>
    </w:p>
    <w:p w14:paraId="4424E0FE" w14:textId="77777777" w:rsidR="007B5FB2" w:rsidRDefault="00000000">
      <w:pPr>
        <w:pStyle w:val="Bodytext10"/>
        <w:spacing w:after="260" w:line="300" w:lineRule="auto"/>
        <w:ind w:firstLine="720"/>
        <w:sectPr w:rsidR="007B5FB2">
          <w:type w:val="continuous"/>
          <w:pgSz w:w="11900" w:h="16840"/>
          <w:pgMar w:top="1354" w:right="687" w:bottom="1354" w:left="1305" w:header="0" w:footer="3" w:gutter="0"/>
          <w:cols w:space="720"/>
          <w:noEndnote/>
          <w:docGrid w:linePitch="360"/>
        </w:sectPr>
      </w:pPr>
      <w:r>
        <w:rPr>
          <w:rStyle w:val="Bodytext1"/>
          <w:b/>
          <w:bCs/>
        </w:rPr>
        <w:t>Cena méněprací: 15 000,-Kč</w:t>
      </w:r>
    </w:p>
    <w:p w14:paraId="55D8586C" w14:textId="77777777" w:rsidR="007B5FB2" w:rsidRDefault="00000000">
      <w:pPr>
        <w:pStyle w:val="Bodytext10"/>
        <w:framePr w:w="8575" w:h="641" w:wrap="none" w:hAnchor="page" w:x="1431" w:y="1"/>
        <w:spacing w:line="324" w:lineRule="auto"/>
      </w:pPr>
      <w:r>
        <w:rPr>
          <w:rStyle w:val="Bodytext1"/>
        </w:rPr>
        <w:lastRenderedPageBreak/>
        <w:t xml:space="preserve">Dopracování PBŘ stavby nebylo možné dokončit z důvodu absence původního PBŘ a nedostatku informací o zařízeních v kotelně, na </w:t>
      </w:r>
      <w:proofErr w:type="gramStart"/>
      <w:r>
        <w:rPr>
          <w:rStyle w:val="Bodytext1"/>
        </w:rPr>
        <w:t>základě</w:t>
      </w:r>
      <w:proofErr w:type="gramEnd"/>
      <w:r>
        <w:rPr>
          <w:rStyle w:val="Bodytext1"/>
        </w:rPr>
        <w:t xml:space="preserve"> kterých by PBŘ mohlo být vypracováno.</w:t>
      </w:r>
    </w:p>
    <w:p w14:paraId="67C51381" w14:textId="77777777" w:rsidR="007B5FB2" w:rsidRDefault="00000000">
      <w:pPr>
        <w:pStyle w:val="Bodytext10"/>
        <w:framePr w:w="3031" w:h="353" w:wrap="none" w:hAnchor="page" w:x="1417" w:y="2125"/>
        <w:spacing w:line="240" w:lineRule="auto"/>
      </w:pPr>
      <w:r>
        <w:rPr>
          <w:rStyle w:val="Bodytext1"/>
        </w:rPr>
        <w:t xml:space="preserve">V Havířově, </w:t>
      </w:r>
      <w:proofErr w:type="gramStart"/>
      <w:r>
        <w:rPr>
          <w:rStyle w:val="Bodytext1"/>
        </w:rPr>
        <w:t>dne :</w:t>
      </w:r>
      <w:proofErr w:type="gramEnd"/>
      <w:r>
        <w:rPr>
          <w:rStyle w:val="Bodytext1"/>
        </w:rPr>
        <w:t xml:space="preserve"> 2 4, 04. 2024</w:t>
      </w:r>
    </w:p>
    <w:p w14:paraId="0E8A27C3" w14:textId="77777777" w:rsidR="007B5FB2" w:rsidRDefault="00000000">
      <w:pPr>
        <w:pStyle w:val="Bodytext10"/>
        <w:framePr w:w="1454" w:h="245" w:wrap="none" w:hAnchor="page" w:x="6378" w:y="2125"/>
        <w:spacing w:line="240" w:lineRule="auto"/>
      </w:pPr>
      <w:r>
        <w:rPr>
          <w:rStyle w:val="Bodytext1"/>
        </w:rPr>
        <w:t xml:space="preserve">V Ostravě, </w:t>
      </w:r>
      <w:proofErr w:type="gramStart"/>
      <w:r>
        <w:rPr>
          <w:rStyle w:val="Bodytext1"/>
        </w:rPr>
        <w:t>dne :</w:t>
      </w:r>
      <w:proofErr w:type="gramEnd"/>
    </w:p>
    <w:p w14:paraId="50154C24" w14:textId="029CCE92" w:rsidR="007B5FB2" w:rsidRDefault="007B5FB2">
      <w:pPr>
        <w:spacing w:line="360" w:lineRule="exact"/>
      </w:pPr>
    </w:p>
    <w:p w14:paraId="5C16D825" w14:textId="77777777" w:rsidR="007B5FB2" w:rsidRDefault="007B5FB2">
      <w:pPr>
        <w:spacing w:line="360" w:lineRule="exact"/>
      </w:pPr>
    </w:p>
    <w:p w14:paraId="736EDFD3" w14:textId="77777777" w:rsidR="007B5FB2" w:rsidRDefault="007B5FB2">
      <w:pPr>
        <w:spacing w:line="360" w:lineRule="exact"/>
      </w:pPr>
    </w:p>
    <w:p w14:paraId="7F8DA06D" w14:textId="77777777" w:rsidR="007B5FB2" w:rsidRDefault="007B5FB2">
      <w:pPr>
        <w:spacing w:line="360" w:lineRule="exact"/>
      </w:pPr>
    </w:p>
    <w:p w14:paraId="775082AF" w14:textId="77777777" w:rsidR="007B5FB2" w:rsidRDefault="007B5FB2">
      <w:pPr>
        <w:spacing w:line="360" w:lineRule="exact"/>
      </w:pPr>
    </w:p>
    <w:p w14:paraId="66B274F9" w14:textId="77777777" w:rsidR="007B5FB2" w:rsidRDefault="007B5FB2">
      <w:pPr>
        <w:spacing w:line="360" w:lineRule="exact"/>
      </w:pPr>
    </w:p>
    <w:p w14:paraId="673E68F8" w14:textId="77777777" w:rsidR="007B5FB2" w:rsidRDefault="007B5FB2">
      <w:pPr>
        <w:spacing w:line="360" w:lineRule="exact"/>
      </w:pPr>
    </w:p>
    <w:p w14:paraId="604DDD3D" w14:textId="77777777" w:rsidR="007B5FB2" w:rsidRDefault="007B5FB2">
      <w:pPr>
        <w:spacing w:line="360" w:lineRule="exact"/>
      </w:pPr>
    </w:p>
    <w:p w14:paraId="262D63A0" w14:textId="77777777" w:rsidR="007B5FB2" w:rsidRDefault="007B5FB2">
      <w:pPr>
        <w:spacing w:line="360" w:lineRule="exact"/>
      </w:pPr>
    </w:p>
    <w:p w14:paraId="3653AB45" w14:textId="77777777" w:rsidR="007B5FB2" w:rsidRDefault="007B5FB2">
      <w:pPr>
        <w:spacing w:line="360" w:lineRule="exact"/>
      </w:pPr>
    </w:p>
    <w:p w14:paraId="42DE4E1B" w14:textId="77777777" w:rsidR="007B5FB2" w:rsidRDefault="007B5FB2">
      <w:pPr>
        <w:spacing w:line="360" w:lineRule="exact"/>
      </w:pPr>
    </w:p>
    <w:p w14:paraId="65674C0E" w14:textId="77777777" w:rsidR="007B5FB2" w:rsidRDefault="007B5FB2">
      <w:pPr>
        <w:spacing w:line="360" w:lineRule="exact"/>
      </w:pPr>
    </w:p>
    <w:p w14:paraId="46DDA4A7" w14:textId="77777777" w:rsidR="007B5FB2" w:rsidRDefault="007B5FB2">
      <w:pPr>
        <w:spacing w:line="360" w:lineRule="exact"/>
      </w:pPr>
    </w:p>
    <w:p w14:paraId="40028644" w14:textId="77777777" w:rsidR="007B5FB2" w:rsidRDefault="007B5FB2">
      <w:pPr>
        <w:spacing w:line="360" w:lineRule="exact"/>
      </w:pPr>
    </w:p>
    <w:p w14:paraId="3BE5B240" w14:textId="77777777" w:rsidR="007B5FB2" w:rsidRDefault="007B5FB2">
      <w:pPr>
        <w:spacing w:line="360" w:lineRule="exact"/>
      </w:pPr>
    </w:p>
    <w:p w14:paraId="75F40907" w14:textId="77777777" w:rsidR="007B5FB2" w:rsidRDefault="007B5FB2">
      <w:pPr>
        <w:spacing w:line="360" w:lineRule="exact"/>
      </w:pPr>
    </w:p>
    <w:p w14:paraId="2E0B5232" w14:textId="77777777" w:rsidR="007B5FB2" w:rsidRDefault="007B5FB2">
      <w:pPr>
        <w:spacing w:line="360" w:lineRule="exact"/>
      </w:pPr>
    </w:p>
    <w:p w14:paraId="035D1D5D" w14:textId="77777777" w:rsidR="007B5FB2" w:rsidRDefault="007B5FB2">
      <w:pPr>
        <w:spacing w:line="360" w:lineRule="exact"/>
      </w:pPr>
    </w:p>
    <w:p w14:paraId="263C1A0E" w14:textId="77777777" w:rsidR="007B5FB2" w:rsidRDefault="007B5FB2">
      <w:pPr>
        <w:spacing w:line="360" w:lineRule="exact"/>
      </w:pPr>
    </w:p>
    <w:p w14:paraId="6AC05770" w14:textId="77777777" w:rsidR="007B5FB2" w:rsidRDefault="007B5FB2">
      <w:pPr>
        <w:spacing w:line="360" w:lineRule="exact"/>
      </w:pPr>
    </w:p>
    <w:p w14:paraId="6FE7410C" w14:textId="77777777" w:rsidR="007B5FB2" w:rsidRDefault="007B5FB2">
      <w:pPr>
        <w:spacing w:line="360" w:lineRule="exact"/>
      </w:pPr>
    </w:p>
    <w:p w14:paraId="15B74FA4" w14:textId="77777777" w:rsidR="007B5FB2" w:rsidRDefault="007B5FB2">
      <w:pPr>
        <w:spacing w:line="360" w:lineRule="exact"/>
      </w:pPr>
    </w:p>
    <w:p w14:paraId="3476F7CF" w14:textId="77777777" w:rsidR="007B5FB2" w:rsidRDefault="007B5FB2">
      <w:pPr>
        <w:spacing w:line="360" w:lineRule="exact"/>
      </w:pPr>
    </w:p>
    <w:p w14:paraId="530D80A3" w14:textId="77777777" w:rsidR="007B5FB2" w:rsidRDefault="007B5FB2">
      <w:pPr>
        <w:spacing w:line="360" w:lineRule="exact"/>
      </w:pPr>
    </w:p>
    <w:p w14:paraId="480CCF25" w14:textId="77777777" w:rsidR="007B5FB2" w:rsidRDefault="007B5FB2">
      <w:pPr>
        <w:spacing w:line="360" w:lineRule="exact"/>
      </w:pPr>
    </w:p>
    <w:p w14:paraId="2E73A7CB" w14:textId="77777777" w:rsidR="007B5FB2" w:rsidRDefault="007B5FB2">
      <w:pPr>
        <w:spacing w:line="360" w:lineRule="exact"/>
      </w:pPr>
    </w:p>
    <w:p w14:paraId="25F8D90F" w14:textId="77777777" w:rsidR="007B5FB2" w:rsidRDefault="007B5FB2">
      <w:pPr>
        <w:spacing w:line="360" w:lineRule="exact"/>
      </w:pPr>
    </w:p>
    <w:p w14:paraId="56ABE4C5" w14:textId="77777777" w:rsidR="007B5FB2" w:rsidRDefault="007B5FB2">
      <w:pPr>
        <w:spacing w:line="360" w:lineRule="exact"/>
      </w:pPr>
    </w:p>
    <w:p w14:paraId="1B744EFB" w14:textId="77777777" w:rsidR="007B5FB2" w:rsidRDefault="007B5FB2">
      <w:pPr>
        <w:spacing w:line="360" w:lineRule="exact"/>
      </w:pPr>
    </w:p>
    <w:p w14:paraId="5806BEDC" w14:textId="77777777" w:rsidR="007B5FB2" w:rsidRDefault="007B5FB2">
      <w:pPr>
        <w:spacing w:line="360" w:lineRule="exact"/>
      </w:pPr>
    </w:p>
    <w:p w14:paraId="15D4E94C" w14:textId="77777777" w:rsidR="007B5FB2" w:rsidRDefault="007B5FB2">
      <w:pPr>
        <w:spacing w:line="360" w:lineRule="exact"/>
      </w:pPr>
    </w:p>
    <w:p w14:paraId="2406C740" w14:textId="77777777" w:rsidR="007B5FB2" w:rsidRDefault="007B5FB2">
      <w:pPr>
        <w:spacing w:line="360" w:lineRule="exact"/>
      </w:pPr>
    </w:p>
    <w:p w14:paraId="3316B665" w14:textId="77777777" w:rsidR="007B5FB2" w:rsidRDefault="007B5FB2">
      <w:pPr>
        <w:spacing w:line="360" w:lineRule="exact"/>
      </w:pPr>
    </w:p>
    <w:p w14:paraId="096019DC" w14:textId="77777777" w:rsidR="007B5FB2" w:rsidRDefault="007B5FB2">
      <w:pPr>
        <w:spacing w:line="360" w:lineRule="exact"/>
      </w:pPr>
    </w:p>
    <w:p w14:paraId="46CCC63E" w14:textId="77777777" w:rsidR="007B5FB2" w:rsidRDefault="007B5FB2">
      <w:pPr>
        <w:spacing w:line="360" w:lineRule="exact"/>
      </w:pPr>
    </w:p>
    <w:p w14:paraId="38DE10A4" w14:textId="77777777" w:rsidR="007B5FB2" w:rsidRDefault="007B5FB2">
      <w:pPr>
        <w:spacing w:line="360" w:lineRule="exact"/>
      </w:pPr>
    </w:p>
    <w:p w14:paraId="3A312E6F" w14:textId="77777777" w:rsidR="007B5FB2" w:rsidRDefault="007B5FB2">
      <w:pPr>
        <w:spacing w:line="360" w:lineRule="exact"/>
      </w:pPr>
    </w:p>
    <w:p w14:paraId="0BCF1D69" w14:textId="77777777" w:rsidR="007B5FB2" w:rsidRDefault="007B5FB2">
      <w:pPr>
        <w:spacing w:line="360" w:lineRule="exact"/>
      </w:pPr>
    </w:p>
    <w:p w14:paraId="23A80AC1" w14:textId="77777777" w:rsidR="007B5FB2" w:rsidRDefault="007B5FB2">
      <w:pPr>
        <w:spacing w:line="360" w:lineRule="exact"/>
      </w:pPr>
    </w:p>
    <w:p w14:paraId="00B15E24" w14:textId="77777777" w:rsidR="007B5FB2" w:rsidRDefault="007B5FB2">
      <w:pPr>
        <w:spacing w:line="360" w:lineRule="exact"/>
      </w:pPr>
    </w:p>
    <w:p w14:paraId="2F753E41" w14:textId="77777777" w:rsidR="007B5FB2" w:rsidRDefault="007B5FB2">
      <w:pPr>
        <w:spacing w:line="360" w:lineRule="exact"/>
      </w:pPr>
    </w:p>
    <w:p w14:paraId="3FE21FC7" w14:textId="77777777" w:rsidR="007B5FB2" w:rsidRDefault="007B5FB2">
      <w:pPr>
        <w:spacing w:line="360" w:lineRule="exact"/>
      </w:pPr>
    </w:p>
    <w:p w14:paraId="60E9E44E" w14:textId="77777777" w:rsidR="007B5FB2" w:rsidRDefault="007B5FB2">
      <w:pPr>
        <w:spacing w:after="424" w:line="1" w:lineRule="exact"/>
      </w:pPr>
    </w:p>
    <w:p w14:paraId="07E85FC1" w14:textId="77777777" w:rsidR="007B5FB2" w:rsidRDefault="007B5FB2">
      <w:pPr>
        <w:spacing w:line="1" w:lineRule="exact"/>
      </w:pPr>
    </w:p>
    <w:sectPr w:rsidR="007B5FB2">
      <w:pgSz w:w="11900" w:h="16840"/>
      <w:pgMar w:top="1095" w:right="1895" w:bottom="0" w:left="1416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2F5B7" w14:textId="77777777" w:rsidR="00C32615" w:rsidRDefault="00C32615">
      <w:r>
        <w:separator/>
      </w:r>
    </w:p>
  </w:endnote>
  <w:endnote w:type="continuationSeparator" w:id="0">
    <w:p w14:paraId="013ECA88" w14:textId="77777777" w:rsidR="00C32615" w:rsidRDefault="00C3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C518A" w14:textId="77777777" w:rsidR="00C32615" w:rsidRDefault="00C32615"/>
  </w:footnote>
  <w:footnote w:type="continuationSeparator" w:id="0">
    <w:p w14:paraId="1E6AA90D" w14:textId="77777777" w:rsidR="00C32615" w:rsidRDefault="00C32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63D"/>
    <w:multiLevelType w:val="multilevel"/>
    <w:tmpl w:val="F350C6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F5A6C"/>
    <w:multiLevelType w:val="multilevel"/>
    <w:tmpl w:val="643E0A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903623">
    <w:abstractNumId w:val="0"/>
  </w:num>
  <w:num w:numId="2" w16cid:durableId="200659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B2"/>
    <w:rsid w:val="00325426"/>
    <w:rsid w:val="00763CA7"/>
    <w:rsid w:val="007B5FB2"/>
    <w:rsid w:val="00C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29C7"/>
  <w15:docId w15:val="{39CF3DC6-670B-403C-A840-E5C6896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color w:val="5F55AF"/>
      <w:sz w:val="60"/>
      <w:szCs w:val="60"/>
      <w:u w:val="none"/>
    </w:rPr>
  </w:style>
  <w:style w:type="paragraph" w:customStyle="1" w:styleId="Heading510">
    <w:name w:val="Heading #5|1"/>
    <w:basedOn w:val="Normln"/>
    <w:link w:val="Heading51"/>
    <w:pPr>
      <w:spacing w:line="298" w:lineRule="auto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4"/>
      <w:szCs w:val="14"/>
    </w:rPr>
  </w:style>
  <w:style w:type="paragraph" w:customStyle="1" w:styleId="Heading410">
    <w:name w:val="Heading #4|1"/>
    <w:basedOn w:val="Normln"/>
    <w:link w:val="Heading41"/>
    <w:pPr>
      <w:spacing w:line="276" w:lineRule="auto"/>
      <w:jc w:val="center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pacing w:line="298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pacing w:line="293" w:lineRule="auto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line="298" w:lineRule="auto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pacing w:line="331" w:lineRule="auto"/>
      <w:jc w:val="center"/>
    </w:pPr>
    <w:rPr>
      <w:b/>
      <w:bCs/>
      <w:sz w:val="11"/>
      <w:szCs w:val="11"/>
    </w:rPr>
  </w:style>
  <w:style w:type="paragraph" w:customStyle="1" w:styleId="Heading310">
    <w:name w:val="Heading #3|1"/>
    <w:basedOn w:val="Normln"/>
    <w:link w:val="Heading31"/>
    <w:pPr>
      <w:spacing w:line="65" w:lineRule="exact"/>
      <w:jc w:val="center"/>
      <w:outlineLvl w:val="2"/>
    </w:pPr>
    <w:rPr>
      <w:rFonts w:ascii="Arial" w:eastAsia="Arial" w:hAnsi="Arial" w:cs="Arial"/>
      <w:sz w:val="38"/>
      <w:szCs w:val="38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44"/>
      <w:szCs w:val="44"/>
    </w:rPr>
  </w:style>
  <w:style w:type="paragraph" w:customStyle="1" w:styleId="Heading110">
    <w:name w:val="Heading #1|1"/>
    <w:basedOn w:val="Normln"/>
    <w:link w:val="Heading11"/>
    <w:pPr>
      <w:outlineLvl w:val="0"/>
    </w:pPr>
    <w:rPr>
      <w:i/>
      <w:iCs/>
      <w:color w:val="5F55AF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2024-05-17T12:36:00Z</dcterms:created>
  <dcterms:modified xsi:type="dcterms:W3CDTF">2024-05-17T12:36:00Z</dcterms:modified>
</cp:coreProperties>
</file>