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77777777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6D140D">
        <w:rPr>
          <w:sz w:val="24"/>
          <w:szCs w:val="24"/>
        </w:rPr>
        <w:t>2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1986F3D2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F4150E">
        <w:rPr>
          <w:szCs w:val="18"/>
        </w:rPr>
        <w:t>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>Mgr. Jarmila Benýšková,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4179E87C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F4150E">
            <w:rPr>
              <w:szCs w:val="18"/>
            </w:rPr>
            <w:t>xxxxxxxxxxxxx</w:t>
          </w:r>
          <w:proofErr w:type="spellEnd"/>
        </w:sdtContent>
      </w:sdt>
    </w:p>
    <w:p w14:paraId="5124C0F2" w14:textId="2EE52F16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proofErr w:type="spellStart"/>
          <w:r w:rsidR="00F4150E">
            <w:rPr>
              <w:szCs w:val="18"/>
            </w:rPr>
            <w:t>xxxxxxxxxxxxxx</w:t>
          </w:r>
          <w:proofErr w:type="spellEnd"/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77777777" w:rsidR="004A0B07" w:rsidRPr="006B7201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77777777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6D140D" w:rsidRPr="006B7201">
        <w:t>2</w:t>
      </w:r>
    </w:p>
    <w:p w14:paraId="184EAA92" w14:textId="77777777" w:rsidR="00F3302E" w:rsidRPr="0020201B" w:rsidRDefault="0074129F" w:rsidP="006B7201">
      <w:pPr>
        <w:pStyle w:val="rove2-slovantext"/>
        <w:tabs>
          <w:tab w:val="clear" w:pos="397"/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t>II.</w:t>
      </w:r>
    </w:p>
    <w:p w14:paraId="62C6B696" w14:textId="77777777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6D140D">
        <w:rPr>
          <w:lang w:eastAsia="ar-SA"/>
        </w:rPr>
        <w:t>2</w:t>
      </w:r>
    </w:p>
    <w:p w14:paraId="7C578762" w14:textId="3309B6F3" w:rsidR="00A02629" w:rsidRDefault="006B7201" w:rsidP="006B720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lang w:eastAsia="ar-SA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B90860">
        <w:rPr>
          <w:lang w:eastAsia="ar-SA"/>
        </w:rPr>
        <w:t xml:space="preserve">Projektová dokumentace předpokládá realizaci třípodlažní budovy a </w:t>
      </w:r>
      <w:r w:rsidR="00A02629">
        <w:rPr>
          <w:lang w:eastAsia="ar-SA"/>
        </w:rPr>
        <w:t xml:space="preserve">následně nástavbu čtvrtého podlaží. Schodiště mezi 3. NP a 4. NP je proto řešeno jako dodatečně montované z ocelových profilů s dobetonávkou. Vzhledem k tomu, že se budují všechna 4 podlaží najednou, smluvní strany se </w:t>
      </w:r>
      <w:r w:rsidR="00A02629">
        <w:rPr>
          <w:lang w:eastAsia="ar-SA"/>
        </w:rPr>
        <w:lastRenderedPageBreak/>
        <w:t xml:space="preserve">dohodly, že </w:t>
      </w:r>
      <w:r w:rsidR="00A02629" w:rsidRPr="006B7201">
        <w:rPr>
          <w:b/>
          <w:lang w:eastAsia="ar-SA"/>
        </w:rPr>
        <w:t>schodiště mezi 3. NP a 4.NP</w:t>
      </w:r>
      <w:r w:rsidR="00A02629">
        <w:rPr>
          <w:lang w:eastAsia="ar-SA"/>
        </w:rPr>
        <w:t xml:space="preserve"> bude provedeno shodnou metodou jako ostatní schodiště v budově, tj. železobetonové.</w:t>
      </w:r>
    </w:p>
    <w:p w14:paraId="44F1B436" w14:textId="77777777" w:rsidR="00A02629" w:rsidRDefault="00A02629" w:rsidP="006B7201">
      <w:pPr>
        <w:pStyle w:val="rove2-slovantext"/>
        <w:numPr>
          <w:ilvl w:val="0"/>
          <w:numId w:val="0"/>
        </w:numPr>
        <w:ind w:left="397" w:firstLine="311"/>
        <w:rPr>
          <w:lang w:eastAsia="ar-SA"/>
        </w:rPr>
      </w:pPr>
      <w:r>
        <w:rPr>
          <w:lang w:eastAsia="ar-SA"/>
        </w:rPr>
        <w:t>Schodišťová ramena a podesty budou vizuálně, akusticky i funkčně shodná.</w:t>
      </w:r>
    </w:p>
    <w:p w14:paraId="079B4DF8" w14:textId="77777777" w:rsidR="007A28B5" w:rsidRDefault="00A02629" w:rsidP="006B7201">
      <w:pPr>
        <w:pStyle w:val="rove2-slovantext"/>
        <w:tabs>
          <w:tab w:val="clear" w:pos="397"/>
          <w:tab w:val="num" w:pos="709"/>
        </w:tabs>
        <w:spacing w:after="0"/>
        <w:ind w:left="709" w:hanging="425"/>
        <w:rPr>
          <w:lang w:eastAsia="ar-SA"/>
        </w:rPr>
      </w:pPr>
      <w:r>
        <w:rPr>
          <w:b/>
          <w:lang w:eastAsia="ar-SA"/>
        </w:rPr>
        <w:t>Výše uvedená změna</w:t>
      </w:r>
      <w:r w:rsidR="007A28B5" w:rsidRPr="00FC2B7C">
        <w:rPr>
          <w:b/>
          <w:lang w:eastAsia="ar-SA"/>
        </w:rPr>
        <w:t xml:space="preserve"> se projeví navýšením ceny díla o Kč </w:t>
      </w:r>
      <w:r>
        <w:rPr>
          <w:b/>
          <w:lang w:eastAsia="ar-SA"/>
        </w:rPr>
        <w:t>177 851,55</w:t>
      </w:r>
      <w:r w:rsidR="007A28B5" w:rsidRPr="00FC2B7C">
        <w:rPr>
          <w:b/>
          <w:lang w:eastAsia="ar-SA"/>
        </w:rPr>
        <w:t xml:space="preserve"> bez DPH, tj. Kč </w:t>
      </w:r>
      <w:r w:rsidR="00085D8E">
        <w:rPr>
          <w:b/>
          <w:lang w:eastAsia="ar-SA"/>
        </w:rPr>
        <w:t xml:space="preserve">215 200,38 </w:t>
      </w:r>
      <w:r w:rsidR="007A28B5" w:rsidRPr="00FC2B7C">
        <w:rPr>
          <w:b/>
          <w:lang w:eastAsia="ar-SA"/>
        </w:rPr>
        <w:t>vč. DPH</w:t>
      </w:r>
      <w:r w:rsidR="007A28B5">
        <w:rPr>
          <w:lang w:eastAsia="ar-SA"/>
        </w:rPr>
        <w:t>.</w:t>
      </w:r>
    </w:p>
    <w:p w14:paraId="6C0AC81B" w14:textId="77777777" w:rsidR="007A28B5" w:rsidRDefault="007A28B5" w:rsidP="006B7201">
      <w:pPr>
        <w:pStyle w:val="rove2-slovantext"/>
        <w:numPr>
          <w:ilvl w:val="0"/>
          <w:numId w:val="0"/>
        </w:numPr>
        <w:spacing w:before="0"/>
        <w:ind w:left="397"/>
        <w:rPr>
          <w:lang w:eastAsia="ar-SA"/>
        </w:rPr>
      </w:pPr>
    </w:p>
    <w:p w14:paraId="74ABA9AB" w14:textId="77777777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085D8E" w:rsidRPr="006B7201">
        <w:rPr>
          <w:b/>
          <w:bCs/>
          <w:lang w:eastAsia="ar-SA"/>
        </w:rPr>
        <w:t>2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7898FAAE" w14:textId="7777777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1FD5E544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6BC92583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1EB0FB31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06A15029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0C6B524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58CE1B3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8BB81B2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12C5E67D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3FFB49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D97C74F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0C88EC52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D27F32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0A7B2F4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7BDEC9AC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2CEBBB0E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6A73CD64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779B7634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21292EB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3D9AF5BF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7CD278F3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73867B2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176F6F1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BEC4E59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72150C85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92F8AAC" w14:textId="77777777" w:rsidR="007A28B5" w:rsidRPr="00C720AB" w:rsidRDefault="007A28B5" w:rsidP="004A3B6C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E79391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3C1C16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C8E4B6B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9F02082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CA5C486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1E7110EA" w14:textId="77777777" w:rsidR="00D92F8F" w:rsidRPr="0020201B" w:rsidRDefault="007A28B5" w:rsidP="0020201B">
      <w:pPr>
        <w:pStyle w:val="rove2-slovantext"/>
        <w:tabs>
          <w:tab w:val="clear" w:pos="397"/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62BCA3FE" w14:textId="7D491FE1" w:rsidR="00085D8E" w:rsidRPr="00F01C4F" w:rsidRDefault="00085D8E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 w:rsidRPr="00F01C4F">
        <w:rPr>
          <w:b/>
          <w:u w:val="single"/>
        </w:rPr>
        <w:lastRenderedPageBreak/>
        <w:t>Nové znění dle Dodatku č.</w:t>
      </w:r>
      <w:r w:rsidR="001B032D">
        <w:rPr>
          <w:b/>
          <w:u w:val="single"/>
        </w:rPr>
        <w:t xml:space="preserve"> </w:t>
      </w:r>
      <w:r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79EC30B2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5150C4E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4385FF0D" w14:textId="4E901F5A" w:rsidR="00085D8E" w:rsidRPr="00451121" w:rsidRDefault="00085D8E" w:rsidP="0020201B">
      <w:pPr>
        <w:pStyle w:val="rove2-slovantext"/>
        <w:numPr>
          <w:ilvl w:val="1"/>
          <w:numId w:val="25"/>
        </w:numPr>
        <w:tabs>
          <w:tab w:val="num" w:pos="851"/>
        </w:tabs>
        <w:ind w:left="851" w:hanging="567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06967329" w14:textId="77777777" w:rsidR="00085D8E" w:rsidRPr="007A28B5" w:rsidRDefault="00085D8E" w:rsidP="0020201B">
      <w:pPr>
        <w:pStyle w:val="rove2-slovantext"/>
        <w:numPr>
          <w:ilvl w:val="1"/>
          <w:numId w:val="25"/>
        </w:numPr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044F325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CCB2C7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BF34FB0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54DCF4B9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30B4FA" w14:textId="77777777" w:rsidR="00085D8E" w:rsidRPr="00C720AB" w:rsidRDefault="00085D8E" w:rsidP="00D200B3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9B88D3" w14:textId="77777777" w:rsidR="00085D8E" w:rsidRPr="00C720AB" w:rsidRDefault="001E34D0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2D060FD1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BA53EEA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D6B6B74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5C999420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0AD4693E" w14:textId="01DD2AE3" w:rsidR="00085D8E" w:rsidRPr="00451121" w:rsidRDefault="00085D8E" w:rsidP="0020201B">
      <w:pPr>
        <w:pStyle w:val="rove2-slovantext"/>
        <w:numPr>
          <w:ilvl w:val="1"/>
          <w:numId w:val="25"/>
        </w:numPr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11D62C4B" w14:textId="77777777" w:rsidR="00085D8E" w:rsidRDefault="00085D8E" w:rsidP="00724DA2">
      <w:pPr>
        <w:pStyle w:val="rove1-nzevlnku"/>
        <w:spacing w:after="120"/>
      </w:pPr>
    </w:p>
    <w:p w14:paraId="606DF8A2" w14:textId="77777777" w:rsidR="00665990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t xml:space="preserve">Dodatkem č. </w:t>
      </w:r>
      <w:r w:rsidR="000312E9">
        <w:rPr>
          <w:b/>
        </w:rPr>
        <w:t>2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77777777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0D459067" w14:textId="77777777" w:rsidR="00451121" w:rsidRDefault="00451121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56AF8064" w14:textId="77777777" w:rsidR="00451121" w:rsidRDefault="00451121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45B06D96" w14:textId="40C16794" w:rsidR="001E34D0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7F5482">
        <w:rPr>
          <w:b/>
          <w:u w:val="single"/>
        </w:rPr>
        <w:t xml:space="preserve">nění dle Dodatku č. </w:t>
      </w:r>
      <w:r>
        <w:rPr>
          <w:b/>
          <w:u w:val="single"/>
        </w:rPr>
        <w:t>2</w:t>
      </w:r>
      <w:r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658DD034" w14:textId="49A46B67" w:rsidR="001E34D0" w:rsidRDefault="001E34D0" w:rsidP="001A4AB8">
      <w:pPr>
        <w:pStyle w:val="rove1-slolnku"/>
        <w:numPr>
          <w:ilvl w:val="0"/>
          <w:numId w:val="0"/>
        </w:numPr>
        <w:ind w:left="5812"/>
        <w:jc w:val="left"/>
      </w:pPr>
    </w:p>
    <w:p w14:paraId="122ACB72" w14:textId="456B8A56" w:rsidR="001A4AB8" w:rsidRDefault="001A4AB8" w:rsidP="00A57672">
      <w:pPr>
        <w:pStyle w:val="rove1-nzevlnku"/>
      </w:pPr>
      <w:r>
        <w:t>III.</w:t>
      </w:r>
    </w:p>
    <w:p w14:paraId="0C795374" w14:textId="306447FF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844677">
        <w:t>2</w:t>
      </w:r>
    </w:p>
    <w:p w14:paraId="25834695" w14:textId="77777777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610BA6" w:rsidRPr="007B71CD">
        <w:rPr>
          <w:szCs w:val="18"/>
        </w:rPr>
        <w:t>2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77777777" w:rsidR="00892E4B" w:rsidRPr="000608DB" w:rsidRDefault="00892E4B" w:rsidP="00724DA2">
      <w:pPr>
        <w:pStyle w:val="rove2-slovantext"/>
        <w:tabs>
          <w:tab w:val="clear" w:pos="397"/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610BA6">
        <w:rPr>
          <w:szCs w:val="18"/>
        </w:rPr>
        <w:t>2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77777777" w:rsidR="00665990" w:rsidRPr="000608DB" w:rsidRDefault="00665990" w:rsidP="00801AD7">
      <w:pPr>
        <w:pStyle w:val="rove2-slovantext"/>
        <w:tabs>
          <w:tab w:val="clear" w:pos="397"/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610BA6">
        <w:rPr>
          <w:szCs w:val="18"/>
        </w:rPr>
        <w:t>2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77777777" w:rsidR="00105853" w:rsidRPr="000608DB" w:rsidRDefault="00105853" w:rsidP="00724DA2">
      <w:pPr>
        <w:pStyle w:val="rove2-slovantext"/>
        <w:tabs>
          <w:tab w:val="clear" w:pos="397"/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610BA6">
        <w:rPr>
          <w:szCs w:val="18"/>
        </w:rPr>
        <w:t>2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77777777" w:rsidR="00105853" w:rsidRPr="000608DB" w:rsidRDefault="00105853" w:rsidP="00724DA2">
      <w:pPr>
        <w:pStyle w:val="rove2-slovantext"/>
        <w:tabs>
          <w:tab w:val="clear" w:pos="397"/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610BA6">
        <w:rPr>
          <w:szCs w:val="18"/>
        </w:rPr>
        <w:t>2</w:t>
      </w:r>
      <w:r w:rsidRPr="000608DB">
        <w:rPr>
          <w:szCs w:val="18"/>
        </w:rPr>
        <w:t xml:space="preserve"> neobsahuje žádné obchodní tajemství.</w:t>
      </w:r>
    </w:p>
    <w:p w14:paraId="66E3DDD5" w14:textId="77777777" w:rsidR="00454010" w:rsidRPr="000608DB" w:rsidRDefault="00876BEE" w:rsidP="00801AD7">
      <w:pPr>
        <w:pStyle w:val="rove2-slovantext"/>
        <w:tabs>
          <w:tab w:val="clear" w:pos="397"/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610BA6">
        <w:rPr>
          <w:szCs w:val="18"/>
        </w:rPr>
        <w:t>2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681218D2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1D54BA">
              <w:rPr>
                <w:szCs w:val="18"/>
              </w:rPr>
              <w:t>6. 5. 2024</w:t>
            </w:r>
          </w:p>
        </w:tc>
        <w:tc>
          <w:tcPr>
            <w:tcW w:w="2519" w:type="pct"/>
            <w:hideMark/>
          </w:tcPr>
          <w:p w14:paraId="1DEA96E8" w14:textId="484F415D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   </w:t>
            </w:r>
            <w:r w:rsidR="001D54BA">
              <w:rPr>
                <w:szCs w:val="18"/>
              </w:rPr>
              <w:t>6. 5. 2024</w:t>
            </w:r>
            <w:r w:rsidRPr="000608DB">
              <w:rPr>
                <w:szCs w:val="18"/>
              </w:rPr>
              <w:t xml:space="preserve">        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0608DB">
        <w:trPr>
          <w:trHeight w:val="1274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>Mgr. Jarmila Benýšková</w:t>
      </w:r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1E34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BDBD" w14:textId="77777777" w:rsidR="0041328F" w:rsidRDefault="0041328F">
      <w:r>
        <w:separator/>
      </w:r>
    </w:p>
  </w:endnote>
  <w:endnote w:type="continuationSeparator" w:id="0">
    <w:p w14:paraId="33037F1F" w14:textId="77777777" w:rsidR="0041328F" w:rsidRDefault="004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268" w14:textId="77777777" w:rsidR="0041328F" w:rsidRDefault="0041328F">
      <w:r>
        <w:separator/>
      </w:r>
    </w:p>
  </w:footnote>
  <w:footnote w:type="continuationSeparator" w:id="0">
    <w:p w14:paraId="79C1D9E0" w14:textId="77777777" w:rsidR="0041328F" w:rsidRDefault="0041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523FA8" w:rsidRDefault="00523FA8"/>
  <w:p w14:paraId="7AB32272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77777777" w:rsidR="00523FA8" w:rsidRDefault="0074129F" w:rsidP="00795BE1">
    <w:pPr>
      <w:pStyle w:val="Zhlav"/>
      <w:jc w:val="center"/>
      <w:rPr>
        <w:b/>
      </w:rPr>
    </w:pPr>
    <w:r>
      <w:rPr>
        <w:b/>
      </w:rPr>
      <w:t xml:space="preserve">Dodatek č. </w:t>
    </w:r>
    <w:r w:rsidR="001E34D0">
      <w:rPr>
        <w:b/>
      </w:rPr>
      <w:t>2</w:t>
    </w:r>
    <w:r>
      <w:rPr>
        <w:b/>
      </w:rPr>
      <w:t xml:space="preserve"> ke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523FA8" w:rsidRDefault="00E27D2C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B46"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A9DA846E"/>
    <w:lvl w:ilvl="0">
      <w:start w:val="1"/>
      <w:numFmt w:val="upperRoman"/>
      <w:pStyle w:val="rove1-slolnku"/>
      <w:suff w:val="nothing"/>
      <w:lvlText w:val="%1."/>
      <w:lvlJc w:val="center"/>
      <w:pPr>
        <w:ind w:left="5812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1B33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1672"/>
    <w:rsid w:val="00550604"/>
    <w:rsid w:val="0055084D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6599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35EB"/>
    <w:rsid w:val="0082561B"/>
    <w:rsid w:val="008260C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27F99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B1A86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5CC5"/>
    <w:rsid w:val="00D96FE4"/>
    <w:rsid w:val="00DA052C"/>
    <w:rsid w:val="00DA3270"/>
    <w:rsid w:val="00DA47FC"/>
    <w:rsid w:val="00DA64F0"/>
    <w:rsid w:val="00DA6EA8"/>
    <w:rsid w:val="00DB01AA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10AD"/>
    <w:rsid w:val="00F213A9"/>
    <w:rsid w:val="00F2174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19C"/>
    <w:rsid w:val="00F40216"/>
    <w:rsid w:val="00F40331"/>
    <w:rsid w:val="00F4150E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4E68"/>
    <w:rsid w:val="00FD540D"/>
    <w:rsid w:val="00FD6E92"/>
    <w:rsid w:val="00FE306C"/>
    <w:rsid w:val="00FE3E1B"/>
    <w:rsid w:val="00FE4069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tabs>
        <w:tab w:val="clear" w:pos="823"/>
        <w:tab w:val="num" w:pos="397"/>
      </w:tabs>
      <w:spacing w:before="120" w:after="120" w:line="312" w:lineRule="auto"/>
      <w:ind w:left="397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81590F"/>
    <w:rsid w:val="008376F8"/>
    <w:rsid w:val="008D7F3A"/>
    <w:rsid w:val="00931B9D"/>
    <w:rsid w:val="009C3C58"/>
    <w:rsid w:val="009E5962"/>
    <w:rsid w:val="00A14015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74B1-1DEA-4E01-B9EB-4C80E3D3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2024-05-16T10:27:00Z</cp:lastPrinted>
  <dcterms:created xsi:type="dcterms:W3CDTF">2024-05-16T10:27:00Z</dcterms:created>
  <dcterms:modified xsi:type="dcterms:W3CDTF">2024-05-16T10:27:00Z</dcterms:modified>
</cp:coreProperties>
</file>