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848" w:rsidRDefault="00554876">
      <w:pPr>
        <w:spacing w:after="76" w:line="216" w:lineRule="auto"/>
        <w:ind w:left="197" w:right="0" w:hanging="10"/>
        <w:jc w:val="center"/>
      </w:pPr>
      <w:r>
        <w:rPr>
          <w:sz w:val="42"/>
        </w:rPr>
        <w:t>Smlouva o spolupráci při realizaci projektu</w:t>
      </w:r>
    </w:p>
    <w:p w:rsidR="00110848" w:rsidRDefault="00554876">
      <w:pPr>
        <w:spacing w:after="0" w:line="216" w:lineRule="auto"/>
        <w:ind w:left="197" w:right="158" w:hanging="10"/>
        <w:jc w:val="center"/>
      </w:pPr>
      <w:r>
        <w:rPr>
          <w:sz w:val="42"/>
        </w:rPr>
        <w:t>„Příprava strategie rozvoje Vlastivědného muzea v Olomouci”</w:t>
      </w:r>
    </w:p>
    <w:p w:rsidR="00110848" w:rsidRDefault="00554876">
      <w:pPr>
        <w:spacing w:after="40" w:line="259" w:lineRule="auto"/>
        <w:ind w:left="168" w:right="0"/>
        <w:jc w:val="center"/>
      </w:pPr>
      <w:r>
        <w:t>podle ust. 1746 odst. 2 a násl. občanského zákoníku č. 89/2012 Sb.</w:t>
      </w:r>
    </w:p>
    <w:p w:rsidR="00110848" w:rsidRDefault="00554876">
      <w:pPr>
        <w:spacing w:after="322" w:line="259" w:lineRule="auto"/>
        <w:ind w:left="192" w:right="0"/>
        <w:jc w:val="center"/>
      </w:pPr>
      <w:r>
        <w:rPr>
          <w:sz w:val="26"/>
        </w:rPr>
        <w:t>kterou uzavřeli</w:t>
      </w:r>
    </w:p>
    <w:p w:rsidR="004A3986" w:rsidRDefault="00554876">
      <w:pPr>
        <w:spacing w:after="11"/>
      </w:pPr>
      <w:r>
        <w:t xml:space="preserve">Vlastivědné muzeum v Olomouci </w:t>
      </w:r>
    </w:p>
    <w:p w:rsidR="00110848" w:rsidRDefault="00554876">
      <w:pPr>
        <w:spacing w:after="11"/>
      </w:pPr>
      <w:r>
        <w:t>se sídlem: nám. Republiky 5, 771 73 Olomouc</w:t>
      </w:r>
    </w:p>
    <w:p w:rsidR="00110848" w:rsidRDefault="00554876" w:rsidP="004A3986">
      <w:pPr>
        <w:spacing w:after="337"/>
        <w:ind w:left="605" w:right="4082"/>
      </w:pPr>
      <w:r>
        <w:t>IČO:</w:t>
      </w:r>
      <w:r>
        <w:tab/>
      </w:r>
      <w:r>
        <w:t xml:space="preserve">00100609 </w:t>
      </w:r>
      <w:r w:rsidR="004A3986">
        <w:t xml:space="preserve"> zastoupeno: Mgr.Jakubem </w:t>
      </w:r>
      <w:bookmarkStart w:id="0" w:name="_GoBack"/>
      <w:bookmarkEnd w:id="0"/>
      <w:r>
        <w:t>Rálišem, ředitelem</w:t>
      </w:r>
    </w:p>
    <w:p w:rsidR="00110848" w:rsidRDefault="00554876">
      <w:pPr>
        <w:spacing w:after="223"/>
        <w:ind w:left="610" w:right="14"/>
      </w:pPr>
      <w:r>
        <w:t>(dále jen „Objednatel”)</w:t>
      </w:r>
    </w:p>
    <w:p w:rsidR="00110848" w:rsidRDefault="00554876">
      <w:pPr>
        <w:spacing w:after="68" w:line="259" w:lineRule="auto"/>
        <w:ind w:left="182" w:right="0"/>
        <w:jc w:val="center"/>
      </w:pPr>
      <w:r>
        <w:rPr>
          <w:sz w:val="32"/>
        </w:rPr>
        <w:t>a</w:t>
      </w:r>
    </w:p>
    <w:p w:rsidR="00110848" w:rsidRDefault="00554876">
      <w:pPr>
        <w:spacing w:after="0" w:line="259" w:lineRule="auto"/>
        <w:ind w:left="605" w:right="0"/>
        <w:jc w:val="left"/>
      </w:pPr>
      <w:r>
        <w:rPr>
          <w:sz w:val="26"/>
        </w:rPr>
        <w:t>ONplan lab, s.r.o.</w:t>
      </w:r>
    </w:p>
    <w:p w:rsidR="00110848" w:rsidRDefault="00554876">
      <w:pPr>
        <w:tabs>
          <w:tab w:val="center" w:pos="1071"/>
          <w:tab w:val="center" w:pos="4596"/>
        </w:tabs>
        <w:ind w:left="0" w:right="0"/>
        <w:jc w:val="left"/>
      </w:pPr>
      <w:r>
        <w:tab/>
        <w:t>se sídlem:</w:t>
      </w:r>
      <w:r>
        <w:tab/>
        <w:t>Karmelitská 379/18, 118 00 Praha 1 — Malá Strana</w:t>
      </w:r>
    </w:p>
    <w:p w:rsidR="00110848" w:rsidRDefault="00554876">
      <w:pPr>
        <w:spacing w:after="196" w:line="216" w:lineRule="auto"/>
        <w:ind w:left="595" w:right="139" w:firstLine="14"/>
        <w:jc w:val="left"/>
      </w:pPr>
      <w:r>
        <w:t>IČO:</w:t>
      </w:r>
      <w:r>
        <w:tab/>
      </w:r>
      <w:r>
        <w:t xml:space="preserve">03481387 </w:t>
      </w:r>
      <w:r>
        <w:t>zastoupena:</w:t>
      </w:r>
      <w:r>
        <w:tab/>
        <w:t>Ing. Petr Návrat, MSC. , jednatel zapsaná v obchodním rejstříku vedeném u Městského soudu v Praze, oddíl C, vložka 232246</w:t>
      </w:r>
    </w:p>
    <w:p w:rsidR="00110848" w:rsidRDefault="00554876">
      <w:pPr>
        <w:spacing w:after="86"/>
        <w:ind w:right="14"/>
      </w:pPr>
      <w:r>
        <w:t>(dále jen „Zpracovatel”)</w:t>
      </w:r>
    </w:p>
    <w:p w:rsidR="00110848" w:rsidRDefault="00554876">
      <w:pPr>
        <w:spacing w:after="204"/>
        <w:ind w:right="14"/>
      </w:pPr>
      <w:r>
        <w:t>(Objednatel a Zpracovatel společně též „smluvní strany”)</w:t>
      </w:r>
    </w:p>
    <w:p w:rsidR="00110848" w:rsidRDefault="00554876">
      <w:pPr>
        <w:spacing w:after="0" w:line="259" w:lineRule="auto"/>
        <w:ind w:left="163" w:right="0"/>
        <w:jc w:val="center"/>
      </w:pPr>
      <w:r>
        <w:rPr>
          <w:sz w:val="40"/>
        </w:rPr>
        <w:t>l.</w:t>
      </w:r>
    </w:p>
    <w:p w:rsidR="00110848" w:rsidRDefault="00554876">
      <w:pPr>
        <w:spacing w:after="32" w:line="259" w:lineRule="auto"/>
        <w:ind w:left="216" w:right="29" w:hanging="10"/>
        <w:jc w:val="center"/>
      </w:pPr>
      <w:r>
        <w:rPr>
          <w:sz w:val="30"/>
        </w:rPr>
        <w:t>Úvodní ustanovení</w:t>
      </w:r>
    </w:p>
    <w:p w:rsidR="00110848" w:rsidRDefault="00554876">
      <w:pPr>
        <w:spacing w:after="110"/>
        <w:ind w:left="590" w:right="14" w:hanging="389"/>
      </w:pPr>
      <w:r>
        <w:t xml:space="preserve">1 . </w:t>
      </w:r>
      <w:r>
        <w:t>Objednatel, jak</w:t>
      </w:r>
      <w:r>
        <w:t>ožto právnická osoba, jejímž předmětem podnikání je výkon veřejné služby v oblasti kulturního dědictví má zájem na realizaci projektu Příprava strategie rozvoje Vlastivědného muzea v Olomouci.</w:t>
      </w:r>
    </w:p>
    <w:p w:rsidR="00110848" w:rsidRDefault="00554876">
      <w:pPr>
        <w:spacing w:after="571"/>
        <w:ind w:left="614" w:right="14" w:hanging="413"/>
      </w:pPr>
      <w:r>
        <w:t xml:space="preserve">2. </w:t>
      </w:r>
      <w:r>
        <w:t>Zpracovatel, jakožto právnická osoba, jejímž předmětem podni</w:t>
      </w:r>
      <w:r>
        <w:t>kání je zejména poradenská a konzultační činnost, zpracování odborných studií a posudků, projektování pozemkových úprav, příprava a vypracování technických návrhů, grafické a kreslířské práce, má zájem se přímo podílet na formulaci celkové strategie rozvoj</w:t>
      </w:r>
      <w:r>
        <w:t>e Vlastivědného muzea v Olomouci.</w:t>
      </w:r>
    </w:p>
    <w:p w:rsidR="00110848" w:rsidRDefault="00554876">
      <w:pPr>
        <w:spacing w:after="41" w:line="259" w:lineRule="auto"/>
        <w:ind w:left="216" w:right="53" w:hanging="10"/>
        <w:jc w:val="center"/>
      </w:pPr>
      <w:r>
        <w:rPr>
          <w:sz w:val="30"/>
        </w:rPr>
        <w:t>Předmět smlouvy</w:t>
      </w:r>
    </w:p>
    <w:p w:rsidR="00110848" w:rsidRDefault="00554876">
      <w:pPr>
        <w:spacing w:after="110"/>
        <w:ind w:left="595" w:right="14" w:hanging="394"/>
      </w:pPr>
      <w:r>
        <w:t xml:space="preserve">1 . </w:t>
      </w:r>
      <w:r>
        <w:t>Předmětem závazku Zpracovatele pro Objednatele je vynaložení úsilí při následujících činnostech a příprava následujících písemných podkladů:</w:t>
      </w:r>
    </w:p>
    <w:p w:rsidR="00110848" w:rsidRDefault="00554876">
      <w:pPr>
        <w:numPr>
          <w:ilvl w:val="0"/>
          <w:numId w:val="1"/>
        </w:numPr>
        <w:ind w:right="14" w:hanging="346"/>
      </w:pPr>
      <w:r>
        <w:t>Al Nastavení procesu přípravy strategie,</w:t>
      </w:r>
    </w:p>
    <w:p w:rsidR="00110848" w:rsidRDefault="00554876">
      <w:pPr>
        <w:numPr>
          <w:ilvl w:val="0"/>
          <w:numId w:val="1"/>
        </w:numPr>
        <w:ind w:right="14" w:hanging="346"/>
      </w:pPr>
      <w:r>
        <w:t>A2 Analýza stávající situace a relevantních podkladů,</w:t>
      </w:r>
    </w:p>
    <w:p w:rsidR="00110848" w:rsidRDefault="00554876">
      <w:pPr>
        <w:numPr>
          <w:ilvl w:val="0"/>
          <w:numId w:val="1"/>
        </w:numPr>
        <w:spacing w:after="69"/>
        <w:ind w:right="14" w:hanging="346"/>
      </w:pPr>
      <w:r>
        <w:t>A3 Analýza trendů a příležitostí,</w:t>
      </w:r>
    </w:p>
    <w:p w:rsidR="00110848" w:rsidRDefault="00554876">
      <w:pPr>
        <w:numPr>
          <w:ilvl w:val="0"/>
          <w:numId w:val="1"/>
        </w:numPr>
        <w:spacing w:after="119"/>
        <w:ind w:right="14" w:hanging="346"/>
      </w:pPr>
      <w:r>
        <w:t>A4 Analytický workshop,</w:t>
      </w:r>
    </w:p>
    <w:p w:rsidR="00110848" w:rsidRDefault="00554876">
      <w:pPr>
        <w:numPr>
          <w:ilvl w:val="0"/>
          <w:numId w:val="1"/>
        </w:numPr>
        <w:spacing w:after="124"/>
        <w:ind w:right="14" w:hanging="346"/>
      </w:pPr>
      <w:r>
        <w:t>A5 Návrhový workshop,</w:t>
      </w:r>
    </w:p>
    <w:p w:rsidR="00110848" w:rsidRDefault="00554876">
      <w:pPr>
        <w:numPr>
          <w:ilvl w:val="0"/>
          <w:numId w:val="1"/>
        </w:numPr>
        <w:spacing w:after="73"/>
        <w:ind w:right="14" w:hanging="346"/>
      </w:pPr>
      <w:r>
        <w:lastRenderedPageBreak/>
        <w:t>A6 Zpracování konceptu strategie,</w:t>
      </w:r>
    </w:p>
    <w:p w:rsidR="00110848" w:rsidRDefault="00554876">
      <w:pPr>
        <w:numPr>
          <w:ilvl w:val="0"/>
          <w:numId w:val="1"/>
        </w:numPr>
        <w:ind w:right="14" w:hanging="346"/>
      </w:pPr>
      <w:r>
        <w:t>A7 Konzultace konceptu a finalizace strategie,</w:t>
      </w:r>
    </w:p>
    <w:p w:rsidR="00110848" w:rsidRDefault="00554876">
      <w:pPr>
        <w:numPr>
          <w:ilvl w:val="0"/>
          <w:numId w:val="1"/>
        </w:numPr>
        <w:ind w:right="14" w:hanging="346"/>
      </w:pPr>
      <w:r>
        <w:t>A8 Příprava akčního plánu.</w:t>
      </w:r>
    </w:p>
    <w:p w:rsidR="00110848" w:rsidRDefault="00554876">
      <w:pPr>
        <w:spacing w:after="0" w:line="259" w:lineRule="auto"/>
        <w:ind w:left="10" w:right="221" w:hanging="10"/>
        <w:jc w:val="center"/>
      </w:pPr>
      <w:r>
        <w:rPr>
          <w:sz w:val="20"/>
        </w:rPr>
        <w:t xml:space="preserve">strategie </w:t>
      </w:r>
    </w:p>
    <w:p w:rsidR="00110848" w:rsidRDefault="00554876">
      <w:pPr>
        <w:spacing w:after="0" w:line="259" w:lineRule="auto"/>
        <w:ind w:left="144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897274" cy="9147"/>
                <wp:effectExtent l="0" t="0" r="0" b="0"/>
                <wp:docPr id="51742" name="Group 51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274" cy="9147"/>
                          <a:chOff x="0" y="0"/>
                          <a:chExt cx="5897274" cy="9147"/>
                        </a:xfrm>
                      </wpg:grpSpPr>
                      <wps:wsp>
                        <wps:cNvPr id="51741" name="Shape 51741"/>
                        <wps:cNvSpPr/>
                        <wps:spPr>
                          <a:xfrm>
                            <a:off x="0" y="0"/>
                            <a:ext cx="5897274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274" h="9147">
                                <a:moveTo>
                                  <a:pt x="0" y="4573"/>
                                </a:moveTo>
                                <a:lnTo>
                                  <a:pt x="5897274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742" style="width:464.352pt;height:0.720211pt;mso-position-horizontal-relative:char;mso-position-vertical-relative:line" coordsize="58972,91">
                <v:shape id="Shape 51741" style="position:absolute;width:58972;height:91;left:0;top:0;" coordsize="5897274,9147" path="m0,4573l5897274,4573">
                  <v:stroke weight="0.7202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10848" w:rsidRDefault="00554876">
      <w:pPr>
        <w:spacing w:after="80" w:line="265" w:lineRule="auto"/>
        <w:ind w:left="586" w:right="0" w:hanging="10"/>
        <w:jc w:val="left"/>
      </w:pPr>
      <w:r>
        <w:rPr>
          <w:sz w:val="22"/>
        </w:rPr>
        <w:t>(</w:t>
      </w:r>
      <w:r>
        <w:rPr>
          <w:sz w:val="22"/>
        </w:rPr>
        <w:t>dále jen „činnosti”)</w:t>
      </w:r>
    </w:p>
    <w:p w:rsidR="00110848" w:rsidRDefault="00554876">
      <w:pPr>
        <w:numPr>
          <w:ilvl w:val="0"/>
          <w:numId w:val="2"/>
        </w:numPr>
        <w:spacing w:after="111"/>
        <w:ind w:right="14" w:hanging="403"/>
      </w:pPr>
      <w:r>
        <w:t>Zpracovatel se zavazuje provádět činnosti dle svých odborných znalostí a zkušeností, v součinnosti s Objednatelem a v souladu s jeho pokyny, dále v souladu s podmínkami a v rozsahu specifikace činností, které jsou obsaženy v Příloze č.</w:t>
      </w:r>
      <w:r>
        <w:t xml:space="preserve"> 1 této smlouvy: „Příprava strategie rozvoje Vlastivědného muzea v Olomouci — nabídka”, jež tvoří její nedílnou součást.</w:t>
      </w:r>
    </w:p>
    <w:p w:rsidR="00110848" w:rsidRDefault="00554876">
      <w:pPr>
        <w:numPr>
          <w:ilvl w:val="0"/>
          <w:numId w:val="2"/>
        </w:numPr>
        <w:spacing w:after="615"/>
        <w:ind w:right="14" w:hanging="403"/>
      </w:pPr>
      <w:r>
        <w:t>Objednatel se zavazuje zaplatit Zpracovateli za činnosti dle odstavce 1 tohoto článku odměnu ve výši stanovené čl. IV. této smlouvy a jejími přílohami.</w:t>
      </w:r>
    </w:p>
    <w:p w:rsidR="00110848" w:rsidRDefault="00554876">
      <w:pPr>
        <w:spacing w:after="0" w:line="259" w:lineRule="auto"/>
        <w:ind w:left="216" w:right="130" w:hanging="10"/>
        <w:jc w:val="center"/>
      </w:pPr>
      <w:r>
        <w:rPr>
          <w:sz w:val="30"/>
        </w:rPr>
        <w:t>Termín plnění a součinnost</w:t>
      </w:r>
    </w:p>
    <w:p w:rsidR="00110848" w:rsidRDefault="00554876">
      <w:pPr>
        <w:pStyle w:val="Nadpis1"/>
        <w:spacing w:after="63"/>
        <w:ind w:left="163" w:firstLine="0"/>
      </w:pPr>
      <w:r>
        <w:rPr>
          <w:u w:val="none"/>
        </w:rPr>
        <w:t xml:space="preserve">1. </w:t>
      </w:r>
      <w:r>
        <w:t>Termín plnění</w:t>
      </w:r>
    </w:p>
    <w:p w:rsidR="00110848" w:rsidRDefault="00554876">
      <w:pPr>
        <w:ind w:left="585" w:right="91" w:hanging="384"/>
      </w:pPr>
      <w:r>
        <w:t>1.1. Zpracovatel provádí činnosti dle této smlouvy ode dne podpisu této smlouvy oběma smluvními stranami. Rámcový harmonogram přípravy Strategie, který je obsahem Přílohy č. 1 této smlouvy, bude vymezen následujícími milníky:</w:t>
      </w:r>
    </w:p>
    <w:p w:rsidR="00110848" w:rsidRDefault="00554876">
      <w:pPr>
        <w:numPr>
          <w:ilvl w:val="0"/>
          <w:numId w:val="3"/>
        </w:numPr>
        <w:spacing w:after="132"/>
        <w:ind w:right="14" w:hanging="341"/>
      </w:pPr>
      <w:r>
        <w:t>do 30 dní od podpisu smlouvy p</w:t>
      </w:r>
      <w:r>
        <w:t>roběhnou činnosti dle bodu a) odstavce 1 článku Il. této smlouvy,</w:t>
      </w:r>
    </w:p>
    <w:p w:rsidR="00110848" w:rsidRDefault="00554876">
      <w:pPr>
        <w:numPr>
          <w:ilvl w:val="0"/>
          <w:numId w:val="3"/>
        </w:numPr>
        <w:spacing w:after="91"/>
        <w:ind w:right="14" w:hanging="341"/>
      </w:pPr>
      <w:r>
        <w:t>do 120 dní od podpisu smlouvy proběhnou činnosti dle bodu b), c) a d) odstavce 1 článku Il. této smlouvy,</w:t>
      </w:r>
    </w:p>
    <w:p w:rsidR="00110848" w:rsidRDefault="00554876">
      <w:pPr>
        <w:numPr>
          <w:ilvl w:val="0"/>
          <w:numId w:val="3"/>
        </w:numPr>
        <w:spacing w:after="90"/>
        <w:ind w:right="14" w:hanging="341"/>
      </w:pPr>
      <w:r>
        <w:t>do 180 dní od podpisu smlouvy proběhnou činnosti dle bodu e), f), g) a h) odstavce 1</w:t>
      </w:r>
      <w:r>
        <w:t xml:space="preserve"> článku Il. této smlouvy,</w:t>
      </w:r>
    </w:p>
    <w:p w:rsidR="00110848" w:rsidRDefault="00554876">
      <w:pPr>
        <w:spacing w:after="70"/>
        <w:ind w:left="585" w:right="14" w:hanging="384"/>
      </w:pPr>
      <w:r>
        <w:t>1.2. Zpracovatel je oprávněn činnost dle této smlouvy vykonávat prostřednictvím svých zaměstnanců i vlastních subdodavatelů.</w:t>
      </w:r>
    </w:p>
    <w:p w:rsidR="00110848" w:rsidRDefault="00554876">
      <w:pPr>
        <w:pStyle w:val="Nadpis1"/>
        <w:spacing w:after="42"/>
      </w:pPr>
      <w:r>
        <w:rPr>
          <w:u w:val="none"/>
        </w:rPr>
        <w:t xml:space="preserve">2. </w:t>
      </w:r>
      <w:r>
        <w:t>Vzájemná součinnost smluvních stran</w:t>
      </w:r>
    </w:p>
    <w:p w:rsidR="00110848" w:rsidRDefault="00554876">
      <w:pPr>
        <w:spacing w:after="134"/>
        <w:ind w:left="518" w:right="115" w:hanging="403"/>
      </w:pPr>
      <w:r>
        <w:t>2.1. Objednatel se zavazuje poskytnout Zpracovateli součinnost, nu</w:t>
      </w:r>
      <w:r>
        <w:t>tnou k řádnému provedení činností, zejména je povinen bez zbytečného odkladu poskytnout či doplnit informace a podklady, které Zpracovatel nezbytně potřebuje k provádění činností, umožnit Zpracovateli přístup ke všem relevantním dokumentům Objednatele, zaj</w:t>
      </w:r>
      <w:r>
        <w:t>istit součinnost spolupracujících osob apod.</w:t>
      </w:r>
    </w:p>
    <w:p w:rsidR="00110848" w:rsidRDefault="00554876">
      <w:pPr>
        <w:spacing w:after="136"/>
        <w:ind w:left="500" w:right="130" w:hanging="394"/>
      </w:pPr>
      <w:r>
        <w:t>2.2. Zpracovatel upozorní Objednatele bez zbytečného odkladu na nevhodnou povahu příkazů, daných mu Objednatelem k výkonu činností, jestliže Zpracovatel mohl tuto nevhodnost zjistit při vynaložení odborné péče. Trvá-li Objednatel na provedení činností podl</w:t>
      </w:r>
      <w:r>
        <w:t>e zřejmě nevhodného pokynu nebo sám přes výslovné upozornění Zpracovatele jedná v nesouladu s jeho doporučením, nenese Zpracovatel odpovědnost za zmaření realizace projektu či jiné nepříznivé následky, které mohou ovlivnit činnosti Zpracovatele včetně harm</w:t>
      </w:r>
      <w:r>
        <w:t>onogramu jeho aktivit (Příloha č. 1). Objednatel dále nemá práva z vady činností pro nevhodnost příkazu nebo pro nevhodné jednání Objednatele podle tohoto odstavce. Pro nevhodné povahy příkazů Objednatele zároveň může Zpracovatel od této smlouvy odstoupit.</w:t>
      </w:r>
    </w:p>
    <w:p w:rsidR="00110848" w:rsidRDefault="00554876">
      <w:pPr>
        <w:spacing w:after="101"/>
        <w:ind w:left="495" w:right="14" w:hanging="490"/>
      </w:pPr>
      <w:r>
        <w:t>2.3. Překáží-li příkaz či činnost Objednatele v řádném provádění prací Zpracovatele, Zpracovatel činnosti v nezbytném rozsahu přeruší až do doby, než dojde k nápravě.</w:t>
      </w:r>
    </w:p>
    <w:p w:rsidR="00110848" w:rsidRDefault="00554876">
      <w:pPr>
        <w:spacing w:after="1404"/>
        <w:ind w:left="485" w:right="163" w:hanging="485"/>
      </w:pPr>
      <w:r>
        <w:lastRenderedPageBreak/>
        <w:t xml:space="preserve">2.4. Lhůta stanovená v harmonogramu aktivit pro realizaci činností se prodlužuje o dobu </w:t>
      </w:r>
      <w:r>
        <w:t>přerušením vyvolanou. Zpracovatel má právo na úhradu nákladů spojených s přerušením činností za dobu trvání přerušení, vč. újmy tímto způsobené.</w:t>
      </w:r>
    </w:p>
    <w:p w:rsidR="00110848" w:rsidRDefault="00554876">
      <w:pPr>
        <w:spacing w:after="0" w:line="259" w:lineRule="auto"/>
        <w:ind w:left="29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891176" cy="9146"/>
                <wp:effectExtent l="0" t="0" r="0" b="0"/>
                <wp:docPr id="51744" name="Group 51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176" cy="9146"/>
                          <a:chOff x="0" y="0"/>
                          <a:chExt cx="5891176" cy="9146"/>
                        </a:xfrm>
                      </wpg:grpSpPr>
                      <wps:wsp>
                        <wps:cNvPr id="51743" name="Shape 51743"/>
                        <wps:cNvSpPr/>
                        <wps:spPr>
                          <a:xfrm>
                            <a:off x="0" y="0"/>
                            <a:ext cx="5891176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1176" h="9146">
                                <a:moveTo>
                                  <a:pt x="0" y="4573"/>
                                </a:moveTo>
                                <a:lnTo>
                                  <a:pt x="5891176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744" style="width:463.872pt;height:0.720154pt;mso-position-horizontal-relative:char;mso-position-vertical-relative:line" coordsize="58911,91">
                <v:shape id="Shape 51743" style="position:absolute;width:58911;height:91;left:0;top:0;" coordsize="5891176,9146" path="m0,4573l5891176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10848" w:rsidRDefault="00554876">
      <w:pPr>
        <w:spacing w:after="95" w:line="259" w:lineRule="auto"/>
        <w:ind w:left="168" w:right="-29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09471" cy="298878"/>
                <wp:effectExtent l="0" t="0" r="0" b="0"/>
                <wp:docPr id="49073" name="Group 49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471" cy="298878"/>
                          <a:chOff x="0" y="0"/>
                          <a:chExt cx="5909471" cy="298878"/>
                        </a:xfrm>
                      </wpg:grpSpPr>
                      <pic:pic xmlns:pic="http://schemas.openxmlformats.org/drawingml/2006/picture">
                        <pic:nvPicPr>
                          <pic:cNvPr id="51747" name="Picture 517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98"/>
                            <a:ext cx="5909471" cy="268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8" name="Rectangle 4748"/>
                        <wps:cNvSpPr/>
                        <wps:spPr>
                          <a:xfrm>
                            <a:off x="2622366" y="0"/>
                            <a:ext cx="624550" cy="15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0848" w:rsidRDefault="00554876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strategie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073" style="width:465.313pt;height:23.5337pt;mso-position-horizontal-relative:char;mso-position-vertical-relative:line" coordsize="59094,2988">
                <v:shape id="Picture 51747" style="position:absolute;width:59094;height:2683;left:0;top:304;" filled="f">
                  <v:imagedata r:id="rId31"/>
                </v:shape>
                <v:rect id="Rectangle 4748" style="position:absolute;width:6245;height:1541;left:2622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strategie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10848" w:rsidRDefault="00554876">
      <w:pPr>
        <w:spacing w:after="75" w:line="259" w:lineRule="auto"/>
        <w:ind w:left="216" w:right="0" w:hanging="10"/>
        <w:jc w:val="center"/>
      </w:pPr>
      <w:r>
        <w:rPr>
          <w:sz w:val="30"/>
        </w:rPr>
        <w:t>Odměna, platební podmínky, předání výsledků činností</w:t>
      </w:r>
    </w:p>
    <w:p w:rsidR="00110848" w:rsidRDefault="00554876">
      <w:pPr>
        <w:pStyle w:val="Nadpis1"/>
        <w:ind w:left="201"/>
      </w:pPr>
      <w:r>
        <w:rPr>
          <w:u w:val="none"/>
        </w:rPr>
        <w:t xml:space="preserve">1. </w:t>
      </w:r>
      <w:r>
        <w:t>Odměna</w:t>
      </w:r>
    </w:p>
    <w:p w:rsidR="00110848" w:rsidRDefault="00554876">
      <w:pPr>
        <w:spacing w:after="54" w:line="259" w:lineRule="auto"/>
        <w:ind w:left="216" w:right="-519"/>
        <w:jc w:val="left"/>
      </w:pPr>
      <w:r>
        <w:rPr>
          <w:noProof/>
        </w:rPr>
        <w:drawing>
          <wp:inline distT="0" distB="0" distL="0" distR="0">
            <wp:extent cx="6190003" cy="408670"/>
            <wp:effectExtent l="0" t="0" r="0" b="0"/>
            <wp:docPr id="11050" name="Picture 1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" name="Picture 1105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0003" cy="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48" w:rsidRDefault="00554876">
      <w:pPr>
        <w:spacing w:after="0"/>
        <w:ind w:left="201" w:right="595"/>
      </w:pPr>
      <w:r>
        <w:t>I .2. Sjednaná cena je konečná a obsahuje veškeré náklady související s předmětem plnění. I .3. K výše uvedené odměně bude účtováno DPH v zákonné výši.</w:t>
      </w:r>
    </w:p>
    <w:p w:rsidR="00110848" w:rsidRDefault="00554876">
      <w:pPr>
        <w:pStyle w:val="Nadpis1"/>
        <w:ind w:left="201"/>
      </w:pPr>
      <w:r>
        <w:rPr>
          <w:u w:val="none"/>
        </w:rPr>
        <w:t xml:space="preserve">2. </w:t>
      </w:r>
      <w:r>
        <w:t>Platební podmínky</w:t>
      </w:r>
    </w:p>
    <w:p w:rsidR="00110848" w:rsidRDefault="00554876">
      <w:pPr>
        <w:spacing w:after="7"/>
        <w:ind w:left="614" w:right="14" w:hanging="413"/>
      </w:pPr>
      <w:r>
        <w:t>2.I. Odměna dle tohoto článku bude uhrazena postupně v souladu s Přílohou č. 1 této</w:t>
      </w:r>
      <w:r>
        <w:t xml:space="preserve"> smlouvy takto:</w:t>
      </w:r>
    </w:p>
    <w:p w:rsidR="00110848" w:rsidRDefault="00554876">
      <w:pPr>
        <w:spacing w:after="47" w:line="259" w:lineRule="auto"/>
        <w:ind w:left="139" w:right="-182"/>
        <w:jc w:val="left"/>
      </w:pPr>
      <w:r>
        <w:rPr>
          <w:noProof/>
        </w:rPr>
        <w:drawing>
          <wp:inline distT="0" distB="0" distL="0" distR="0">
            <wp:extent cx="6025343" cy="1500489"/>
            <wp:effectExtent l="0" t="0" r="0" b="0"/>
            <wp:docPr id="11051" name="Picture 1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" name="Picture 1105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25343" cy="150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48" w:rsidRDefault="00554876">
      <w:pPr>
        <w:spacing w:after="75"/>
        <w:ind w:left="614" w:right="14" w:hanging="413"/>
      </w:pPr>
      <w:r>
        <w:t>2.2. Odměna Zpracovatele bude uhrazena na základě daňového dokladu — faktury, vystavené Zpracovatelem se splatností 15 dnů ode dne vystavení faktury.</w:t>
      </w:r>
    </w:p>
    <w:p w:rsidR="00110848" w:rsidRDefault="00554876">
      <w:pPr>
        <w:spacing w:after="521"/>
        <w:ind w:left="614" w:right="14" w:hanging="413"/>
      </w:pPr>
      <w:r>
        <w:t>2.3. Objednatel uhradí odměnu bezhotovostně příkazem ve prospěch účtu Zpracovatele, přič</w:t>
      </w:r>
      <w:r>
        <w:t>emž Objednatel splní svou platební povinnost dnem, v němž bude příslušná částka připsána na bankovní účet Zpracovatele.</w:t>
      </w:r>
    </w:p>
    <w:p w:rsidR="00110848" w:rsidRDefault="00554876">
      <w:pPr>
        <w:pStyle w:val="Nadpis1"/>
        <w:tabs>
          <w:tab w:val="center" w:pos="283"/>
          <w:tab w:val="center" w:pos="1993"/>
        </w:tabs>
        <w:spacing w:after="29"/>
        <w:ind w:left="0" w:firstLine="0"/>
      </w:pPr>
      <w:r>
        <w:rPr>
          <w:u w:val="none"/>
        </w:rPr>
        <w:tab/>
      </w:r>
      <w:r>
        <w:rPr>
          <w:u w:val="none"/>
        </w:rPr>
        <w:t>3.</w:t>
      </w:r>
      <w:r>
        <w:rPr>
          <w:u w:val="none"/>
        </w:rPr>
        <w:tab/>
      </w:r>
      <w:r>
        <w:t>Předání výsledků činností</w:t>
      </w:r>
    </w:p>
    <w:p w:rsidR="00110848" w:rsidRDefault="00554876">
      <w:pPr>
        <w:spacing w:after="655"/>
        <w:ind w:left="691" w:right="14" w:hanging="490"/>
      </w:pPr>
      <w:r>
        <w:t xml:space="preserve">3.1 . </w:t>
      </w:r>
      <w:r>
        <w:t>Závazek Zpracovatele k provedení činností dle této smlouvy a k přípravě a zpracování písemných podkl</w:t>
      </w:r>
      <w:r>
        <w:t>adů je splněn jejich uskutečněním, dále protokolárním předáním zpracovaných písemných podkladů. Tímto vzniká Zpracovateli nárok na uhrazení sjednané odměny dle této smlouvy.</w:t>
      </w:r>
    </w:p>
    <w:p w:rsidR="00110848" w:rsidRDefault="00554876">
      <w:pPr>
        <w:spacing w:after="81" w:line="259" w:lineRule="auto"/>
        <w:ind w:left="216" w:right="0" w:hanging="10"/>
        <w:jc w:val="center"/>
      </w:pPr>
      <w:r>
        <w:rPr>
          <w:sz w:val="30"/>
        </w:rPr>
        <w:t>Další ujednání</w:t>
      </w:r>
    </w:p>
    <w:p w:rsidR="00110848" w:rsidRDefault="00554876">
      <w:pPr>
        <w:pStyle w:val="Nadpis1"/>
        <w:spacing w:after="53"/>
        <w:ind w:left="201"/>
      </w:pPr>
      <w:r>
        <w:rPr>
          <w:noProof/>
        </w:rPr>
        <w:drawing>
          <wp:inline distT="0" distB="0" distL="0" distR="0">
            <wp:extent cx="97576" cy="109793"/>
            <wp:effectExtent l="0" t="0" r="0" b="0"/>
            <wp:docPr id="51748" name="Picture 51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8" name="Picture 5174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576" cy="10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Díla na obiednávku</w:t>
      </w:r>
    </w:p>
    <w:p w:rsidR="00110848" w:rsidRDefault="00554876">
      <w:pPr>
        <w:ind w:left="720" w:right="14" w:hanging="519"/>
      </w:pPr>
      <w:r>
        <w:t xml:space="preserve">1.I. Veškeré výsledky činností dle této smlouvy (dále jen „dílo” pro účely tohoto článku smlouvy), která Zpracovatel vytvoří ve smyslu zák. č. 121/2000 Sb., o právu autorském, o právech </w:t>
      </w:r>
      <w:r>
        <w:lastRenderedPageBreak/>
        <w:t>souvisejících s právem autorským (autorský zákon v platném znění), maj</w:t>
      </w:r>
      <w:r>
        <w:t>í právní režim v souladu s autorským zákonem jako dílo zhotovené na objednávku.</w:t>
      </w:r>
    </w:p>
    <w:p w:rsidR="00110848" w:rsidRDefault="00554876">
      <w:pPr>
        <w:ind w:left="720" w:right="14" w:hanging="519"/>
      </w:pPr>
      <w:r>
        <w:t xml:space="preserve">1.2. </w:t>
      </w:r>
      <w:r>
        <w:t>Zpracovatel touto smlouvou poskytuje Objednateli časově neomezené nevýhradní právo dílo užít pro účely vyplývající z této smlouvy (licenci). Zpracovatel může dílo nebo jeh</w:t>
      </w:r>
      <w:r>
        <w:t>o části využívat bez časového omezení zejména pro prezentační a participační účely.</w:t>
      </w:r>
    </w:p>
    <w:p w:rsidR="00110848" w:rsidRDefault="00554876">
      <w:pPr>
        <w:ind w:left="720" w:right="14" w:hanging="519"/>
      </w:pPr>
      <w:r>
        <w:t xml:space="preserve">1.3. </w:t>
      </w:r>
      <w:r>
        <w:t>Objednatel je oprávněn v případě potřeby dílo bez omezení rozmnožovat a předat jej třetím osobám za účelem dosažení cíle, ke kterému je dílo určeno.</w:t>
      </w:r>
    </w:p>
    <w:p w:rsidR="00110848" w:rsidRDefault="00554876">
      <w:pPr>
        <w:spacing w:after="0"/>
        <w:ind w:left="729" w:right="14" w:hanging="528"/>
      </w:pPr>
      <w:r>
        <w:rPr>
          <w:noProof/>
        </w:rPr>
        <w:drawing>
          <wp:inline distT="0" distB="0" distL="0" distR="0">
            <wp:extent cx="207350" cy="103692"/>
            <wp:effectExtent l="0" t="0" r="0" b="0"/>
            <wp:docPr id="51750" name="Picture 51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0" name="Picture 5175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7350" cy="10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Objednatel má prá</w:t>
      </w:r>
      <w:r>
        <w:t>vo ke zveřejnění, zpracování včetně překladu, jakož i k tomu, aby uváděl dílo na veřejnost pod svým jménem či firmou.</w:t>
      </w:r>
    </w:p>
    <w:p w:rsidR="00110848" w:rsidRDefault="00554876">
      <w:pPr>
        <w:spacing w:after="0" w:line="259" w:lineRule="auto"/>
        <w:ind w:left="158" w:right="-29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15570" cy="6100"/>
                <wp:effectExtent l="0" t="0" r="0" b="0"/>
                <wp:docPr id="51753" name="Group 51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570" cy="6100"/>
                          <a:chOff x="0" y="0"/>
                          <a:chExt cx="5915570" cy="6100"/>
                        </a:xfrm>
                      </wpg:grpSpPr>
                      <wps:wsp>
                        <wps:cNvPr id="51752" name="Shape 51752"/>
                        <wps:cNvSpPr/>
                        <wps:spPr>
                          <a:xfrm>
                            <a:off x="0" y="0"/>
                            <a:ext cx="5915570" cy="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570" h="6100">
                                <a:moveTo>
                                  <a:pt x="0" y="3049"/>
                                </a:moveTo>
                                <a:lnTo>
                                  <a:pt x="5915570" y="3049"/>
                                </a:lnTo>
                              </a:path>
                            </a:pathLst>
                          </a:custGeom>
                          <a:ln w="6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753" style="width:465.793pt;height:0.480286pt;mso-position-horizontal-relative:char;mso-position-vertical-relative:line" coordsize="59155,61">
                <v:shape id="Shape 51752" style="position:absolute;width:59155;height:61;left:0;top:0;" coordsize="5915570,6100" path="m0,3049l5915570,3049">
                  <v:stroke weight="0.48028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10848" w:rsidRDefault="00554876">
      <w:pPr>
        <w:spacing w:after="0" w:line="259" w:lineRule="auto"/>
        <w:ind w:left="10" w:right="317" w:hanging="10"/>
        <w:jc w:val="center"/>
      </w:pPr>
      <w:r>
        <w:rPr>
          <w:sz w:val="20"/>
        </w:rPr>
        <w:t xml:space="preserve">strategie </w:t>
      </w:r>
    </w:p>
    <w:p w:rsidR="00110848" w:rsidRDefault="00554876">
      <w:pPr>
        <w:spacing w:after="26" w:line="259" w:lineRule="auto"/>
        <w:ind w:left="96" w:right="0"/>
        <w:jc w:val="left"/>
      </w:pPr>
      <w:r>
        <w:rPr>
          <w:noProof/>
        </w:rPr>
        <w:drawing>
          <wp:inline distT="0" distB="0" distL="0" distR="0">
            <wp:extent cx="5897274" cy="76222"/>
            <wp:effectExtent l="0" t="0" r="0" b="0"/>
            <wp:docPr id="51754" name="Picture 51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4" name="Picture 517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97274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48" w:rsidRDefault="00554876">
      <w:pPr>
        <w:numPr>
          <w:ilvl w:val="0"/>
          <w:numId w:val="4"/>
        </w:numPr>
        <w:spacing w:after="166"/>
        <w:ind w:left="311" w:right="101" w:hanging="110"/>
      </w:pPr>
      <w:r>
        <w:t xml:space="preserve">.5. </w:t>
      </w:r>
      <w:r>
        <w:t>Zpracovatel nenese odpovědnost za porušení práv třetích stran k podkladům, které byly v díle použity a které mu byly pro plnění jeho závazků dle této smlouvy poskytnuty Objednatelem.</w:t>
      </w:r>
    </w:p>
    <w:p w:rsidR="00110848" w:rsidRDefault="00554876">
      <w:pPr>
        <w:spacing w:after="477"/>
        <w:ind w:left="724" w:right="14" w:hanging="523"/>
      </w:pPr>
      <w:r>
        <w:t xml:space="preserve">1.6. </w:t>
      </w:r>
      <w:r>
        <w:t xml:space="preserve">Práva a povinnosti plynoucí ze zhotoveného díla a autorského zákona </w:t>
      </w:r>
      <w:r>
        <w:t>zůstávají skončením tohoto vztahu nedotčena.</w:t>
      </w:r>
    </w:p>
    <w:p w:rsidR="00110848" w:rsidRDefault="00554876">
      <w:pPr>
        <w:pStyle w:val="Nadpis1"/>
        <w:tabs>
          <w:tab w:val="center" w:pos="1705"/>
        </w:tabs>
        <w:ind w:left="0" w:firstLine="0"/>
      </w:pPr>
      <w:r>
        <w:rPr>
          <w:u w:val="none"/>
        </w:rPr>
        <w:t>2.</w:t>
      </w:r>
      <w:r>
        <w:rPr>
          <w:u w:val="none"/>
        </w:rPr>
        <w:tab/>
      </w:r>
      <w:r>
        <w:t>Závazek mlčenlivosti</w:t>
      </w:r>
    </w:p>
    <w:p w:rsidR="00110848" w:rsidRDefault="00554876">
      <w:pPr>
        <w:spacing w:after="192"/>
        <w:ind w:left="663" w:right="110" w:hanging="538"/>
      </w:pPr>
      <w:r>
        <w:t xml:space="preserve">2.1 </w:t>
      </w:r>
      <w:r>
        <w:t xml:space="preserve">Zpracovatel i Objednatel mají povinnost zachovávat mlčenlivost o důvěrných informacích nebo obchodním tajemství smluvních stran, jejichž zveřejnění by ohrozilo zabezpečení obchodního </w:t>
      </w:r>
      <w:r>
        <w:t>tajemství, důvěrných informací nebo osobních údajů smluvních stran. Dále se za porušení mlčenlivosti nepovažuje zveřejnění informace, která je obecně známá a poskytnutí informací v rámci plnění zákonných povinností smluvních stran a dále poskytnutí takovýc</w:t>
      </w:r>
      <w:r>
        <w:t>h povinností účetním, daňovým a právním poradcům smluvních stran.</w:t>
      </w:r>
    </w:p>
    <w:p w:rsidR="00110848" w:rsidRDefault="00554876">
      <w:pPr>
        <w:spacing w:after="321"/>
        <w:ind w:left="653" w:right="125" w:hanging="533"/>
      </w:pPr>
      <w:r>
        <w:t xml:space="preserve">2.2 </w:t>
      </w:r>
      <w:r>
        <w:t>Za důvěrné informace, nenaplňují-li znaky obchodního tajemství dle S 504 občanského zákoníku, se považují zejména údaje o zákaznících, dokumentace vztahující se k výkonu činnosti (zejména návrhy a projektová dokumentace, dokumentace k analýzám atd.), infor</w:t>
      </w:r>
      <w:r>
        <w:t>mace týkající se sjednané ceny, údaje o finanční a hospodářské situaci a stavu majetku, plány dalšího rozvoje, inovace a marketingové záměry, dokumentace používaných pracovních postupů a know-how, nebo obsah obchodních smluv.</w:t>
      </w:r>
    </w:p>
    <w:p w:rsidR="00110848" w:rsidRDefault="00554876">
      <w:pPr>
        <w:pStyle w:val="Nadpis1"/>
        <w:tabs>
          <w:tab w:val="center" w:pos="1741"/>
        </w:tabs>
        <w:spacing w:after="68"/>
        <w:ind w:left="0" w:firstLine="0"/>
      </w:pPr>
      <w:r>
        <w:rPr>
          <w:u w:val="none"/>
        </w:rPr>
        <w:t>3.</w:t>
      </w:r>
      <w:r>
        <w:rPr>
          <w:u w:val="none"/>
        </w:rPr>
        <w:tab/>
      </w:r>
      <w:r>
        <w:t>Odpovědnost za újmu</w:t>
      </w:r>
    </w:p>
    <w:p w:rsidR="00110848" w:rsidRDefault="00554876">
      <w:pPr>
        <w:spacing w:after="146"/>
        <w:ind w:left="639" w:right="139" w:hanging="533"/>
      </w:pPr>
      <w:r>
        <w:t xml:space="preserve">3.1 . </w:t>
      </w:r>
      <w:r>
        <w:t>S</w:t>
      </w:r>
      <w:r>
        <w:t>mluvní strana, která způsobí újmu porušením smluvních povinností vyplývajících z této smlouvy, nese odpovědnost za újmu. Odpovědnosti se smluvní strana zprostí, pokud dokáže, že k porušení došlo za okolností vylučujících protiprávnost dle občanského zákoní</w:t>
      </w:r>
      <w:r>
        <w:t>ku.</w:t>
      </w:r>
    </w:p>
    <w:p w:rsidR="00110848" w:rsidRDefault="00554876">
      <w:pPr>
        <w:spacing w:after="580"/>
        <w:ind w:left="634" w:right="149" w:hanging="538"/>
      </w:pPr>
      <w:r>
        <w:t xml:space="preserve">3.2. </w:t>
      </w:r>
      <w:r>
        <w:t>Za okolnosti vylučující protiprávnost se považuje mimořádná nepředvídatelná a nepřekonatelná překážka vzniklá nezávisle na vůli smluvní strany, která dočasně nebo trvale zabránila splnění smluvní povinnosti.</w:t>
      </w:r>
    </w:p>
    <w:p w:rsidR="00110848" w:rsidRDefault="00554876">
      <w:pPr>
        <w:spacing w:after="0" w:line="259" w:lineRule="auto"/>
        <w:ind w:left="216" w:right="264" w:hanging="10"/>
        <w:jc w:val="center"/>
      </w:pPr>
      <w:r>
        <w:rPr>
          <w:sz w:val="30"/>
        </w:rPr>
        <w:t>Trvání smlouvy a její zrušení</w:t>
      </w:r>
    </w:p>
    <w:p w:rsidR="00110848" w:rsidRDefault="00554876">
      <w:pPr>
        <w:numPr>
          <w:ilvl w:val="0"/>
          <w:numId w:val="5"/>
        </w:numPr>
        <w:ind w:right="93" w:hanging="389"/>
      </w:pPr>
      <w:r>
        <w:t>Tato smlo</w:t>
      </w:r>
      <w:r>
        <w:t>uva se ruší či zaniká:</w:t>
      </w:r>
    </w:p>
    <w:p w:rsidR="00110848" w:rsidRDefault="00554876">
      <w:pPr>
        <w:numPr>
          <w:ilvl w:val="1"/>
          <w:numId w:val="5"/>
        </w:numPr>
        <w:ind w:right="14" w:hanging="250"/>
      </w:pPr>
      <w:r>
        <w:t>písemnou dohodou smluvních stran;</w:t>
      </w:r>
    </w:p>
    <w:p w:rsidR="00110848" w:rsidRDefault="00554876">
      <w:pPr>
        <w:numPr>
          <w:ilvl w:val="1"/>
          <w:numId w:val="5"/>
        </w:numPr>
        <w:spacing w:after="0"/>
        <w:ind w:right="14" w:hanging="250"/>
      </w:pPr>
      <w:r>
        <w:lastRenderedPageBreak/>
        <w:t>písemným odstoupením od smlouvy v případech upravených touto smlouvou a dále písemným odstoupením kteroukoli ze smluvních stran pro podstatné porušení smluvních nebo zákonných povinností druhé smluvn</w:t>
      </w:r>
      <w:r>
        <w:t>í strany poté, co odstupující strana druhou smluvní stranu o takovém podstatném porušení písemně informovala a poskytla přiměřenou lhůtu k nápravě;</w:t>
      </w:r>
    </w:p>
    <w:p w:rsidR="00110848" w:rsidRDefault="00554876">
      <w:pPr>
        <w:numPr>
          <w:ilvl w:val="1"/>
          <w:numId w:val="5"/>
        </w:numPr>
        <w:spacing w:after="78"/>
        <w:ind w:right="14" w:hanging="250"/>
      </w:pPr>
      <w:r>
        <w:t xml:space="preserve">Zpracovatel je dále oprávněn odstoupit od této smlouvy pro prodlení Objednatele s placením odměny delší než </w:t>
      </w:r>
      <w:r>
        <w:t>30 pracovních dnů.</w:t>
      </w:r>
    </w:p>
    <w:p w:rsidR="00110848" w:rsidRDefault="00554876">
      <w:pPr>
        <w:numPr>
          <w:ilvl w:val="0"/>
          <w:numId w:val="5"/>
        </w:numPr>
        <w:spacing w:after="1071"/>
        <w:ind w:right="93" w:hanging="389"/>
      </w:pPr>
      <w:r>
        <w:t>Oznámení o odstoupení od této smlouvy musí být písemné, doručeno druhé smluvní straně a je účinné dnem doručení. Po ukončení smlouvy bude vyhotoven soupis prací a jejich ocenění. Nedohodnou-li se smluvní strany na ocenění prací, bude oce</w:t>
      </w:r>
      <w:r>
        <w:t>nění provedeno znaleckým posudkem na náklady obou smluvních stran (rovným dílem). Objednatel je zejména povinen uhradit Zpracovateli odměnu za již provedené činnosti. Nárok na náhradu újmy není tímto dotčen.</w:t>
      </w:r>
    </w:p>
    <w:p w:rsidR="00110848" w:rsidRDefault="00554876">
      <w:pPr>
        <w:spacing w:after="0" w:line="259" w:lineRule="auto"/>
        <w:ind w:left="29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891176" cy="9147"/>
                <wp:effectExtent l="0" t="0" r="0" b="0"/>
                <wp:docPr id="51757" name="Group 51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176" cy="9147"/>
                          <a:chOff x="0" y="0"/>
                          <a:chExt cx="5891176" cy="9147"/>
                        </a:xfrm>
                      </wpg:grpSpPr>
                      <wps:wsp>
                        <wps:cNvPr id="51756" name="Shape 51756"/>
                        <wps:cNvSpPr/>
                        <wps:spPr>
                          <a:xfrm>
                            <a:off x="0" y="0"/>
                            <a:ext cx="58911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1176" h="9147">
                                <a:moveTo>
                                  <a:pt x="0" y="4573"/>
                                </a:moveTo>
                                <a:lnTo>
                                  <a:pt x="58911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757" style="width:463.872pt;height:0.720215pt;mso-position-horizontal-relative:char;mso-position-vertical-relative:line" coordsize="58911,91">
                <v:shape id="Shape 51756" style="position:absolute;width:58911;height:91;left:0;top:0;" coordsize="5891176,9147" path="m0,4573l58911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10848" w:rsidRDefault="00554876">
      <w:pPr>
        <w:spacing w:after="0" w:line="259" w:lineRule="auto"/>
        <w:ind w:left="10" w:right="178" w:hanging="10"/>
        <w:jc w:val="center"/>
      </w:pPr>
      <w:r>
        <w:rPr>
          <w:sz w:val="20"/>
        </w:rPr>
        <w:t xml:space="preserve">strategie </w:t>
      </w:r>
    </w:p>
    <w:p w:rsidR="00110848" w:rsidRDefault="00554876">
      <w:pPr>
        <w:spacing w:line="259" w:lineRule="auto"/>
        <w:ind w:left="168" w:right="-1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897274" cy="6100"/>
                <wp:effectExtent l="0" t="0" r="0" b="0"/>
                <wp:docPr id="51761" name="Group 51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274" cy="6100"/>
                          <a:chOff x="0" y="0"/>
                          <a:chExt cx="5897274" cy="6100"/>
                        </a:xfrm>
                      </wpg:grpSpPr>
                      <wps:wsp>
                        <wps:cNvPr id="51760" name="Shape 51760"/>
                        <wps:cNvSpPr/>
                        <wps:spPr>
                          <a:xfrm>
                            <a:off x="0" y="0"/>
                            <a:ext cx="5897274" cy="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274" h="6100">
                                <a:moveTo>
                                  <a:pt x="0" y="3050"/>
                                </a:moveTo>
                                <a:lnTo>
                                  <a:pt x="5897274" y="3050"/>
                                </a:lnTo>
                              </a:path>
                            </a:pathLst>
                          </a:custGeom>
                          <a:ln w="6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761" style="width:464.352pt;height:0.480278pt;mso-position-horizontal-relative:char;mso-position-vertical-relative:line" coordsize="58972,61">
                <v:shape id="Shape 51760" style="position:absolute;width:58972;height:61;left:0;top:0;" coordsize="5897274,6100" path="m0,3050l5897274,3050">
                  <v:stroke weight="0.48027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10848" w:rsidRDefault="00554876">
      <w:pPr>
        <w:spacing w:after="0" w:line="259" w:lineRule="auto"/>
        <w:ind w:left="216" w:right="48" w:hanging="10"/>
        <w:jc w:val="center"/>
      </w:pPr>
      <w:r>
        <w:rPr>
          <w:sz w:val="30"/>
        </w:rPr>
        <w:t>VII.</w:t>
      </w:r>
    </w:p>
    <w:p w:rsidR="00110848" w:rsidRDefault="00554876">
      <w:pPr>
        <w:spacing w:after="46" w:line="259" w:lineRule="auto"/>
        <w:ind w:left="216" w:right="38" w:hanging="10"/>
        <w:jc w:val="center"/>
      </w:pPr>
      <w:r>
        <w:rPr>
          <w:sz w:val="30"/>
        </w:rPr>
        <w:t>Závěrečná ustanovení</w:t>
      </w:r>
    </w:p>
    <w:p w:rsidR="00110848" w:rsidRDefault="00554876">
      <w:pPr>
        <w:spacing w:after="136"/>
        <w:ind w:left="595" w:right="14" w:hanging="394"/>
      </w:pPr>
      <w:r>
        <w:t xml:space="preserve">1 . </w:t>
      </w:r>
      <w:r>
        <w:t>Smluvní strany si dohodly, že vztah vzniklý z této smlouvy se řídí ustanoveními zákona č. 89/2012 Sb., občanského zákoníku.</w:t>
      </w:r>
    </w:p>
    <w:p w:rsidR="00110848" w:rsidRDefault="00554876">
      <w:pPr>
        <w:numPr>
          <w:ilvl w:val="0"/>
          <w:numId w:val="6"/>
        </w:numPr>
        <w:spacing w:after="142"/>
        <w:ind w:right="14" w:hanging="413"/>
      </w:pPr>
      <w:r>
        <w:t>Změnit nebo doplnit smlouvu mohou smluvní strany pouze formou písemných dodatků, které budou vzestupně číslovány, výslovně prohlášen</w:t>
      </w:r>
      <w:r>
        <w:t>y za dodatek této smlouvy a podepsány oprávněnými zástupci smluvních stran.</w:t>
      </w:r>
    </w:p>
    <w:p w:rsidR="00110848" w:rsidRDefault="00554876">
      <w:pPr>
        <w:numPr>
          <w:ilvl w:val="0"/>
          <w:numId w:val="6"/>
        </w:numPr>
        <w:spacing w:after="141"/>
        <w:ind w:right="14" w:hanging="413"/>
      </w:pPr>
      <w:r>
        <w:t>Smlouva nabude platnosti dnem jejího podpisu oběma smluvními stranami. Účinností smlouva nabude uveřejněním v registru smluv dle zákona č. 340/2015 Sb., o zvláštních podmínkách úči</w:t>
      </w:r>
      <w:r>
        <w:t>nnosti některých smluv, uveřejňování těchto smluv a o registru smluv (zákon o registru smluv).</w:t>
      </w:r>
    </w:p>
    <w:p w:rsidR="00110848" w:rsidRDefault="00554876">
      <w:pPr>
        <w:numPr>
          <w:ilvl w:val="0"/>
          <w:numId w:val="6"/>
        </w:numPr>
        <w:spacing w:after="129"/>
        <w:ind w:right="14" w:hanging="413"/>
      </w:pPr>
      <w:r>
        <w:t>Tato smlouva je vyhotovena v jednom elektronickém originálu.</w:t>
      </w:r>
    </w:p>
    <w:p w:rsidR="00110848" w:rsidRDefault="00554876">
      <w:pPr>
        <w:numPr>
          <w:ilvl w:val="0"/>
          <w:numId w:val="6"/>
        </w:numPr>
        <w:spacing w:after="150"/>
        <w:ind w:right="14" w:hanging="413"/>
      </w:pPr>
      <w:r>
        <w:t>Zpracovatel nemůže bez souhlasu objednatele postoupit svá práva a povinnosti plynoucí ze smlouvy třetí osobě.</w:t>
      </w:r>
    </w:p>
    <w:p w:rsidR="00110848" w:rsidRDefault="00554876">
      <w:pPr>
        <w:numPr>
          <w:ilvl w:val="0"/>
          <w:numId w:val="6"/>
        </w:numPr>
        <w:spacing w:after="93"/>
        <w:ind w:right="14" w:hanging="413"/>
      </w:pPr>
      <w:r>
        <w:t>Smluvní strany shodně prohlašují, že si smlouvu před jejím podpisem přečetly a že byla uzavřena po vzájemném projednání podle jejich pravé a svobo</w:t>
      </w:r>
      <w:r>
        <w:t>dné vůle určitě, vážně a srozumitelně, nikoliv v tísni nebo za nápadně nevýhodných podmínek, a že se dohodly o celém jejím obsahu, což stvrzují svými podpisy.</w:t>
      </w:r>
    </w:p>
    <w:p w:rsidR="00110848" w:rsidRDefault="00554876">
      <w:pPr>
        <w:numPr>
          <w:ilvl w:val="0"/>
          <w:numId w:val="6"/>
        </w:numPr>
        <w:spacing w:after="226"/>
        <w:ind w:right="14" w:hanging="413"/>
      </w:pPr>
      <w:r>
        <w:t>Nedílnou součástí této smlouvy jsou následující přílohy:</w:t>
      </w:r>
    </w:p>
    <w:p w:rsidR="00110848" w:rsidRDefault="00554876">
      <w:pPr>
        <w:spacing w:after="2026"/>
        <w:ind w:left="591" w:right="14"/>
      </w:pPr>
      <w:r>
        <w:t>Příloha smlouvy č. 1 - Příprava strategi</w:t>
      </w:r>
      <w:r>
        <w:t>e rozvoje Vlastivědného muzea v Olomouci — nabídka</w:t>
      </w:r>
    </w:p>
    <w:p w:rsidR="00110848" w:rsidRDefault="00554876">
      <w:pPr>
        <w:tabs>
          <w:tab w:val="center" w:pos="2545"/>
          <w:tab w:val="center" w:pos="6977"/>
        </w:tabs>
        <w:spacing w:after="2920" w:line="265" w:lineRule="auto"/>
        <w:ind w:left="0" w:righ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283581</wp:posOffset>
            </wp:positionH>
            <wp:positionV relativeFrom="paragraph">
              <wp:posOffset>159182</wp:posOffset>
            </wp:positionV>
            <wp:extent cx="2183272" cy="1384597"/>
            <wp:effectExtent l="0" t="0" r="0" b="0"/>
            <wp:wrapSquare wrapText="bothSides"/>
            <wp:docPr id="17881" name="Picture 17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" name="Picture 1788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83272" cy="138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  <w:t>V Praze dne zdle elektronického podpisu»</w:t>
      </w:r>
      <w:r>
        <w:rPr>
          <w:sz w:val="22"/>
        </w:rPr>
        <w:tab/>
      </w:r>
      <w:r>
        <w:rPr>
          <w:noProof/>
        </w:rPr>
        <w:drawing>
          <wp:inline distT="0" distB="0" distL="0" distR="0">
            <wp:extent cx="2646760" cy="1500489"/>
            <wp:effectExtent l="0" t="0" r="0" b="0"/>
            <wp:docPr id="51758" name="Picture 51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8" name="Picture 5175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46760" cy="150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48" w:rsidRDefault="00554876">
      <w:pPr>
        <w:spacing w:after="0" w:line="259" w:lineRule="auto"/>
        <w:ind w:left="101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897274" cy="6100"/>
                <wp:effectExtent l="0" t="0" r="0" b="0"/>
                <wp:docPr id="51763" name="Group 51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274" cy="6100"/>
                          <a:chOff x="0" y="0"/>
                          <a:chExt cx="5897274" cy="6100"/>
                        </a:xfrm>
                      </wpg:grpSpPr>
                      <wps:wsp>
                        <wps:cNvPr id="51762" name="Shape 51762"/>
                        <wps:cNvSpPr/>
                        <wps:spPr>
                          <a:xfrm>
                            <a:off x="0" y="0"/>
                            <a:ext cx="5897274" cy="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274" h="6100">
                                <a:moveTo>
                                  <a:pt x="0" y="3050"/>
                                </a:moveTo>
                                <a:lnTo>
                                  <a:pt x="5897274" y="3050"/>
                                </a:lnTo>
                              </a:path>
                            </a:pathLst>
                          </a:custGeom>
                          <a:ln w="6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763" style="width:464.352pt;height:0.480286pt;mso-position-horizontal-relative:char;mso-position-vertical-relative:line" coordsize="58972,61">
                <v:shape id="Shape 51762" style="position:absolute;width:58972;height:61;left:0;top:0;" coordsize="5897274,6100" path="m0,3050l5897274,3050">
                  <v:stroke weight="0.48028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10848" w:rsidRDefault="00110848">
      <w:pPr>
        <w:sectPr w:rsidR="00110848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592" w:h="16502"/>
          <w:pgMar w:top="951" w:right="1066" w:bottom="1392" w:left="1080" w:header="708" w:footer="708" w:gutter="0"/>
          <w:cols w:space="708"/>
          <w:titlePg/>
        </w:sectPr>
      </w:pPr>
    </w:p>
    <w:p w:rsidR="00110848" w:rsidRDefault="00554876">
      <w:pPr>
        <w:pStyle w:val="Nadpis1"/>
        <w:tabs>
          <w:tab w:val="center" w:pos="2228"/>
        </w:tabs>
        <w:spacing w:after="646"/>
        <w:ind w:left="0" w:firstLine="0"/>
      </w:pPr>
      <w:r>
        <w:rPr>
          <w:sz w:val="30"/>
        </w:rPr>
        <w:lastRenderedPageBreak/>
        <w:t xml:space="preserve">Příloha </w:t>
      </w:r>
      <w:r>
        <w:rPr>
          <w:sz w:val="30"/>
        </w:rPr>
        <w:tab/>
        <w:t>č. 1</w:t>
      </w:r>
    </w:p>
    <w:p w:rsidR="00110848" w:rsidRDefault="00554876">
      <w:pPr>
        <w:spacing w:after="586" w:line="216" w:lineRule="auto"/>
        <w:ind w:left="110" w:right="3957" w:firstLine="1911"/>
        <w:jc w:val="left"/>
      </w:pPr>
      <w:r>
        <w:rPr>
          <w:sz w:val="50"/>
        </w:rPr>
        <w:t>Umění plánovat. plan Společně.</w:t>
      </w:r>
    </w:p>
    <w:p w:rsidR="00110848" w:rsidRDefault="00554876">
      <w:pPr>
        <w:spacing w:after="301" w:line="216" w:lineRule="auto"/>
        <w:ind w:left="110" w:right="283" w:firstLine="10"/>
      </w:pPr>
      <w:r>
        <w:rPr>
          <w:sz w:val="98"/>
        </w:rPr>
        <w:t>Příprava strategie rozvoie Vlastivědného muzea v Olomouci</w:t>
      </w:r>
    </w:p>
    <w:p w:rsidR="00110848" w:rsidRDefault="00554876">
      <w:pPr>
        <w:spacing w:after="799" w:line="259" w:lineRule="auto"/>
        <w:ind w:left="110" w:right="0"/>
        <w:jc w:val="left"/>
      </w:pPr>
      <w:r>
        <w:rPr>
          <w:rFonts w:ascii="Times New Roman" w:eastAsia="Times New Roman" w:hAnsi="Times New Roman" w:cs="Times New Roman"/>
          <w:sz w:val="104"/>
        </w:rPr>
        <w:t>nabídka</w:t>
      </w:r>
    </w:p>
    <w:p w:rsidR="00110848" w:rsidRDefault="00554876">
      <w:pPr>
        <w:spacing w:after="0" w:line="259" w:lineRule="auto"/>
        <w:ind w:left="134" w:right="0"/>
        <w:jc w:val="left"/>
      </w:pPr>
      <w:r>
        <w:rPr>
          <w:rFonts w:ascii="Times New Roman" w:eastAsia="Times New Roman" w:hAnsi="Times New Roman" w:cs="Times New Roman"/>
          <w:sz w:val="158"/>
        </w:rPr>
        <w:t xml:space="preserve">6 </w:t>
      </w:r>
      <w:r>
        <w:rPr>
          <w:noProof/>
        </w:rPr>
        <w:drawing>
          <wp:inline distT="0" distB="0" distL="0" distR="0">
            <wp:extent cx="420798" cy="423795"/>
            <wp:effectExtent l="0" t="0" r="0" b="0"/>
            <wp:docPr id="18409" name="Picture 18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" name="Picture 1840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0798" cy="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48" w:rsidRDefault="00554876">
      <w:pPr>
        <w:tabs>
          <w:tab w:val="center" w:pos="2447"/>
          <w:tab w:val="center" w:pos="4427"/>
        </w:tabs>
        <w:spacing w:after="3647" w:line="259" w:lineRule="auto"/>
        <w:ind w:left="0" w:right="0"/>
        <w:jc w:val="left"/>
      </w:pPr>
      <w:r>
        <w:rPr>
          <w:noProof/>
        </w:rPr>
        <w:drawing>
          <wp:inline distT="0" distB="0" distL="0" distR="0">
            <wp:extent cx="417749" cy="420747"/>
            <wp:effectExtent l="0" t="0" r="0" b="0"/>
            <wp:docPr id="18411" name="Picture 18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" name="Picture 1841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7749" cy="42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88"/>
        </w:rPr>
        <w:tab/>
        <w:t>6)</w:t>
      </w:r>
      <w:r>
        <w:rPr>
          <w:rFonts w:ascii="Times New Roman" w:eastAsia="Times New Roman" w:hAnsi="Times New Roman" w:cs="Times New Roman"/>
          <w:sz w:val="88"/>
        </w:rPr>
        <w:tab/>
      </w:r>
      <w:r>
        <w:rPr>
          <w:noProof/>
        </w:rPr>
        <w:drawing>
          <wp:inline distT="0" distB="0" distL="0" distR="0">
            <wp:extent cx="420798" cy="420746"/>
            <wp:effectExtent l="0" t="0" r="0" b="0"/>
            <wp:docPr id="18410" name="Picture 18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" name="Picture 1841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0798" cy="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48" w:rsidRDefault="00554876">
      <w:pPr>
        <w:pStyle w:val="Nadpis1"/>
        <w:ind w:left="0" w:right="346" w:firstLine="0"/>
        <w:jc w:val="right"/>
      </w:pPr>
      <w:r>
        <w:rPr>
          <w:noProof/>
        </w:rPr>
        <w:lastRenderedPageBreak/>
        <w:drawing>
          <wp:inline distT="0" distB="0" distL="0" distR="0">
            <wp:extent cx="420798" cy="420746"/>
            <wp:effectExtent l="0" t="0" r="0" b="0"/>
            <wp:docPr id="18412" name="Picture 18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" name="Picture 1841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0798" cy="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02"/>
          <w:u w:val="none"/>
        </w:rPr>
        <w:t xml:space="preserve"> O O</w:t>
      </w:r>
    </w:p>
    <w:p w:rsidR="00110848" w:rsidRDefault="00554876">
      <w:pPr>
        <w:spacing w:after="706" w:line="216" w:lineRule="auto"/>
        <w:ind w:left="29" w:right="634" w:firstLine="4062"/>
        <w:jc w:val="left"/>
      </w:pPr>
      <w:r>
        <w:rPr>
          <w:sz w:val="54"/>
        </w:rPr>
        <w:t>Vlastivědné muzeum</w:t>
      </w:r>
    </w:p>
    <w:p w:rsidR="00110848" w:rsidRDefault="00554876">
      <w:pPr>
        <w:spacing w:after="329" w:line="216" w:lineRule="auto"/>
        <w:ind w:left="24" w:right="0" w:hanging="10"/>
        <w:jc w:val="left"/>
      </w:pPr>
      <w:r>
        <w:rPr>
          <w:sz w:val="50"/>
        </w:rPr>
        <w:t xml:space="preserve">eum </w:t>
      </w:r>
      <w:r>
        <w:rPr>
          <w:sz w:val="50"/>
        </w:rPr>
        <w:t>v Olomouci</w:t>
      </w:r>
    </w:p>
    <w:p w:rsidR="00110848" w:rsidRDefault="00554876">
      <w:pPr>
        <w:spacing w:after="348" w:line="216" w:lineRule="auto"/>
        <w:ind w:left="67" w:right="355" w:firstLine="10"/>
      </w:pPr>
      <w:r>
        <w:rPr>
          <w:sz w:val="100"/>
        </w:rPr>
        <w:t>Příprava strategie rozvoie Vlastivědného muzea v Olomouci</w:t>
      </w:r>
    </w:p>
    <w:p w:rsidR="00110848" w:rsidRDefault="00554876">
      <w:pPr>
        <w:pStyle w:val="Nadpis2"/>
      </w:pPr>
      <w:r>
        <w:t>nabídka</w:t>
      </w:r>
    </w:p>
    <w:p w:rsidR="00110848" w:rsidRDefault="00554876">
      <w:pPr>
        <w:spacing w:after="376" w:line="256" w:lineRule="auto"/>
        <w:ind w:left="4" w:right="1325" w:hanging="5"/>
        <w:jc w:val="left"/>
      </w:pPr>
      <w:r>
        <w:rPr>
          <w:sz w:val="30"/>
        </w:rPr>
        <w:t>25. dubna 2024</w:t>
      </w:r>
    </w:p>
    <w:p w:rsidR="00110848" w:rsidRDefault="00554876">
      <w:pPr>
        <w:spacing w:after="3" w:line="256" w:lineRule="auto"/>
        <w:ind w:left="4" w:right="1325" w:hanging="5"/>
        <w:jc w:val="left"/>
      </w:pPr>
      <w:r>
        <w:rPr>
          <w:sz w:val="30"/>
        </w:rPr>
        <w:t>Obiednatel</w:t>
      </w:r>
    </w:p>
    <w:p w:rsidR="00110848" w:rsidRDefault="00554876">
      <w:pPr>
        <w:spacing w:after="4" w:line="265" w:lineRule="auto"/>
        <w:ind w:left="0" w:right="105" w:firstLine="9"/>
      </w:pPr>
      <w:r>
        <w:rPr>
          <w:sz w:val="28"/>
        </w:rPr>
        <w:t>Vlastivědné muzeum v Olomouci p.o.</w:t>
      </w:r>
    </w:p>
    <w:p w:rsidR="00110848" w:rsidRDefault="00554876">
      <w:pPr>
        <w:spacing w:after="368" w:line="265" w:lineRule="auto"/>
        <w:ind w:left="19" w:right="105" w:firstLine="9"/>
      </w:pPr>
      <w:r>
        <w:rPr>
          <w:sz w:val="28"/>
        </w:rPr>
        <w:t>nám. Republiky 823/5, 779 OO Olomouc</w:t>
      </w:r>
    </w:p>
    <w:p w:rsidR="00110848" w:rsidRDefault="00554876">
      <w:pPr>
        <w:spacing w:after="3" w:line="256" w:lineRule="auto"/>
        <w:ind w:left="4" w:right="1325" w:hanging="5"/>
        <w:jc w:val="left"/>
      </w:pPr>
      <w:r>
        <w:rPr>
          <w:sz w:val="30"/>
        </w:rPr>
        <w:t>Zpracovatel</w:t>
      </w:r>
    </w:p>
    <w:p w:rsidR="00110848" w:rsidRDefault="00554876">
      <w:pPr>
        <w:spacing w:after="215" w:line="265" w:lineRule="auto"/>
        <w:ind w:left="10" w:right="105" w:firstLine="9"/>
      </w:pPr>
      <w:r>
        <w:rPr>
          <w:sz w:val="28"/>
        </w:rPr>
        <w:t>ONplan lab, s.r.o.</w:t>
      </w:r>
    </w:p>
    <w:p w:rsidR="00110848" w:rsidRDefault="00554876">
      <w:pPr>
        <w:spacing w:after="30" w:line="335" w:lineRule="auto"/>
        <w:ind w:left="0" w:right="3285" w:firstLine="9"/>
      </w:pPr>
      <w:r>
        <w:rPr>
          <w:sz w:val="28"/>
        </w:rPr>
        <w:lastRenderedPageBreak/>
        <w:t>Karmelitská 18/379, Praha I, 118 oo zastoupený jednatelem Ing. Petrem Návratem, MSC.</w:t>
      </w:r>
    </w:p>
    <w:p w:rsidR="00110848" w:rsidRDefault="00554876">
      <w:pPr>
        <w:spacing w:after="0" w:line="259" w:lineRule="auto"/>
        <w:ind w:left="-58" w:right="0"/>
        <w:jc w:val="left"/>
      </w:pPr>
      <w:r>
        <w:rPr>
          <w:noProof/>
        </w:rPr>
        <w:drawing>
          <wp:inline distT="0" distB="0" distL="0" distR="0">
            <wp:extent cx="5537461" cy="1299204"/>
            <wp:effectExtent l="0" t="0" r="0" b="0"/>
            <wp:docPr id="21492" name="Picture 21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2" name="Picture 2149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37461" cy="129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48" w:rsidRDefault="00554876">
      <w:pPr>
        <w:pStyle w:val="Nadpis3"/>
        <w:spacing w:after="249"/>
        <w:ind w:left="110"/>
      </w:pPr>
      <w:r>
        <w:rPr>
          <w:sz w:val="44"/>
        </w:rPr>
        <w:t>1 Kontext</w:t>
      </w:r>
    </w:p>
    <w:p w:rsidR="00110848" w:rsidRDefault="00554876">
      <w:pPr>
        <w:spacing w:after="4" w:line="265" w:lineRule="auto"/>
        <w:ind w:left="77" w:right="0" w:firstLine="9"/>
      </w:pPr>
      <w:r>
        <w:rPr>
          <w:sz w:val="28"/>
        </w:rPr>
        <w:t>Vlastivědné muzeum v Olomouci zamýšlí zpracovat strategii rozvoje organizace s výhledem na 10 až 20 let.</w:t>
      </w:r>
    </w:p>
    <w:p w:rsidR="00110848" w:rsidRDefault="00554876">
      <w:pPr>
        <w:spacing w:after="4" w:line="265" w:lineRule="auto"/>
        <w:ind w:left="82" w:right="105" w:firstLine="9"/>
      </w:pPr>
      <w:r>
        <w:rPr>
          <w:sz w:val="28"/>
        </w:rPr>
        <w:t>Smyslem přípravy strategie je připravit dlouhodobější strategický výhled, který napomůže systematickému rozvoj VMO v SOUladU se společenskými trendy, t</w:t>
      </w:r>
      <w:r>
        <w:rPr>
          <w:sz w:val="28"/>
        </w:rPr>
        <w:t>rendy rozvoje měst a trendy v oblasti paměťových institucí.</w:t>
      </w:r>
    </w:p>
    <w:p w:rsidR="00110848" w:rsidRDefault="00554876">
      <w:pPr>
        <w:spacing w:after="4" w:line="265" w:lineRule="auto"/>
        <w:ind w:left="86" w:right="322" w:firstLine="9"/>
      </w:pPr>
      <w:r>
        <w:rPr>
          <w:sz w:val="28"/>
        </w:rPr>
        <w:t>Strategie bude slouŽit jako podklad pro systematický rozvoj několika rolí muzea: péči o paměť území a sbírky, a ieiich atraktivní prezentaci veřejnosti; jeho roli v regionálním ekosystému kreativní ekonomiky; i utváření značky regionu a města pro návštěvní</w:t>
      </w:r>
      <w:r>
        <w:rPr>
          <w:sz w:val="28"/>
        </w:rPr>
        <w:t>ky.</w:t>
      </w:r>
    </w:p>
    <w:p w:rsidR="00110848" w:rsidRDefault="00554876">
      <w:pPr>
        <w:spacing w:after="4" w:line="265" w:lineRule="auto"/>
        <w:ind w:left="77" w:right="0" w:firstLine="9"/>
      </w:pPr>
      <w:r>
        <w:rPr>
          <w:sz w:val="28"/>
        </w:rPr>
        <w:t>Strategie také ukotví roli muzea jako potenciálního klíčového partnera kUltUrOU taženého rozvoje „muzejní čtvrti v Olomouci” v SOUladU se strategickým plánem Olomouckého kraje i města Olomouc v oblasti kultury, kulturního dědictví a kulturních a kreati</w:t>
      </w:r>
      <w:r>
        <w:rPr>
          <w:sz w:val="28"/>
        </w:rPr>
        <w:t>vních odvětví.</w:t>
      </w:r>
    </w:p>
    <w:p w:rsidR="00110848" w:rsidRDefault="00554876">
      <w:pPr>
        <w:spacing w:after="109" w:line="259" w:lineRule="auto"/>
        <w:ind w:left="62" w:right="-29"/>
        <w:jc w:val="left"/>
      </w:pPr>
      <w:r>
        <w:rPr>
          <w:noProof/>
        </w:rPr>
        <w:drawing>
          <wp:inline distT="0" distB="0" distL="0" distR="0">
            <wp:extent cx="5729564" cy="2987909"/>
            <wp:effectExtent l="0" t="0" r="0" b="0"/>
            <wp:docPr id="51766" name="Picture 51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6" name="Picture 5176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29564" cy="298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48" w:rsidRDefault="00554876">
      <w:pPr>
        <w:spacing w:after="80" w:line="265" w:lineRule="auto"/>
        <w:ind w:left="77" w:right="0" w:hanging="10"/>
        <w:jc w:val="left"/>
      </w:pPr>
      <w:r>
        <w:rPr>
          <w:sz w:val="22"/>
        </w:rPr>
        <w:lastRenderedPageBreak/>
        <w:t>Obrázek 1 Vlastivědné muzeum v Olomouci v kontextu širšího území s koncentrací muzejních a dalších kulturních institucí, které je neformálně vnímáno jako muzejní / kulturní čtvrť.</w:t>
      </w:r>
    </w:p>
    <w:p w:rsidR="00110848" w:rsidRDefault="00110848">
      <w:pPr>
        <w:sectPr w:rsidR="00110848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592" w:h="16502"/>
          <w:pgMar w:top="471" w:right="1239" w:bottom="1681" w:left="1297" w:header="708" w:footer="708" w:gutter="0"/>
          <w:cols w:space="708"/>
          <w:titlePg/>
        </w:sectPr>
      </w:pPr>
    </w:p>
    <w:p w:rsidR="00110848" w:rsidRDefault="00554876">
      <w:pPr>
        <w:spacing w:after="285" w:line="216" w:lineRule="auto"/>
        <w:ind w:left="33" w:right="0" w:firstLine="4"/>
        <w:jc w:val="left"/>
      </w:pPr>
      <w:r>
        <w:rPr>
          <w:sz w:val="46"/>
        </w:rPr>
        <w:lastRenderedPageBreak/>
        <w:t>2 Cíle</w:t>
      </w:r>
    </w:p>
    <w:p w:rsidR="00110848" w:rsidRDefault="00554876">
      <w:pPr>
        <w:spacing w:after="4" w:line="265" w:lineRule="auto"/>
        <w:ind w:left="43" w:right="105" w:firstLine="9"/>
      </w:pPr>
      <w:r>
        <w:rPr>
          <w:sz w:val="28"/>
        </w:rPr>
        <w:t>Cíle přípravy Strategie Vlastivědného muzea v Olomouci zahrnují:</w:t>
      </w:r>
    </w:p>
    <w:p w:rsidR="00110848" w:rsidRDefault="00554876">
      <w:pPr>
        <w:spacing w:after="362" w:line="265" w:lineRule="auto"/>
        <w:ind w:left="460" w:right="105" w:firstLine="9"/>
      </w:pPr>
      <w:r>
        <w:rPr>
          <w:noProof/>
        </w:rPr>
        <w:drawing>
          <wp:inline distT="0" distB="0" distL="0" distR="0">
            <wp:extent cx="57936" cy="57929"/>
            <wp:effectExtent l="0" t="0" r="0" b="0"/>
            <wp:docPr id="24347" name="Picture 24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7" name="Picture 2434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936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připravit strategický dokument s výhledem na následujících deset až 20 let v kontextu nadcházejících trendů, tak aby byl podkladem i pro následné uvažování o prostorové saturaci činností a </w:t>
      </w:r>
      <w:r>
        <w:rPr>
          <w:sz w:val="28"/>
        </w:rPr>
        <w:t xml:space="preserve">služeb organizace, </w:t>
      </w:r>
      <w:r>
        <w:rPr>
          <w:noProof/>
        </w:rPr>
        <w:drawing>
          <wp:inline distT="0" distB="0" distL="0" distR="0">
            <wp:extent cx="57936" cy="57929"/>
            <wp:effectExtent l="0" t="0" r="0" b="0"/>
            <wp:docPr id="24348" name="Picture 24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8" name="Picture 2434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936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přípravu vést participativním způsobem, zapojit zaměstnance i klíčové stakeholdery z města a regionu a budovat ieiich konsenzus, </w:t>
      </w:r>
      <w:r>
        <w:rPr>
          <w:noProof/>
        </w:rPr>
        <w:drawing>
          <wp:inline distT="0" distB="0" distL="0" distR="0">
            <wp:extent cx="54887" cy="57929"/>
            <wp:effectExtent l="0" t="0" r="0" b="0"/>
            <wp:docPr id="24349" name="Picture 24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9" name="Picture 2434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87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strategii připravit s ohledem na potenciál rozvoje muzejní čtvrti v Olomouci v lokalitě, kde muzeum sídl</w:t>
      </w:r>
      <w:r>
        <w:rPr>
          <w:sz w:val="28"/>
        </w:rPr>
        <w:t>í tak, aby definovala potenciální roli muzea v tomto rozvoji.</w:t>
      </w:r>
    </w:p>
    <w:p w:rsidR="00110848" w:rsidRDefault="00554876">
      <w:pPr>
        <w:pStyle w:val="Nadpis3"/>
        <w:spacing w:after="146"/>
        <w:ind w:left="44"/>
      </w:pPr>
      <w:r>
        <w:rPr>
          <w:sz w:val="44"/>
        </w:rPr>
        <w:t>3 Navrhované aktivity</w:t>
      </w:r>
    </w:p>
    <w:p w:rsidR="00110848" w:rsidRDefault="00554876">
      <w:pPr>
        <w:spacing w:after="324" w:line="265" w:lineRule="auto"/>
        <w:ind w:left="34" w:right="202" w:firstLine="9"/>
      </w:pPr>
      <w:r>
        <w:rPr>
          <w:sz w:val="28"/>
        </w:rPr>
        <w:t>Poznámka: Řazení aktivit není chronologické. Aktivity mohou probíhat zároveň. Pracovní skupina se bude dle potřeb projektu scházet nejvýše 1x za 14 dní, setkání bUdOU probí</w:t>
      </w:r>
      <w:r>
        <w:rPr>
          <w:sz w:val="28"/>
        </w:rPr>
        <w:t>hat zejména on-line.</w:t>
      </w:r>
    </w:p>
    <w:p w:rsidR="00110848" w:rsidRDefault="00554876">
      <w:pPr>
        <w:pStyle w:val="Nadpis3"/>
        <w:ind w:left="33"/>
      </w:pPr>
      <w:r>
        <w:t>FÁZE I NASTAVENÍ SPOLUPRÁCE</w:t>
      </w:r>
    </w:p>
    <w:p w:rsidR="00110848" w:rsidRDefault="00554876">
      <w:pPr>
        <w:spacing w:after="3" w:line="256" w:lineRule="auto"/>
        <w:ind w:left="4" w:right="1325" w:hanging="5"/>
        <w:jc w:val="left"/>
      </w:pPr>
      <w:r>
        <w:rPr>
          <w:sz w:val="30"/>
        </w:rPr>
        <w:t>Al Nastavení procesu přípravy strategie a zapojení aktérů Aktivita bude obsahovat:</w:t>
      </w:r>
    </w:p>
    <w:p w:rsidR="00110848" w:rsidRDefault="00554876">
      <w:pPr>
        <w:spacing w:after="310" w:line="265" w:lineRule="auto"/>
        <w:ind w:left="375" w:right="105" w:firstLine="9"/>
      </w:pPr>
      <w:r>
        <w:rPr>
          <w:noProof/>
        </w:rPr>
        <w:drawing>
          <wp:inline distT="0" distB="0" distL="0" distR="0">
            <wp:extent cx="88429" cy="67076"/>
            <wp:effectExtent l="0" t="0" r="0" b="0"/>
            <wp:docPr id="51769" name="Picture 51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9" name="Picture 5176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8429" cy="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upřesnění zadání s objednatelem, </w:t>
      </w:r>
      <w:r>
        <w:rPr>
          <w:noProof/>
        </w:rPr>
        <w:drawing>
          <wp:inline distT="0" distB="0" distL="0" distR="0">
            <wp:extent cx="39641" cy="18293"/>
            <wp:effectExtent l="0" t="0" r="0" b="0"/>
            <wp:docPr id="24352" name="Picture 24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2" name="Picture 2435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641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popis institucionálního rámce spolupráce, </w:t>
      </w:r>
      <w:r>
        <w:rPr>
          <w:noProof/>
        </w:rPr>
        <w:drawing>
          <wp:inline distT="0" distB="0" distL="0" distR="0">
            <wp:extent cx="36591" cy="18293"/>
            <wp:effectExtent l="0" t="0" r="0" b="0"/>
            <wp:docPr id="24353" name="Picture 24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3" name="Picture 2435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591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upřesnění harmonogramu, </w:t>
      </w:r>
      <w:r>
        <w:rPr>
          <w:noProof/>
        </w:rPr>
        <w:drawing>
          <wp:inline distT="0" distB="0" distL="0" distR="0">
            <wp:extent cx="39640" cy="21342"/>
            <wp:effectExtent l="0" t="0" r="0" b="0"/>
            <wp:docPr id="24354" name="Picture 24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4" name="Picture 2435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9640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sestavení pracovní</w:t>
      </w:r>
      <w:r>
        <w:rPr>
          <w:sz w:val="28"/>
        </w:rPr>
        <w:t xml:space="preserve"> skupiny, </w:t>
      </w:r>
      <w:r>
        <w:rPr>
          <w:noProof/>
        </w:rPr>
        <w:drawing>
          <wp:inline distT="0" distB="0" distL="0" distR="0">
            <wp:extent cx="36591" cy="21342"/>
            <wp:effectExtent l="0" t="0" r="0" b="0"/>
            <wp:docPr id="24355" name="Picture 24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5" name="Picture 2435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591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upřesnění rozsahu analýzy, </w:t>
      </w:r>
      <w:r>
        <w:rPr>
          <w:noProof/>
        </w:rPr>
        <w:drawing>
          <wp:inline distT="0" distB="0" distL="0" distR="0">
            <wp:extent cx="36591" cy="21342"/>
            <wp:effectExtent l="0" t="0" r="0" b="0"/>
            <wp:docPr id="24356" name="Picture 24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6" name="Picture 2435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591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sestavení seznamu stakeholderů, kteří se mají dále projektu účastnit jako konzultanti, nebo mají být o přípravě projektu informováni a cílů ieiich zapojení.</w:t>
      </w:r>
    </w:p>
    <w:p w:rsidR="00110848" w:rsidRDefault="00554876">
      <w:pPr>
        <w:pStyle w:val="Nadpis3"/>
        <w:ind w:left="33"/>
      </w:pPr>
      <w:r>
        <w:t>FÁZE 11 ZPRACOVÁNÍ ANALÝZY</w:t>
      </w:r>
    </w:p>
    <w:p w:rsidR="00110848" w:rsidRDefault="00554876">
      <w:pPr>
        <w:spacing w:after="47" w:line="256" w:lineRule="auto"/>
        <w:ind w:left="4" w:right="2655" w:hanging="5"/>
        <w:jc w:val="left"/>
      </w:pPr>
      <w:r>
        <w:rPr>
          <w:sz w:val="30"/>
        </w:rPr>
        <w:t xml:space="preserve">A2 Analýza stávaiící situace a </w:t>
      </w:r>
      <w:r>
        <w:rPr>
          <w:sz w:val="30"/>
        </w:rPr>
        <w:t>relevantních podkladů V rámci analýzy stávajícího StaVU zpracovatel:</w:t>
      </w:r>
    </w:p>
    <w:p w:rsidR="00110848" w:rsidRDefault="00554876">
      <w:pPr>
        <w:numPr>
          <w:ilvl w:val="0"/>
          <w:numId w:val="7"/>
        </w:numPr>
        <w:spacing w:after="4" w:line="265" w:lineRule="auto"/>
        <w:ind w:right="105" w:hanging="365"/>
      </w:pPr>
      <w:r>
        <w:rPr>
          <w:sz w:val="28"/>
        </w:rPr>
        <w:t>seznámí se s doposud zpracovanými koncepčními materiály, které řeší rozvoj činností muzea, či budov na úrovni instituce i zřizovatele,</w:t>
      </w:r>
    </w:p>
    <w:p w:rsidR="00110848" w:rsidRDefault="00554876">
      <w:pPr>
        <w:numPr>
          <w:ilvl w:val="0"/>
          <w:numId w:val="7"/>
        </w:numPr>
        <w:spacing w:after="0" w:line="216" w:lineRule="auto"/>
        <w:ind w:right="105" w:hanging="365"/>
      </w:pPr>
      <w:r>
        <w:rPr>
          <w:sz w:val="28"/>
        </w:rPr>
        <w:t>zpracuje analýzu potřeb jednotlivých stávajících i potenciálně budoucích činností muzea a jejich prostorových nároků (dotazník s odděleními muzea, strukturované rozhovory),</w:t>
      </w:r>
    </w:p>
    <w:p w:rsidR="00110848" w:rsidRDefault="00554876">
      <w:pPr>
        <w:numPr>
          <w:ilvl w:val="0"/>
          <w:numId w:val="7"/>
        </w:numPr>
        <w:spacing w:after="30" w:line="265" w:lineRule="auto"/>
        <w:ind w:right="105" w:hanging="365"/>
      </w:pPr>
      <w:r>
        <w:rPr>
          <w:sz w:val="28"/>
        </w:rPr>
        <w:t>zpracuje analýzu potřeb cílových skupin uživatelů a návštěvníků (dotazník s oddělen</w:t>
      </w:r>
      <w:r>
        <w:rPr>
          <w:sz w:val="28"/>
        </w:rPr>
        <w:t>ími muzea, strukturované rozhovory),</w:t>
      </w:r>
    </w:p>
    <w:p w:rsidR="00110848" w:rsidRDefault="00554876">
      <w:pPr>
        <w:numPr>
          <w:ilvl w:val="0"/>
          <w:numId w:val="7"/>
        </w:numPr>
        <w:spacing w:after="48" w:line="265" w:lineRule="auto"/>
        <w:ind w:right="105" w:hanging="365"/>
      </w:pPr>
      <w:r>
        <w:rPr>
          <w:sz w:val="28"/>
        </w:rPr>
        <w:lastRenderedPageBreak/>
        <w:t>připraví souhrnnou zprávu se shrnutím východisek pro strategii.</w:t>
      </w:r>
    </w:p>
    <w:p w:rsidR="00110848" w:rsidRDefault="00554876">
      <w:pPr>
        <w:spacing w:after="64" w:line="256" w:lineRule="auto"/>
        <w:ind w:left="96" w:right="4432" w:hanging="5"/>
        <w:jc w:val="left"/>
      </w:pPr>
      <w:r>
        <w:rPr>
          <w:sz w:val="30"/>
        </w:rPr>
        <w:t>A3 Analýza trendů a příležitostí Aktivita zahrne:</w:t>
      </w:r>
    </w:p>
    <w:p w:rsidR="00110848" w:rsidRDefault="00554876">
      <w:pPr>
        <w:numPr>
          <w:ilvl w:val="0"/>
          <w:numId w:val="7"/>
        </w:numPr>
        <w:spacing w:after="83" w:line="265" w:lineRule="auto"/>
        <w:ind w:right="105" w:hanging="365"/>
      </w:pPr>
      <w:r>
        <w:rPr>
          <w:sz w:val="28"/>
        </w:rPr>
        <w:t>zpracování přehledu hlavních trendů v oblasti sbírkotvorných institucí v oblasti muzeí a galerií, na kter</w:t>
      </w:r>
      <w:r>
        <w:rPr>
          <w:sz w:val="28"/>
        </w:rPr>
        <w:t xml:space="preserve">é bude třeba reagovat jak v oblasti práce s publikem, tak péče a rozvoje sbírek, </w:t>
      </w:r>
      <w:r>
        <w:rPr>
          <w:noProof/>
        </w:rPr>
        <w:drawing>
          <wp:inline distT="0" distB="0" distL="0" distR="0">
            <wp:extent cx="54887" cy="57929"/>
            <wp:effectExtent l="0" t="0" r="0" b="0"/>
            <wp:docPr id="26151" name="Picture 26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1" name="Picture 2615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87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přehled hlavních společenských trendů, na které bude třeba v nejbližší budoucnosti reagovat a ieiich potenciálního vlivu na činnost VMO, </w:t>
      </w:r>
      <w:r>
        <w:rPr>
          <w:noProof/>
        </w:rPr>
        <w:drawing>
          <wp:inline distT="0" distB="0" distL="0" distR="0">
            <wp:extent cx="54887" cy="57929"/>
            <wp:effectExtent l="0" t="0" r="0" b="0"/>
            <wp:docPr id="26152" name="Picture 26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2" name="Picture 2615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887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v návaznosti na společenské trendy</w:t>
      </w:r>
      <w:r>
        <w:rPr>
          <w:sz w:val="28"/>
        </w:rPr>
        <w:t xml:space="preserve">, zjištění potřeb v regionu a ve městě, na které by mělo muzeum reagovat ve spolupráci s pracovní skupinou a dalšími stakeholdery (rozhovory s klíčovými hráči), </w:t>
      </w:r>
      <w:r>
        <w:rPr>
          <w:noProof/>
        </w:rPr>
        <w:drawing>
          <wp:inline distT="0" distB="0" distL="0" distR="0">
            <wp:extent cx="54887" cy="57929"/>
            <wp:effectExtent l="0" t="0" r="0" b="0"/>
            <wp:docPr id="26153" name="Picture 26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3" name="Picture 2615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87" cy="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jako jeden z trendů bUdOU zpracovány i příklady tzv. dočasného využití pro účely muzejního / galerijního programu pro veřejnost, </w:t>
      </w:r>
      <w:r>
        <w:rPr>
          <w:noProof/>
        </w:rPr>
        <w:drawing>
          <wp:inline distT="0" distB="0" distL="0" distR="0">
            <wp:extent cx="54887" cy="54880"/>
            <wp:effectExtent l="0" t="0" r="0" b="0"/>
            <wp:docPr id="26154" name="Picture 26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4" name="Picture 2615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887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textové shrnutí zjištěných informací a východisek jako podklad pro návrh strategie.</w:t>
      </w:r>
    </w:p>
    <w:p w:rsidR="00110848" w:rsidRDefault="00554876">
      <w:pPr>
        <w:spacing w:after="3" w:line="256" w:lineRule="auto"/>
        <w:ind w:left="91" w:right="1325" w:hanging="5"/>
        <w:jc w:val="left"/>
      </w:pPr>
      <w:r>
        <w:rPr>
          <w:sz w:val="30"/>
        </w:rPr>
        <w:t>A4 Analytický workshop</w:t>
      </w:r>
    </w:p>
    <w:p w:rsidR="00110848" w:rsidRDefault="00554876">
      <w:pPr>
        <w:spacing w:after="4" w:line="265" w:lineRule="auto"/>
        <w:ind w:left="106" w:right="105" w:firstLine="9"/>
      </w:pPr>
      <w:r>
        <w:rPr>
          <w:sz w:val="28"/>
        </w:rPr>
        <w:t xml:space="preserve">Diskuse se bUdOU </w:t>
      </w:r>
      <w:r>
        <w:rPr>
          <w:sz w:val="28"/>
        </w:rPr>
        <w:t>účastnit členové pracovní skupiny a další přizvaní hosté.</w:t>
      </w:r>
    </w:p>
    <w:p w:rsidR="00110848" w:rsidRDefault="00554876">
      <w:pPr>
        <w:spacing w:after="45" w:line="265" w:lineRule="auto"/>
        <w:ind w:left="86" w:right="105" w:firstLine="9"/>
      </w:pPr>
      <w:r>
        <w:rPr>
          <w:sz w:val="28"/>
        </w:rPr>
        <w:t>Aktivita bude zahrnovat zejména:</w:t>
      </w:r>
    </w:p>
    <w:p w:rsidR="00110848" w:rsidRDefault="00554876">
      <w:pPr>
        <w:numPr>
          <w:ilvl w:val="0"/>
          <w:numId w:val="7"/>
        </w:numPr>
        <w:spacing w:after="46" w:line="265" w:lineRule="auto"/>
        <w:ind w:right="105" w:hanging="365"/>
      </w:pPr>
      <w:r>
        <w:rPr>
          <w:sz w:val="28"/>
        </w:rPr>
        <w:t>představení výstupů z předchozích aktivit objednateli a pracovní skupině,</w:t>
      </w:r>
    </w:p>
    <w:p w:rsidR="00110848" w:rsidRDefault="00554876">
      <w:pPr>
        <w:numPr>
          <w:ilvl w:val="0"/>
          <w:numId w:val="7"/>
        </w:numPr>
        <w:spacing w:after="4" w:line="265" w:lineRule="auto"/>
        <w:ind w:right="105" w:hanging="365"/>
      </w:pPr>
      <w:r>
        <w:rPr>
          <w:sz w:val="28"/>
        </w:rPr>
        <w:t>diskusi s pracovní skupinou,</w:t>
      </w:r>
    </w:p>
    <w:p w:rsidR="00110848" w:rsidRDefault="00554876">
      <w:pPr>
        <w:numPr>
          <w:ilvl w:val="0"/>
          <w:numId w:val="7"/>
        </w:numPr>
        <w:spacing w:after="302" w:line="265" w:lineRule="auto"/>
        <w:ind w:right="105" w:hanging="365"/>
      </w:pPr>
      <w:r>
        <w:rPr>
          <w:sz w:val="28"/>
        </w:rPr>
        <w:t>zapracování komentářů pracovní skupiny.</w:t>
      </w:r>
    </w:p>
    <w:p w:rsidR="00110848" w:rsidRDefault="00554876">
      <w:pPr>
        <w:pStyle w:val="Nadpis3"/>
        <w:ind w:left="106"/>
      </w:pPr>
      <w:r>
        <w:t>FÁZE 111 ZPRACOVÁNÍ STRATEGIE A AKČNÍHO PLÁNU</w:t>
      </w:r>
    </w:p>
    <w:p w:rsidR="00110848" w:rsidRDefault="00554876">
      <w:pPr>
        <w:spacing w:after="3" w:line="256" w:lineRule="auto"/>
        <w:ind w:left="87" w:right="1325" w:hanging="5"/>
        <w:jc w:val="left"/>
      </w:pPr>
      <w:r>
        <w:rPr>
          <w:sz w:val="30"/>
        </w:rPr>
        <w:t>AS Návrhový workshop</w:t>
      </w:r>
    </w:p>
    <w:p w:rsidR="00110848" w:rsidRDefault="00554876">
      <w:pPr>
        <w:spacing w:after="49" w:line="265" w:lineRule="auto"/>
        <w:ind w:left="82" w:right="105" w:firstLine="9"/>
      </w:pPr>
      <w:r>
        <w:rPr>
          <w:sz w:val="28"/>
        </w:rPr>
        <w:t>Diskuse se budou účastnit členové pracovní skupiny a další přizvaní hosté. Aktivita bude zahrnovat zejména:</w:t>
      </w:r>
    </w:p>
    <w:p w:rsidR="00110848" w:rsidRDefault="00554876">
      <w:pPr>
        <w:numPr>
          <w:ilvl w:val="0"/>
          <w:numId w:val="8"/>
        </w:numPr>
        <w:spacing w:after="3" w:line="256" w:lineRule="auto"/>
        <w:ind w:left="820" w:right="105" w:hanging="360"/>
      </w:pPr>
      <w:r>
        <w:rPr>
          <w:sz w:val="30"/>
        </w:rPr>
        <w:t>diskusi k hlavním analytickým východiskům,</w:t>
      </w:r>
    </w:p>
    <w:p w:rsidR="00110848" w:rsidRDefault="00554876">
      <w:pPr>
        <w:numPr>
          <w:ilvl w:val="0"/>
          <w:numId w:val="8"/>
        </w:numPr>
        <w:spacing w:after="64" w:line="265" w:lineRule="auto"/>
        <w:ind w:left="820" w:right="105" w:hanging="360"/>
      </w:pPr>
      <w:r>
        <w:rPr>
          <w:sz w:val="28"/>
        </w:rPr>
        <w:t>diskusi k řešení potřeb jednotlivých č</w:t>
      </w:r>
      <w:r>
        <w:rPr>
          <w:sz w:val="28"/>
        </w:rPr>
        <w:t>inností muzea stávajících i budoucích jako podklad pro návrh strategie,</w:t>
      </w:r>
    </w:p>
    <w:p w:rsidR="00110848" w:rsidRDefault="00554876">
      <w:pPr>
        <w:numPr>
          <w:ilvl w:val="0"/>
          <w:numId w:val="8"/>
        </w:numPr>
        <w:spacing w:after="64" w:line="265" w:lineRule="auto"/>
        <w:ind w:left="820" w:right="105" w:hanging="360"/>
      </w:pPr>
      <w:r>
        <w:rPr>
          <w:sz w:val="28"/>
        </w:rPr>
        <w:t>diskusi k řešení potřeb jednotlivých identifikovaných cílových skupin jako podklad pro návrh strategie.</w:t>
      </w:r>
    </w:p>
    <w:p w:rsidR="00110848" w:rsidRDefault="00554876">
      <w:pPr>
        <w:spacing w:after="51" w:line="265" w:lineRule="auto"/>
        <w:ind w:left="77" w:right="4192" w:firstLine="9"/>
      </w:pPr>
      <w:r>
        <w:rPr>
          <w:sz w:val="28"/>
        </w:rPr>
        <w:t>A6 Zpracování konceptu strategie Aktivita bude zahrnovat zejména:</w:t>
      </w:r>
    </w:p>
    <w:p w:rsidR="00110848" w:rsidRDefault="00554876">
      <w:pPr>
        <w:numPr>
          <w:ilvl w:val="0"/>
          <w:numId w:val="8"/>
        </w:numPr>
        <w:spacing w:after="4" w:line="265" w:lineRule="auto"/>
        <w:ind w:left="820" w:right="105" w:hanging="360"/>
      </w:pPr>
      <w:r>
        <w:rPr>
          <w:sz w:val="28"/>
        </w:rPr>
        <w:lastRenderedPageBreak/>
        <w:t>zpracování prv</w:t>
      </w:r>
      <w:r>
        <w:rPr>
          <w:sz w:val="28"/>
        </w:rPr>
        <w:t>ní verze konceptu strategie s definováním vize, cílů a hlavních aktivit muzea ve vazbě na jednotlivé činnosti muzea a cílové skupiny uživatelů.</w:t>
      </w:r>
    </w:p>
    <w:p w:rsidR="00110848" w:rsidRDefault="00554876">
      <w:pPr>
        <w:spacing w:after="115" w:line="265" w:lineRule="auto"/>
        <w:ind w:left="48" w:right="2819" w:firstLine="9"/>
      </w:pPr>
      <w:r>
        <w:rPr>
          <w:sz w:val="28"/>
        </w:rPr>
        <w:t>A7 Konzultace konceptu a finalizace strategie Aktivita bude zahrnovat zejména:</w:t>
      </w:r>
    </w:p>
    <w:p w:rsidR="00110848" w:rsidRDefault="00554876">
      <w:pPr>
        <w:numPr>
          <w:ilvl w:val="0"/>
          <w:numId w:val="8"/>
        </w:numPr>
        <w:spacing w:after="4" w:line="265" w:lineRule="auto"/>
        <w:ind w:left="820" w:right="105" w:hanging="360"/>
      </w:pPr>
      <w:r>
        <w:rPr>
          <w:sz w:val="28"/>
        </w:rPr>
        <w:t>představení konceptu strategie objednateli a pracovní skupině,</w:t>
      </w:r>
    </w:p>
    <w:p w:rsidR="00110848" w:rsidRDefault="00554876">
      <w:pPr>
        <w:numPr>
          <w:ilvl w:val="0"/>
          <w:numId w:val="8"/>
        </w:numPr>
        <w:spacing w:after="4" w:line="320" w:lineRule="auto"/>
        <w:ind w:left="820" w:right="105" w:hanging="360"/>
      </w:pPr>
      <w:r>
        <w:rPr>
          <w:sz w:val="28"/>
        </w:rPr>
        <w:t xml:space="preserve">zohlednění zpětné vazby pracovní skupiny ke konceptu strategie, </w:t>
      </w:r>
      <w:r>
        <w:rPr>
          <w:noProof/>
        </w:rPr>
        <w:drawing>
          <wp:inline distT="0" distB="0" distL="0" distR="0">
            <wp:extent cx="57936" cy="54880"/>
            <wp:effectExtent l="0" t="0" r="0" b="0"/>
            <wp:docPr id="26803" name="Picture 26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3" name="Picture 2680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936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finalizace strategie.</w:t>
      </w:r>
    </w:p>
    <w:p w:rsidR="00110848" w:rsidRDefault="00554876">
      <w:pPr>
        <w:spacing w:after="0" w:line="259" w:lineRule="auto"/>
        <w:ind w:left="34" w:right="0"/>
        <w:jc w:val="left"/>
      </w:pPr>
      <w:r>
        <w:rPr>
          <w:sz w:val="32"/>
        </w:rPr>
        <w:t>AB Příprava akčního plánu</w:t>
      </w:r>
    </w:p>
    <w:p w:rsidR="00110848" w:rsidRDefault="00554876">
      <w:pPr>
        <w:spacing w:after="44" w:line="265" w:lineRule="auto"/>
        <w:ind w:left="34" w:right="105" w:firstLine="9"/>
      </w:pPr>
      <w:r>
        <w:rPr>
          <w:sz w:val="28"/>
        </w:rPr>
        <w:t>Aktivita bude zahrnovat zejména:</w:t>
      </w:r>
    </w:p>
    <w:p w:rsidR="00110848" w:rsidRDefault="00554876">
      <w:pPr>
        <w:numPr>
          <w:ilvl w:val="0"/>
          <w:numId w:val="8"/>
        </w:numPr>
        <w:spacing w:after="4" w:line="265" w:lineRule="auto"/>
        <w:ind w:left="820" w:right="105" w:hanging="360"/>
      </w:pPr>
      <w:r>
        <w:rPr>
          <w:sz w:val="28"/>
        </w:rPr>
        <w:t>zpracování rámcových kroků akčního plánu a har</w:t>
      </w:r>
      <w:r>
        <w:rPr>
          <w:sz w:val="28"/>
        </w:rPr>
        <w:t>monogramu s pracovní skupinou.</w:t>
      </w:r>
      <w:r>
        <w:br w:type="page"/>
      </w:r>
    </w:p>
    <w:p w:rsidR="00110848" w:rsidRDefault="00554876">
      <w:pPr>
        <w:pStyle w:val="Nadpis4"/>
        <w:ind w:left="110"/>
      </w:pPr>
      <w:r>
        <w:lastRenderedPageBreak/>
        <w:t>4 Hlavní výstupy</w:t>
      </w:r>
    </w:p>
    <w:p w:rsidR="00110848" w:rsidRDefault="00554876">
      <w:pPr>
        <w:spacing w:after="46" w:line="265" w:lineRule="auto"/>
        <w:ind w:left="476" w:right="3760" w:hanging="351"/>
      </w:pPr>
      <w:r>
        <w:rPr>
          <w:sz w:val="28"/>
        </w:rPr>
        <w:t xml:space="preserve">Hlavní výstupy bUdOU zahrnovat: </w:t>
      </w:r>
      <w:r>
        <w:rPr>
          <w:noProof/>
        </w:rPr>
        <w:drawing>
          <wp:inline distT="0" distB="0" distL="0" distR="0">
            <wp:extent cx="57936" cy="54880"/>
            <wp:effectExtent l="0" t="0" r="0" b="0"/>
            <wp:docPr id="28621" name="Picture 28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1" name="Picture 2862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936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Institucionální rámec projektu</w:t>
      </w:r>
    </w:p>
    <w:p w:rsidR="00110848" w:rsidRDefault="00554876">
      <w:pPr>
        <w:numPr>
          <w:ilvl w:val="0"/>
          <w:numId w:val="9"/>
        </w:numPr>
        <w:spacing w:after="53" w:line="265" w:lineRule="auto"/>
        <w:ind w:right="105" w:hanging="365"/>
      </w:pPr>
      <w:r>
        <w:rPr>
          <w:sz w:val="28"/>
        </w:rPr>
        <w:t>Analýzu současného StaVU</w:t>
      </w:r>
    </w:p>
    <w:p w:rsidR="00110848" w:rsidRDefault="00554876">
      <w:pPr>
        <w:numPr>
          <w:ilvl w:val="0"/>
          <w:numId w:val="9"/>
        </w:numPr>
        <w:spacing w:after="4" w:line="265" w:lineRule="auto"/>
        <w:ind w:right="105" w:hanging="365"/>
      </w:pPr>
      <w:r>
        <w:rPr>
          <w:sz w:val="28"/>
        </w:rPr>
        <w:t>Přehled hlavních trendů a příležitostí</w:t>
      </w:r>
    </w:p>
    <w:p w:rsidR="00110848" w:rsidRDefault="00554876">
      <w:pPr>
        <w:numPr>
          <w:ilvl w:val="0"/>
          <w:numId w:val="9"/>
        </w:numPr>
        <w:spacing w:after="27" w:line="265" w:lineRule="auto"/>
        <w:ind w:right="105" w:hanging="365"/>
      </w:pPr>
      <w:r>
        <w:rPr>
          <w:sz w:val="28"/>
        </w:rPr>
        <w:t>Strategii rozvoje muzea</w:t>
      </w:r>
    </w:p>
    <w:p w:rsidR="00110848" w:rsidRDefault="00554876">
      <w:pPr>
        <w:numPr>
          <w:ilvl w:val="0"/>
          <w:numId w:val="9"/>
        </w:numPr>
        <w:spacing w:after="375" w:line="256" w:lineRule="auto"/>
        <w:ind w:right="105" w:hanging="365"/>
      </w:pPr>
      <w:r>
        <w:rPr>
          <w:sz w:val="30"/>
        </w:rPr>
        <w:t>Rámcový akční plánu na nejbližší tři roky</w:t>
      </w:r>
    </w:p>
    <w:p w:rsidR="00110848" w:rsidRDefault="00554876">
      <w:pPr>
        <w:pStyle w:val="Nadpis4"/>
        <w:ind w:left="110"/>
      </w:pPr>
      <w:r>
        <w:t>5 Harmonogram</w:t>
      </w:r>
    </w:p>
    <w:p w:rsidR="00110848" w:rsidRDefault="00554876">
      <w:pPr>
        <w:spacing w:after="4" w:line="265" w:lineRule="auto"/>
        <w:ind w:left="106" w:right="105" w:firstLine="9"/>
      </w:pPr>
      <w:r>
        <w:rPr>
          <w:sz w:val="28"/>
        </w:rPr>
        <w:t>Harmonogram vyznačuje měsíce od podepsání smlouvy. Časové vymezení aktivit zahrnuje i přípravné práce a zpracování výstupů.</w:t>
      </w:r>
    </w:p>
    <w:tbl>
      <w:tblPr>
        <w:tblStyle w:val="TableGrid"/>
        <w:tblW w:w="8740" w:type="dxa"/>
        <w:tblInd w:w="116" w:type="dxa"/>
        <w:tblCellMar>
          <w:top w:w="16" w:type="dxa"/>
          <w:left w:w="95" w:type="dxa"/>
          <w:bottom w:w="0" w:type="dxa"/>
          <w:right w:w="308" w:type="dxa"/>
        </w:tblCellMar>
        <w:tblLook w:val="04A0" w:firstRow="1" w:lastRow="0" w:firstColumn="1" w:lastColumn="0" w:noHBand="0" w:noVBand="1"/>
      </w:tblPr>
      <w:tblGrid>
        <w:gridCol w:w="4180"/>
        <w:gridCol w:w="758"/>
        <w:gridCol w:w="757"/>
        <w:gridCol w:w="769"/>
        <w:gridCol w:w="756"/>
        <w:gridCol w:w="749"/>
        <w:gridCol w:w="771"/>
      </w:tblGrid>
      <w:tr w:rsidR="00110848">
        <w:trPr>
          <w:trHeight w:val="537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848" w:rsidRDefault="00554876">
            <w:pPr>
              <w:spacing w:after="0" w:line="259" w:lineRule="auto"/>
              <w:ind w:left="232" w:right="0"/>
              <w:jc w:val="center"/>
            </w:pPr>
            <w:r>
              <w:t>2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848" w:rsidRDefault="00554876">
            <w:pPr>
              <w:spacing w:after="0" w:line="259" w:lineRule="auto"/>
              <w:ind w:left="224" w:right="0"/>
              <w:jc w:val="center"/>
            </w:pPr>
            <w:r>
              <w:rPr>
                <w:sz w:val="28"/>
              </w:rPr>
              <w:t>3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848" w:rsidRDefault="00554876">
            <w:pPr>
              <w:spacing w:after="0" w:line="259" w:lineRule="auto"/>
              <w:ind w:left="219" w:right="0"/>
              <w:jc w:val="center"/>
            </w:pPr>
            <w:r>
              <w:rPr>
                <w:sz w:val="26"/>
              </w:rPr>
              <w:t>4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848" w:rsidRDefault="00554876">
            <w:pPr>
              <w:spacing w:after="0" w:line="259" w:lineRule="auto"/>
              <w:ind w:left="212" w:right="0"/>
              <w:jc w:val="center"/>
            </w:pPr>
            <w:r>
              <w:t>5</w:t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848" w:rsidRDefault="00554876">
            <w:pPr>
              <w:spacing w:after="0" w:line="259" w:lineRule="auto"/>
              <w:ind w:left="236" w:right="0"/>
              <w:jc w:val="center"/>
            </w:pPr>
            <w:r>
              <w:rPr>
                <w:sz w:val="26"/>
              </w:rPr>
              <w:t>6</w:t>
            </w:r>
          </w:p>
        </w:tc>
      </w:tr>
      <w:tr w:rsidR="00110848">
        <w:trPr>
          <w:trHeight w:val="555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29" w:right="0"/>
              <w:jc w:val="left"/>
            </w:pPr>
            <w:r>
              <w:t>FÁZE 1 NASTAVENÍ SPOLUPRÁCE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</w:tr>
      <w:tr w:rsidR="00110848">
        <w:trPr>
          <w:trHeight w:val="547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4" w:right="0"/>
              <w:jc w:val="left"/>
            </w:pPr>
            <w:r>
              <w:t>Al Nastavení procesu přípravy strategie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26" w:right="0"/>
              <w:jc w:val="left"/>
            </w:pPr>
            <w:r>
              <w:rPr>
                <w:sz w:val="32"/>
              </w:rPr>
              <w:t>x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</w:tr>
      <w:tr w:rsidR="00110848">
        <w:trPr>
          <w:trHeight w:val="555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24" w:right="0"/>
              <w:jc w:val="left"/>
            </w:pPr>
            <w:r>
              <w:t>FÁZE 11 ZPRACOVÁNÍ ANALÝZY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</w:tr>
      <w:tr w:rsidR="00110848">
        <w:trPr>
          <w:trHeight w:val="567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24" w:right="0" w:hanging="14"/>
            </w:pPr>
            <w:r>
              <w:t>A2 Analýza stávaiící situace a relevantních podkladů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7" w:right="0"/>
              <w:jc w:val="left"/>
            </w:pPr>
            <w:r>
              <w:rPr>
                <w:sz w:val="34"/>
              </w:rPr>
              <w:t>x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5" w:right="0"/>
              <w:jc w:val="left"/>
            </w:pPr>
            <w:r>
              <w:rPr>
                <w:sz w:val="30"/>
              </w:rPr>
              <w:t>x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5" w:right="0"/>
              <w:jc w:val="left"/>
            </w:pPr>
            <w:r>
              <w:rPr>
                <w:sz w:val="32"/>
              </w:rPr>
              <w:t>x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</w:tr>
      <w:tr w:rsidR="00110848">
        <w:trPr>
          <w:trHeight w:val="547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0" w:right="0"/>
              <w:jc w:val="left"/>
            </w:pPr>
            <w:r>
              <w:t>A3 Analýza trendů a příležitostí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5" w:right="0"/>
              <w:jc w:val="left"/>
            </w:pPr>
            <w:r>
              <w:rPr>
                <w:sz w:val="30"/>
              </w:rPr>
              <w:t>x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5" w:right="0"/>
              <w:jc w:val="left"/>
            </w:pPr>
            <w:r>
              <w:rPr>
                <w:sz w:val="30"/>
              </w:rPr>
              <w:t>x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</w:tr>
      <w:tr w:rsidR="00110848">
        <w:trPr>
          <w:trHeight w:val="543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0" w:right="0"/>
              <w:jc w:val="left"/>
            </w:pPr>
            <w:r>
              <w:t>A4 Analytický workshop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5" w:right="0"/>
              <w:jc w:val="left"/>
            </w:pPr>
            <w:r>
              <w:rPr>
                <w:sz w:val="30"/>
              </w:rPr>
              <w:t>x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7" w:right="0"/>
              <w:jc w:val="left"/>
            </w:pPr>
            <w:r>
              <w:rPr>
                <w:sz w:val="30"/>
              </w:rPr>
              <w:t>x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</w:tr>
      <w:tr w:rsidR="00110848">
        <w:trPr>
          <w:trHeight w:val="576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5" w:right="0" w:firstLine="14"/>
            </w:pPr>
            <w:r>
              <w:t>FÁZE 11 ZPRACOVÁNÍ STRATEGIE A AKČNÍHO PLÁNU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</w:tr>
      <w:tr w:rsidR="00110848">
        <w:trPr>
          <w:trHeight w:val="547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5" w:right="0"/>
              <w:jc w:val="left"/>
            </w:pPr>
            <w:r>
              <w:t>A5 Návrhový workshop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2" w:right="0"/>
              <w:jc w:val="left"/>
            </w:pPr>
            <w:r>
              <w:rPr>
                <w:sz w:val="30"/>
              </w:rPr>
              <w:t>x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0" w:right="0"/>
              <w:jc w:val="left"/>
            </w:pPr>
            <w:r>
              <w:rPr>
                <w:sz w:val="30"/>
              </w:rPr>
              <w:t>x</w:t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</w:tr>
      <w:tr w:rsidR="00110848">
        <w:trPr>
          <w:trHeight w:val="543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5" w:right="0"/>
              <w:jc w:val="left"/>
            </w:pPr>
            <w:r>
              <w:t>A6 Zpracování konceptu strategie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0" w:right="0"/>
              <w:jc w:val="left"/>
            </w:pPr>
            <w:r>
              <w:rPr>
                <w:sz w:val="30"/>
              </w:rPr>
              <w:t>x</w:t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</w:tr>
      <w:tr w:rsidR="00110848">
        <w:trPr>
          <w:trHeight w:val="571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5" w:right="0" w:hanging="10"/>
              <w:jc w:val="left"/>
            </w:pPr>
            <w:r>
              <w:t>A7 Konzultace konceptu a finalizace strategie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10" w:right="0"/>
              <w:jc w:val="left"/>
            </w:pPr>
            <w:r>
              <w:rPr>
                <w:sz w:val="32"/>
              </w:rPr>
              <w:t>x</w:t>
            </w:r>
          </w:p>
        </w:tc>
      </w:tr>
      <w:tr w:rsidR="00110848">
        <w:trPr>
          <w:trHeight w:val="561"/>
        </w:trPr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0" w:right="0"/>
              <w:jc w:val="left"/>
            </w:pPr>
            <w:r>
              <w:t>A8 Příprava akčního plánu</w:t>
            </w: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110848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0848" w:rsidRDefault="00554876">
            <w:pPr>
              <w:spacing w:after="0" w:line="259" w:lineRule="auto"/>
              <w:ind w:left="5" w:right="0"/>
              <w:jc w:val="left"/>
            </w:pPr>
            <w:r>
              <w:rPr>
                <w:sz w:val="32"/>
              </w:rPr>
              <w:t>x</w:t>
            </w:r>
          </w:p>
        </w:tc>
      </w:tr>
    </w:tbl>
    <w:p w:rsidR="00110848" w:rsidRDefault="00554876">
      <w:pPr>
        <w:pStyle w:val="Nadpis4"/>
        <w:spacing w:after="0"/>
        <w:ind w:left="34"/>
      </w:pPr>
      <w:r>
        <w:lastRenderedPageBreak/>
        <w:t xml:space="preserve">6 </w:t>
      </w:r>
      <w:r>
        <w:t>Rozpočet</w:t>
      </w:r>
    </w:p>
    <w:p w:rsidR="00110848" w:rsidRDefault="00554876">
      <w:pPr>
        <w:spacing w:after="154" w:line="259" w:lineRule="auto"/>
        <w:ind w:left="-303" w:right="-495"/>
        <w:jc w:val="left"/>
      </w:pPr>
      <w:r>
        <w:rPr>
          <w:noProof/>
        </w:rPr>
        <w:drawing>
          <wp:inline distT="0" distB="0" distL="0" distR="0">
            <wp:extent cx="6287581" cy="4519765"/>
            <wp:effectExtent l="0" t="0" r="0" b="0"/>
            <wp:docPr id="35131" name="Picture 35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1" name="Picture 3513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87581" cy="451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48" w:rsidRDefault="00554876">
      <w:pPr>
        <w:spacing w:after="4" w:line="265" w:lineRule="auto"/>
        <w:ind w:left="5" w:right="105" w:firstLine="9"/>
      </w:pPr>
      <w:r>
        <w:rPr>
          <w:sz w:val="28"/>
        </w:rPr>
        <w:t>Rozpočet je platný 30 dní od zpracování nabídky.</w:t>
      </w:r>
    </w:p>
    <w:p w:rsidR="00110848" w:rsidRDefault="00554876">
      <w:pPr>
        <w:spacing w:after="4" w:line="265" w:lineRule="auto"/>
        <w:ind w:left="5" w:right="105" w:firstLine="9"/>
      </w:pPr>
      <w:r>
        <w:rPr>
          <w:sz w:val="28"/>
        </w:rPr>
        <w:t>Rozpočet nezahrnuje tisk dokumentů, zpracovatel předpokládá, že výstupy bude objednatel tisknout z vlastních zdrojů.</w:t>
      </w:r>
    </w:p>
    <w:p w:rsidR="00110848" w:rsidRDefault="00554876">
      <w:pPr>
        <w:spacing w:after="0" w:line="259" w:lineRule="auto"/>
        <w:ind w:left="-139" w:right="-552"/>
        <w:jc w:val="left"/>
      </w:pPr>
      <w:r>
        <w:rPr>
          <w:noProof/>
        </w:rPr>
        <w:drawing>
          <wp:inline distT="0" distB="0" distL="0" distR="0">
            <wp:extent cx="6220496" cy="1671276"/>
            <wp:effectExtent l="0" t="0" r="0" b="0"/>
            <wp:docPr id="35132" name="Picture 35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2" name="Picture 3513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20496" cy="16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48" w:rsidRDefault="00110848">
      <w:pPr>
        <w:sectPr w:rsidR="00110848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592" w:h="16502"/>
          <w:pgMar w:top="1288" w:right="1186" w:bottom="1359" w:left="1301" w:header="708" w:footer="903" w:gutter="0"/>
          <w:pgNumType w:start="2"/>
          <w:cols w:space="708"/>
        </w:sectPr>
      </w:pPr>
    </w:p>
    <w:p w:rsidR="00110848" w:rsidRDefault="00554876">
      <w:pPr>
        <w:spacing w:after="0" w:line="259" w:lineRule="auto"/>
        <w:ind w:left="-1440" w:right="10152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47902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848" w:rsidRDefault="00554876">
      <w:pPr>
        <w:spacing w:after="0" w:line="259" w:lineRule="auto"/>
        <w:ind w:left="-1440" w:right="10152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47902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848" w:rsidRDefault="00554876">
      <w:pPr>
        <w:spacing w:after="0" w:line="259" w:lineRule="auto"/>
        <w:ind w:left="-1440" w:right="10152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47902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848" w:rsidRDefault="00110848">
      <w:pPr>
        <w:sectPr w:rsidR="00110848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1592" w:h="16502"/>
          <w:pgMar w:top="1440" w:right="1440" w:bottom="1440" w:left="1440" w:header="708" w:footer="708" w:gutter="0"/>
          <w:cols w:space="708"/>
        </w:sectPr>
      </w:pPr>
    </w:p>
    <w:p w:rsidR="00110848" w:rsidRDefault="00554876">
      <w:pPr>
        <w:pStyle w:val="Nadpis2"/>
        <w:ind w:left="7362" w:right="-398"/>
      </w:pPr>
      <w:r>
        <w:rPr>
          <w:sz w:val="112"/>
          <w:u w:val="single" w:color="000000"/>
        </w:rPr>
        <w:lastRenderedPageBreak/>
        <w:t>plan</w:t>
      </w:r>
    </w:p>
    <w:p w:rsidR="00110848" w:rsidRDefault="00554876">
      <w:pPr>
        <w:spacing w:after="0" w:line="216" w:lineRule="auto"/>
        <w:ind w:left="7357" w:right="-1536" w:firstLine="4"/>
        <w:jc w:val="left"/>
      </w:pPr>
      <w:r>
        <w:rPr>
          <w:sz w:val="46"/>
        </w:rPr>
        <w:t>Umění plánovat. Společně.</w:t>
      </w:r>
    </w:p>
    <w:sectPr w:rsidR="00110848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592" w:h="16502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876" w:rsidRDefault="00554876">
      <w:pPr>
        <w:spacing w:after="0" w:line="240" w:lineRule="auto"/>
      </w:pPr>
      <w:r>
        <w:separator/>
      </w:r>
    </w:p>
  </w:endnote>
  <w:endnote w:type="continuationSeparator" w:id="0">
    <w:p w:rsidR="00554876" w:rsidRDefault="00554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554876">
    <w:pPr>
      <w:spacing w:after="0" w:line="259" w:lineRule="auto"/>
      <w:ind w:left="0" w:right="120"/>
      <w:jc w:val="center"/>
    </w:pPr>
    <w:r>
      <w:rPr>
        <w:rFonts w:ascii="Times New Roman" w:eastAsia="Times New Roman" w:hAnsi="Times New Roman" w:cs="Times New Roman"/>
        <w:sz w:val="20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18"/>
      </w:rPr>
      <w:t xml:space="preserve">(celkem </w:t>
    </w:r>
    <w:r>
      <w:rPr>
        <w:rFonts w:ascii="Times New Roman" w:eastAsia="Times New Roman" w:hAnsi="Times New Roman" w:cs="Times New Roman"/>
        <w:sz w:val="20"/>
      </w:rPr>
      <w:t>5)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554876">
    <w:pPr>
      <w:spacing w:after="0" w:line="259" w:lineRule="auto"/>
      <w:ind w:left="0" w:right="120"/>
      <w:jc w:val="center"/>
    </w:pPr>
    <w:r>
      <w:rPr>
        <w:rFonts w:ascii="Times New Roman" w:eastAsia="Times New Roman" w:hAnsi="Times New Roman" w:cs="Times New Roman"/>
        <w:sz w:val="20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4A3986" w:rsidRPr="004A3986">
      <w:rPr>
        <w:rFonts w:ascii="Times New Roman" w:eastAsia="Times New Roman" w:hAnsi="Times New Roman" w:cs="Times New Roman"/>
        <w:noProof/>
        <w:sz w:val="20"/>
      </w:rPr>
      <w:t>4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18"/>
      </w:rPr>
      <w:t xml:space="preserve">(celkem </w:t>
    </w:r>
    <w:r>
      <w:rPr>
        <w:rFonts w:ascii="Times New Roman" w:eastAsia="Times New Roman" w:hAnsi="Times New Roman" w:cs="Times New Roman"/>
        <w:sz w:val="20"/>
      </w:rPr>
      <w:t>5</w:t>
    </w:r>
    <w:r>
      <w:rPr>
        <w:rFonts w:ascii="Times New Roman" w:eastAsia="Times New Roman" w:hAnsi="Times New Roman" w:cs="Times New Roman"/>
        <w:sz w:val="20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554876">
    <w:pPr>
      <w:spacing w:after="0" w:line="259" w:lineRule="auto"/>
      <w:ind w:left="0" w:right="1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6"/>
      </w:rPr>
      <w:t>2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554876">
    <w:pPr>
      <w:spacing w:after="0" w:line="259" w:lineRule="auto"/>
      <w:ind w:left="0" w:right="1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A3986" w:rsidRPr="004A3986">
      <w:rPr>
        <w:rFonts w:ascii="Times New Roman" w:eastAsia="Times New Roman" w:hAnsi="Times New Roman" w:cs="Times New Roman"/>
        <w:noProof/>
        <w:sz w:val="26"/>
      </w:rPr>
      <w:t>6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554876">
    <w:pPr>
      <w:spacing w:after="0" w:line="259" w:lineRule="auto"/>
      <w:ind w:left="0" w:right="1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6"/>
      </w:rPr>
      <w:t>2</w:t>
    </w:r>
    <w:r>
      <w:rPr>
        <w:rFonts w:ascii="Times New Roman" w:eastAsia="Times New Roman" w:hAnsi="Times New Roman" w:cs="Times New Roman"/>
        <w:sz w:val="2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876" w:rsidRDefault="00554876">
      <w:pPr>
        <w:spacing w:after="0" w:line="240" w:lineRule="auto"/>
      </w:pPr>
      <w:r>
        <w:separator/>
      </w:r>
    </w:p>
  </w:footnote>
  <w:footnote w:type="continuationSeparator" w:id="0">
    <w:p w:rsidR="00554876" w:rsidRDefault="00554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554876">
    <w:pPr>
      <w:tabs>
        <w:tab w:val="center" w:pos="6639"/>
      </w:tabs>
      <w:spacing w:after="0" w:line="259" w:lineRule="auto"/>
      <w:ind w:left="0" w:right="0"/>
      <w:jc w:val="left"/>
    </w:pPr>
    <w:r>
      <w:rPr>
        <w:sz w:val="20"/>
      </w:rPr>
      <w:t xml:space="preserve">Smlouva </w:t>
    </w:r>
    <w:r>
      <w:rPr>
        <w:sz w:val="22"/>
      </w:rPr>
      <w:t xml:space="preserve">o </w:t>
    </w:r>
    <w:r>
      <w:rPr>
        <w:sz w:val="20"/>
      </w:rPr>
      <w:t xml:space="preserve">spolupráci </w:t>
    </w:r>
    <w:r>
      <w:t xml:space="preserve">při </w:t>
    </w:r>
    <w:r>
      <w:rPr>
        <w:sz w:val="20"/>
      </w:rPr>
      <w:t xml:space="preserve">realizaci projektu „Příprava </w:t>
    </w:r>
    <w:r>
      <w:rPr>
        <w:sz w:val="20"/>
      </w:rPr>
      <w:tab/>
      <w:t>rozvoje Vlastivědného muzea v Olomouci”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554876">
    <w:pPr>
      <w:tabs>
        <w:tab w:val="center" w:pos="6639"/>
      </w:tabs>
      <w:spacing w:after="0" w:line="259" w:lineRule="auto"/>
      <w:ind w:left="0" w:right="0"/>
      <w:jc w:val="left"/>
    </w:pPr>
    <w:r>
      <w:rPr>
        <w:sz w:val="20"/>
      </w:rPr>
      <w:t xml:space="preserve">Smlouva </w:t>
    </w:r>
    <w:r>
      <w:rPr>
        <w:sz w:val="22"/>
      </w:rPr>
      <w:t xml:space="preserve">o </w:t>
    </w:r>
    <w:r>
      <w:rPr>
        <w:sz w:val="20"/>
      </w:rPr>
      <w:t xml:space="preserve">spolupráci </w:t>
    </w:r>
    <w:r>
      <w:t xml:space="preserve">při </w:t>
    </w:r>
    <w:r>
      <w:rPr>
        <w:sz w:val="20"/>
      </w:rPr>
      <w:t xml:space="preserve">realizaci projektu „Příprava </w:t>
    </w:r>
    <w:r>
      <w:rPr>
        <w:sz w:val="20"/>
      </w:rPr>
      <w:tab/>
      <w:t>rozvoje Vlastivědného muzea v Olomouci”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554876">
    <w:pPr>
      <w:spacing w:after="0" w:line="259" w:lineRule="auto"/>
      <w:ind w:left="994" w:right="0"/>
      <w:jc w:val="left"/>
    </w:pPr>
    <w:r>
      <w:rPr>
        <w:sz w:val="30"/>
      </w:rPr>
      <w:t xml:space="preserve">smlouvy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48" w:rsidRDefault="00110848">
    <w:pPr>
      <w:spacing w:after="160" w:line="259" w:lineRule="auto"/>
      <w:ind w:left="0" w:righ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8" style="width:5.25pt;height:4.5pt" coordsize="" o:spt="100" o:bullet="t" adj="0,,0" path="" stroked="f">
        <v:stroke joinstyle="miter"/>
        <v:imagedata r:id="rId1" o:title="image65"/>
        <v:formulas/>
        <v:path o:connecttype="segments"/>
      </v:shape>
    </w:pict>
  </w:numPicBullet>
  <w:numPicBullet w:numPicBulletId="1">
    <w:pict>
      <v:shape id="_x0000_i1029" style="width:4.5pt;height:4.5pt" coordsize="" o:spt="100" o:bullet="t" adj="0,,0" path="" stroked="f">
        <v:stroke joinstyle="miter"/>
        <v:imagedata r:id="rId2" o:title="image66"/>
        <v:formulas/>
        <v:path o:connecttype="segments"/>
      </v:shape>
    </w:pict>
  </w:numPicBullet>
  <w:abstractNum w:abstractNumId="0" w15:restartNumberingAfterBreak="0">
    <w:nsid w:val="10C34421"/>
    <w:multiLevelType w:val="hybridMultilevel"/>
    <w:tmpl w:val="AE22BCA4"/>
    <w:lvl w:ilvl="0" w:tplc="55D440BA">
      <w:start w:val="2"/>
      <w:numFmt w:val="decimal"/>
      <w:lvlText w:val="%1."/>
      <w:lvlJc w:val="left"/>
      <w:pPr>
        <w:ind w:left="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C285FC">
      <w:start w:val="1"/>
      <w:numFmt w:val="lowerLetter"/>
      <w:lvlText w:val="%2"/>
      <w:lvlJc w:val="left"/>
      <w:pPr>
        <w:ind w:left="1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284E32">
      <w:start w:val="1"/>
      <w:numFmt w:val="lowerRoman"/>
      <w:lvlText w:val="%3"/>
      <w:lvlJc w:val="left"/>
      <w:pPr>
        <w:ind w:left="1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C40C14">
      <w:start w:val="1"/>
      <w:numFmt w:val="decimal"/>
      <w:lvlText w:val="%4"/>
      <w:lvlJc w:val="left"/>
      <w:pPr>
        <w:ind w:left="2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84BA16">
      <w:start w:val="1"/>
      <w:numFmt w:val="lowerLetter"/>
      <w:lvlText w:val="%5"/>
      <w:lvlJc w:val="left"/>
      <w:pPr>
        <w:ind w:left="3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282880">
      <w:start w:val="1"/>
      <w:numFmt w:val="lowerRoman"/>
      <w:lvlText w:val="%6"/>
      <w:lvlJc w:val="left"/>
      <w:pPr>
        <w:ind w:left="3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7E42C2">
      <w:start w:val="1"/>
      <w:numFmt w:val="decimal"/>
      <w:lvlText w:val="%7"/>
      <w:lvlJc w:val="left"/>
      <w:pPr>
        <w:ind w:left="4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4C1A84">
      <w:start w:val="1"/>
      <w:numFmt w:val="lowerLetter"/>
      <w:lvlText w:val="%8"/>
      <w:lvlJc w:val="left"/>
      <w:pPr>
        <w:ind w:left="5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50030E">
      <w:start w:val="1"/>
      <w:numFmt w:val="lowerRoman"/>
      <w:lvlText w:val="%9"/>
      <w:lvlJc w:val="left"/>
      <w:pPr>
        <w:ind w:left="6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D25D2A"/>
    <w:multiLevelType w:val="hybridMultilevel"/>
    <w:tmpl w:val="B98840D6"/>
    <w:lvl w:ilvl="0" w:tplc="DB56319C">
      <w:start w:val="1"/>
      <w:numFmt w:val="decimal"/>
      <w:lvlText w:val="%1."/>
      <w:lvlJc w:val="left"/>
      <w:pPr>
        <w:ind w:left="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5528722">
      <w:start w:val="1"/>
      <w:numFmt w:val="lowerLetter"/>
      <w:lvlText w:val="%2)"/>
      <w:lvlJc w:val="left"/>
      <w:pPr>
        <w:ind w:left="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D58862A">
      <w:start w:val="1"/>
      <w:numFmt w:val="lowerRoman"/>
      <w:lvlText w:val="%3"/>
      <w:lvlJc w:val="left"/>
      <w:pPr>
        <w:ind w:left="1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E0E47D4">
      <w:start w:val="1"/>
      <w:numFmt w:val="decimal"/>
      <w:lvlText w:val="%4"/>
      <w:lvlJc w:val="left"/>
      <w:pPr>
        <w:ind w:left="2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494FA08">
      <w:start w:val="1"/>
      <w:numFmt w:val="lowerLetter"/>
      <w:lvlText w:val="%5"/>
      <w:lvlJc w:val="left"/>
      <w:pPr>
        <w:ind w:left="3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86EA7D4">
      <w:start w:val="1"/>
      <w:numFmt w:val="lowerRoman"/>
      <w:lvlText w:val="%6"/>
      <w:lvlJc w:val="left"/>
      <w:pPr>
        <w:ind w:left="3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AE4B048">
      <w:start w:val="1"/>
      <w:numFmt w:val="decimal"/>
      <w:lvlText w:val="%7"/>
      <w:lvlJc w:val="left"/>
      <w:pPr>
        <w:ind w:left="4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1A6FC7A">
      <w:start w:val="1"/>
      <w:numFmt w:val="lowerLetter"/>
      <w:lvlText w:val="%8"/>
      <w:lvlJc w:val="left"/>
      <w:pPr>
        <w:ind w:left="5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E24B854">
      <w:start w:val="1"/>
      <w:numFmt w:val="lowerRoman"/>
      <w:lvlText w:val="%9"/>
      <w:lvlJc w:val="left"/>
      <w:pPr>
        <w:ind w:left="5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E342067"/>
    <w:multiLevelType w:val="hybridMultilevel"/>
    <w:tmpl w:val="7362EE56"/>
    <w:lvl w:ilvl="0" w:tplc="FD3EC410">
      <w:start w:val="1"/>
      <w:numFmt w:val="bullet"/>
      <w:lvlText w:val="•"/>
      <w:lvlPicBulletId w:val="0"/>
      <w:lvlJc w:val="left"/>
      <w:pPr>
        <w:ind w:left="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00F8F0">
      <w:start w:val="1"/>
      <w:numFmt w:val="bullet"/>
      <w:lvlText w:val="o"/>
      <w:lvlJc w:val="left"/>
      <w:pPr>
        <w:ind w:left="1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B28452">
      <w:start w:val="1"/>
      <w:numFmt w:val="bullet"/>
      <w:lvlText w:val="▪"/>
      <w:lvlJc w:val="left"/>
      <w:pPr>
        <w:ind w:left="2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CA9524">
      <w:start w:val="1"/>
      <w:numFmt w:val="bullet"/>
      <w:lvlText w:val="•"/>
      <w:lvlJc w:val="left"/>
      <w:pPr>
        <w:ind w:left="3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82F560">
      <w:start w:val="1"/>
      <w:numFmt w:val="bullet"/>
      <w:lvlText w:val="o"/>
      <w:lvlJc w:val="left"/>
      <w:pPr>
        <w:ind w:left="3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9267C8">
      <w:start w:val="1"/>
      <w:numFmt w:val="bullet"/>
      <w:lvlText w:val="▪"/>
      <w:lvlJc w:val="left"/>
      <w:pPr>
        <w:ind w:left="44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2C85AE">
      <w:start w:val="1"/>
      <w:numFmt w:val="bullet"/>
      <w:lvlText w:val="•"/>
      <w:lvlJc w:val="left"/>
      <w:pPr>
        <w:ind w:left="5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209AF6">
      <w:start w:val="1"/>
      <w:numFmt w:val="bullet"/>
      <w:lvlText w:val="o"/>
      <w:lvlJc w:val="left"/>
      <w:pPr>
        <w:ind w:left="5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F42534">
      <w:start w:val="1"/>
      <w:numFmt w:val="bullet"/>
      <w:lvlText w:val="▪"/>
      <w:lvlJc w:val="left"/>
      <w:pPr>
        <w:ind w:left="66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D4535A"/>
    <w:multiLevelType w:val="hybridMultilevel"/>
    <w:tmpl w:val="C6482B1E"/>
    <w:lvl w:ilvl="0" w:tplc="7BEC7966">
      <w:start w:val="1"/>
      <w:numFmt w:val="decimal"/>
      <w:lvlText w:val="%1"/>
      <w:lvlJc w:val="left"/>
      <w:pPr>
        <w:ind w:left="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E2269C">
      <w:start w:val="1"/>
      <w:numFmt w:val="lowerLetter"/>
      <w:lvlText w:val="%2"/>
      <w:lvlJc w:val="left"/>
      <w:pPr>
        <w:ind w:left="1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5EA810">
      <w:start w:val="1"/>
      <w:numFmt w:val="lowerRoman"/>
      <w:lvlText w:val="%3"/>
      <w:lvlJc w:val="left"/>
      <w:pPr>
        <w:ind w:left="1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70A140">
      <w:start w:val="1"/>
      <w:numFmt w:val="decimal"/>
      <w:lvlText w:val="%4"/>
      <w:lvlJc w:val="left"/>
      <w:pPr>
        <w:ind w:left="25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2C10D2">
      <w:start w:val="1"/>
      <w:numFmt w:val="lowerLetter"/>
      <w:lvlText w:val="%5"/>
      <w:lvlJc w:val="left"/>
      <w:pPr>
        <w:ind w:left="33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E8D1EC">
      <w:start w:val="1"/>
      <w:numFmt w:val="lowerRoman"/>
      <w:lvlText w:val="%6"/>
      <w:lvlJc w:val="left"/>
      <w:pPr>
        <w:ind w:left="4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F4529A">
      <w:start w:val="1"/>
      <w:numFmt w:val="decimal"/>
      <w:lvlText w:val="%7"/>
      <w:lvlJc w:val="left"/>
      <w:pPr>
        <w:ind w:left="4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F412FC">
      <w:start w:val="1"/>
      <w:numFmt w:val="lowerLetter"/>
      <w:lvlText w:val="%8"/>
      <w:lvlJc w:val="left"/>
      <w:pPr>
        <w:ind w:left="54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8E967A">
      <w:start w:val="1"/>
      <w:numFmt w:val="lowerRoman"/>
      <w:lvlText w:val="%9"/>
      <w:lvlJc w:val="left"/>
      <w:pPr>
        <w:ind w:left="6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FB65186"/>
    <w:multiLevelType w:val="hybridMultilevel"/>
    <w:tmpl w:val="6BFC09F6"/>
    <w:lvl w:ilvl="0" w:tplc="A48C3B68">
      <w:start w:val="2"/>
      <w:numFmt w:val="decimal"/>
      <w:lvlText w:val="%1."/>
      <w:lvlJc w:val="left"/>
      <w:pPr>
        <w:ind w:left="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DDC3AFE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5F669A4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6907C70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CDC1788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F6CEA94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91EF7D4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A006584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9006556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3336B8B"/>
    <w:multiLevelType w:val="hybridMultilevel"/>
    <w:tmpl w:val="0C72C166"/>
    <w:lvl w:ilvl="0" w:tplc="EC504290">
      <w:start w:val="1"/>
      <w:numFmt w:val="bullet"/>
      <w:lvlText w:val="•"/>
      <w:lvlJc w:val="left"/>
      <w:pPr>
        <w:ind w:left="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C9E52EE">
      <w:start w:val="1"/>
      <w:numFmt w:val="bullet"/>
      <w:lvlText w:val="o"/>
      <w:lvlJc w:val="left"/>
      <w:pPr>
        <w:ind w:left="1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616D40E">
      <w:start w:val="1"/>
      <w:numFmt w:val="bullet"/>
      <w:lvlText w:val="▪"/>
      <w:lvlJc w:val="left"/>
      <w:pPr>
        <w:ind w:left="22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DE84D20">
      <w:start w:val="1"/>
      <w:numFmt w:val="bullet"/>
      <w:lvlText w:val="•"/>
      <w:lvlJc w:val="left"/>
      <w:pPr>
        <w:ind w:left="2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D3467EE">
      <w:start w:val="1"/>
      <w:numFmt w:val="bullet"/>
      <w:lvlText w:val="o"/>
      <w:lvlJc w:val="left"/>
      <w:pPr>
        <w:ind w:left="36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334FB5A">
      <w:start w:val="1"/>
      <w:numFmt w:val="bullet"/>
      <w:lvlText w:val="▪"/>
      <w:lvlJc w:val="left"/>
      <w:pPr>
        <w:ind w:left="43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BB24156">
      <w:start w:val="1"/>
      <w:numFmt w:val="bullet"/>
      <w:lvlText w:val="•"/>
      <w:lvlJc w:val="left"/>
      <w:pPr>
        <w:ind w:left="5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5C428CA">
      <w:start w:val="1"/>
      <w:numFmt w:val="bullet"/>
      <w:lvlText w:val="o"/>
      <w:lvlJc w:val="left"/>
      <w:pPr>
        <w:ind w:left="5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5305A76">
      <w:start w:val="1"/>
      <w:numFmt w:val="bullet"/>
      <w:lvlText w:val="▪"/>
      <w:lvlJc w:val="left"/>
      <w:pPr>
        <w:ind w:left="65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D523BCD"/>
    <w:multiLevelType w:val="hybridMultilevel"/>
    <w:tmpl w:val="C0D2AA48"/>
    <w:lvl w:ilvl="0" w:tplc="2F9AAD70">
      <w:start w:val="1"/>
      <w:numFmt w:val="lowerLetter"/>
      <w:lvlText w:val="%1)"/>
      <w:lvlJc w:val="left"/>
      <w:pPr>
        <w:ind w:left="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84036C">
      <w:start w:val="1"/>
      <w:numFmt w:val="lowerLetter"/>
      <w:lvlText w:val="%2"/>
      <w:lvlJc w:val="left"/>
      <w:pPr>
        <w:ind w:left="14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CADD8A">
      <w:start w:val="1"/>
      <w:numFmt w:val="lowerRoman"/>
      <w:lvlText w:val="%3"/>
      <w:lvlJc w:val="left"/>
      <w:pPr>
        <w:ind w:left="2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A04D9E">
      <w:start w:val="1"/>
      <w:numFmt w:val="decimal"/>
      <w:lvlText w:val="%4"/>
      <w:lvlJc w:val="left"/>
      <w:pPr>
        <w:ind w:left="28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6C43BE">
      <w:start w:val="1"/>
      <w:numFmt w:val="lowerLetter"/>
      <w:lvlText w:val="%5"/>
      <w:lvlJc w:val="left"/>
      <w:pPr>
        <w:ind w:left="3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BC5EAE">
      <w:start w:val="1"/>
      <w:numFmt w:val="lowerRoman"/>
      <w:lvlText w:val="%6"/>
      <w:lvlJc w:val="left"/>
      <w:pPr>
        <w:ind w:left="42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0A690A">
      <w:start w:val="1"/>
      <w:numFmt w:val="decimal"/>
      <w:lvlText w:val="%7"/>
      <w:lvlJc w:val="left"/>
      <w:pPr>
        <w:ind w:left="50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6E8D04">
      <w:start w:val="1"/>
      <w:numFmt w:val="lowerLetter"/>
      <w:lvlText w:val="%8"/>
      <w:lvlJc w:val="left"/>
      <w:pPr>
        <w:ind w:left="57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381CBC">
      <w:start w:val="1"/>
      <w:numFmt w:val="lowerRoman"/>
      <w:lvlText w:val="%9"/>
      <w:lvlJc w:val="left"/>
      <w:pPr>
        <w:ind w:left="64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E90506D"/>
    <w:multiLevelType w:val="hybridMultilevel"/>
    <w:tmpl w:val="603AFF36"/>
    <w:lvl w:ilvl="0" w:tplc="5326587E">
      <w:start w:val="1"/>
      <w:numFmt w:val="bullet"/>
      <w:lvlText w:val="•"/>
      <w:lvlPicBulletId w:val="1"/>
      <w:lvlJc w:val="left"/>
      <w:pPr>
        <w:ind w:left="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0261E0">
      <w:start w:val="1"/>
      <w:numFmt w:val="bullet"/>
      <w:lvlText w:val="o"/>
      <w:lvlJc w:val="left"/>
      <w:pPr>
        <w:ind w:left="1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8E5D2C">
      <w:start w:val="1"/>
      <w:numFmt w:val="bullet"/>
      <w:lvlText w:val="▪"/>
      <w:lvlJc w:val="left"/>
      <w:pPr>
        <w:ind w:left="25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BC1292">
      <w:start w:val="1"/>
      <w:numFmt w:val="bullet"/>
      <w:lvlText w:val="•"/>
      <w:lvlJc w:val="left"/>
      <w:pPr>
        <w:ind w:left="32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50C58A">
      <w:start w:val="1"/>
      <w:numFmt w:val="bullet"/>
      <w:lvlText w:val="o"/>
      <w:lvlJc w:val="left"/>
      <w:pPr>
        <w:ind w:left="39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46722C">
      <w:start w:val="1"/>
      <w:numFmt w:val="bullet"/>
      <w:lvlText w:val="▪"/>
      <w:lvlJc w:val="left"/>
      <w:pPr>
        <w:ind w:left="46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143818">
      <w:start w:val="1"/>
      <w:numFmt w:val="bullet"/>
      <w:lvlText w:val="•"/>
      <w:lvlJc w:val="left"/>
      <w:pPr>
        <w:ind w:left="54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82F9C2">
      <w:start w:val="1"/>
      <w:numFmt w:val="bullet"/>
      <w:lvlText w:val="o"/>
      <w:lvlJc w:val="left"/>
      <w:pPr>
        <w:ind w:left="61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480B5C">
      <w:start w:val="1"/>
      <w:numFmt w:val="bullet"/>
      <w:lvlText w:val="▪"/>
      <w:lvlJc w:val="left"/>
      <w:pPr>
        <w:ind w:left="68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57A26FF"/>
    <w:multiLevelType w:val="hybridMultilevel"/>
    <w:tmpl w:val="73FC287C"/>
    <w:lvl w:ilvl="0" w:tplc="73B6A710">
      <w:start w:val="1"/>
      <w:numFmt w:val="lowerLetter"/>
      <w:lvlText w:val="%1)"/>
      <w:lvlJc w:val="left"/>
      <w:pPr>
        <w:ind w:left="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8A3DE2">
      <w:start w:val="1"/>
      <w:numFmt w:val="lowerLetter"/>
      <w:lvlText w:val="%2"/>
      <w:lvlJc w:val="left"/>
      <w:pPr>
        <w:ind w:left="15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144166">
      <w:start w:val="1"/>
      <w:numFmt w:val="lowerRoman"/>
      <w:lvlText w:val="%3"/>
      <w:lvlJc w:val="left"/>
      <w:pPr>
        <w:ind w:left="22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00F15A">
      <w:start w:val="1"/>
      <w:numFmt w:val="decimal"/>
      <w:lvlText w:val="%4"/>
      <w:lvlJc w:val="left"/>
      <w:pPr>
        <w:ind w:left="30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203A46">
      <w:start w:val="1"/>
      <w:numFmt w:val="lowerLetter"/>
      <w:lvlText w:val="%5"/>
      <w:lvlJc w:val="left"/>
      <w:pPr>
        <w:ind w:left="3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9EE286">
      <w:start w:val="1"/>
      <w:numFmt w:val="lowerRoman"/>
      <w:lvlText w:val="%6"/>
      <w:lvlJc w:val="left"/>
      <w:pPr>
        <w:ind w:left="4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1E7C88">
      <w:start w:val="1"/>
      <w:numFmt w:val="decimal"/>
      <w:lvlText w:val="%7"/>
      <w:lvlJc w:val="left"/>
      <w:pPr>
        <w:ind w:left="5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BE2470">
      <w:start w:val="1"/>
      <w:numFmt w:val="lowerLetter"/>
      <w:lvlText w:val="%8"/>
      <w:lvlJc w:val="left"/>
      <w:pPr>
        <w:ind w:left="58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866D10">
      <w:start w:val="1"/>
      <w:numFmt w:val="lowerRoman"/>
      <w:lvlText w:val="%9"/>
      <w:lvlJc w:val="left"/>
      <w:pPr>
        <w:ind w:left="66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848"/>
    <w:rsid w:val="00110848"/>
    <w:rsid w:val="004A3986"/>
    <w:rsid w:val="0055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E7F07"/>
  <w15:docId w15:val="{52140C9F-B324-46B2-A83F-B7C54C120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38" w:line="224" w:lineRule="auto"/>
      <w:ind w:left="600" w:right="3918"/>
      <w:jc w:val="both"/>
    </w:pPr>
    <w:rPr>
      <w:rFonts w:ascii="Calibri" w:eastAsia="Calibri" w:hAnsi="Calibri" w:cs="Calibri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130" w:hanging="10"/>
      <w:outlineLvl w:val="0"/>
    </w:pPr>
    <w:rPr>
      <w:rFonts w:ascii="Calibri" w:eastAsia="Calibri" w:hAnsi="Calibri" w:cs="Calibri"/>
      <w:color w:val="000000"/>
      <w:sz w:val="26"/>
      <w:u w:val="single" w:color="00000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58"/>
      <w:outlineLvl w:val="1"/>
    </w:pPr>
    <w:rPr>
      <w:rFonts w:ascii="Calibri" w:eastAsia="Calibri" w:hAnsi="Calibri" w:cs="Calibri"/>
      <w:color w:val="000000"/>
      <w:sz w:val="108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/>
      <w:ind w:left="48" w:hanging="10"/>
      <w:outlineLvl w:val="2"/>
    </w:pPr>
    <w:rPr>
      <w:rFonts w:ascii="Calibri" w:eastAsia="Calibri" w:hAnsi="Calibri" w:cs="Calibri"/>
      <w:color w:val="000000"/>
      <w:sz w:val="34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196"/>
      <w:ind w:left="120" w:hanging="10"/>
      <w:outlineLvl w:val="3"/>
    </w:pPr>
    <w:rPr>
      <w:rFonts w:ascii="Calibri" w:eastAsia="Calibri" w:hAnsi="Calibri" w:cs="Calibri"/>
      <w:color w:val="000000"/>
      <w:sz w:val="4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Calibri" w:eastAsia="Calibri" w:hAnsi="Calibri" w:cs="Calibri"/>
      <w:color w:val="000000"/>
      <w:sz w:val="34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108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6"/>
      <w:u w:val="single" w:color="000000"/>
    </w:rPr>
  </w:style>
  <w:style w:type="character" w:customStyle="1" w:styleId="Nadpis4Char">
    <w:name w:val="Nadpis 4 Char"/>
    <w:link w:val="Nadpis4"/>
    <w:rPr>
      <w:rFonts w:ascii="Calibri" w:eastAsia="Calibri" w:hAnsi="Calibri" w:cs="Calibri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header" Target="header1.xml"/><Relationship Id="rId34" Type="http://schemas.openxmlformats.org/officeDocument/2006/relationships/image" Target="media/image6.jpg"/><Relationship Id="rId42" Type="http://schemas.openxmlformats.org/officeDocument/2006/relationships/footer" Target="footer2.xml"/><Relationship Id="rId47" Type="http://schemas.openxmlformats.org/officeDocument/2006/relationships/image" Target="media/image13.jpg"/><Relationship Id="rId50" Type="http://schemas.openxmlformats.org/officeDocument/2006/relationships/image" Target="media/image16.jpg"/><Relationship Id="rId55" Type="http://schemas.openxmlformats.org/officeDocument/2006/relationships/header" Target="header6.xml"/><Relationship Id="rId63" Type="http://schemas.openxmlformats.org/officeDocument/2006/relationships/image" Target="media/image23.jpg"/><Relationship Id="rId68" Type="http://schemas.openxmlformats.org/officeDocument/2006/relationships/image" Target="media/image28.jpg"/><Relationship Id="rId76" Type="http://schemas.openxmlformats.org/officeDocument/2006/relationships/footer" Target="footer7.xml"/><Relationship Id="rId84" Type="http://schemas.openxmlformats.org/officeDocument/2006/relationships/header" Target="header11.xml"/><Relationship Id="rId89" Type="http://schemas.openxmlformats.org/officeDocument/2006/relationships/header" Target="header13.xml"/><Relationship Id="rId7" Type="http://schemas.openxmlformats.org/officeDocument/2006/relationships/image" Target="media/image3.jpg"/><Relationship Id="rId71" Type="http://schemas.openxmlformats.org/officeDocument/2006/relationships/image" Target="media/image31.jpg"/><Relationship Id="rId92" Type="http://schemas.openxmlformats.org/officeDocument/2006/relationships/footer" Target="footer14.xml"/><Relationship Id="rId2" Type="http://schemas.openxmlformats.org/officeDocument/2006/relationships/styles" Target="styles.xml"/><Relationship Id="rId32" Type="http://schemas.openxmlformats.org/officeDocument/2006/relationships/image" Target="media/image4.jpg"/><Relationship Id="rId37" Type="http://schemas.openxmlformats.org/officeDocument/2006/relationships/image" Target="media/image9.jpg"/><Relationship Id="rId40" Type="http://schemas.openxmlformats.org/officeDocument/2006/relationships/header" Target="header2.xml"/><Relationship Id="rId45" Type="http://schemas.openxmlformats.org/officeDocument/2006/relationships/image" Target="media/image11.jpg"/><Relationship Id="rId53" Type="http://schemas.openxmlformats.org/officeDocument/2006/relationships/footer" Target="footer4.xml"/><Relationship Id="rId58" Type="http://schemas.openxmlformats.org/officeDocument/2006/relationships/image" Target="media/image18.jpg"/><Relationship Id="rId66" Type="http://schemas.openxmlformats.org/officeDocument/2006/relationships/image" Target="media/image26.jpg"/><Relationship Id="rId74" Type="http://schemas.openxmlformats.org/officeDocument/2006/relationships/header" Target="header7.xml"/><Relationship Id="rId79" Type="http://schemas.openxmlformats.org/officeDocument/2006/relationships/footer" Target="footer9.xml"/><Relationship Id="rId87" Type="http://schemas.openxmlformats.org/officeDocument/2006/relationships/header" Target="header12.xml"/><Relationship Id="rId5" Type="http://schemas.openxmlformats.org/officeDocument/2006/relationships/footnotes" Target="footnotes.xml"/><Relationship Id="rId36" Type="http://schemas.openxmlformats.org/officeDocument/2006/relationships/image" Target="media/image8.jpg"/><Relationship Id="rId49" Type="http://schemas.openxmlformats.org/officeDocument/2006/relationships/image" Target="media/image15.jpg"/><Relationship Id="rId57" Type="http://schemas.openxmlformats.org/officeDocument/2006/relationships/image" Target="media/image17.jpg"/><Relationship Id="rId61" Type="http://schemas.openxmlformats.org/officeDocument/2006/relationships/image" Target="media/image21.jpg"/><Relationship Id="rId82" Type="http://schemas.openxmlformats.org/officeDocument/2006/relationships/image" Target="media/image36.jpg"/><Relationship Id="rId90" Type="http://schemas.openxmlformats.org/officeDocument/2006/relationships/header" Target="header14.xml"/><Relationship Id="rId95" Type="http://schemas.openxmlformats.org/officeDocument/2006/relationships/fontTable" Target="fontTable.xml"/><Relationship Id="rId31" Type="http://schemas.openxmlformats.org/officeDocument/2006/relationships/image" Target="media/image80.jpg"/><Relationship Id="rId44" Type="http://schemas.openxmlformats.org/officeDocument/2006/relationships/footer" Target="footer3.xml"/><Relationship Id="rId52" Type="http://schemas.openxmlformats.org/officeDocument/2006/relationships/header" Target="header5.xml"/><Relationship Id="rId60" Type="http://schemas.openxmlformats.org/officeDocument/2006/relationships/image" Target="media/image20.jpg"/><Relationship Id="rId65" Type="http://schemas.openxmlformats.org/officeDocument/2006/relationships/image" Target="media/image25.jpg"/><Relationship Id="rId73" Type="http://schemas.openxmlformats.org/officeDocument/2006/relationships/image" Target="media/image33.jpg"/><Relationship Id="rId78" Type="http://schemas.openxmlformats.org/officeDocument/2006/relationships/header" Target="header9.xml"/><Relationship Id="rId81" Type="http://schemas.openxmlformats.org/officeDocument/2006/relationships/image" Target="media/image35.jpg"/><Relationship Id="rId86" Type="http://schemas.openxmlformats.org/officeDocument/2006/relationships/footer" Target="footer11.xml"/><Relationship Id="rId94" Type="http://schemas.openxmlformats.org/officeDocument/2006/relationships/footer" Target="footer15.xml"/><Relationship Id="rId4" Type="http://schemas.openxmlformats.org/officeDocument/2006/relationships/webSettings" Target="webSettings.xml"/><Relationship Id="rId35" Type="http://schemas.openxmlformats.org/officeDocument/2006/relationships/image" Target="media/image7.jpg"/><Relationship Id="rId43" Type="http://schemas.openxmlformats.org/officeDocument/2006/relationships/header" Target="header3.xml"/><Relationship Id="rId48" Type="http://schemas.openxmlformats.org/officeDocument/2006/relationships/image" Target="media/image14.jpg"/><Relationship Id="rId56" Type="http://schemas.openxmlformats.org/officeDocument/2006/relationships/footer" Target="footer6.xml"/><Relationship Id="rId64" Type="http://schemas.openxmlformats.org/officeDocument/2006/relationships/image" Target="media/image24.jpg"/><Relationship Id="rId69" Type="http://schemas.openxmlformats.org/officeDocument/2006/relationships/image" Target="media/image29.jpg"/><Relationship Id="rId77" Type="http://schemas.openxmlformats.org/officeDocument/2006/relationships/footer" Target="footer8.xml"/><Relationship Id="rId51" Type="http://schemas.openxmlformats.org/officeDocument/2006/relationships/header" Target="header4.xml"/><Relationship Id="rId72" Type="http://schemas.openxmlformats.org/officeDocument/2006/relationships/image" Target="media/image32.jpg"/><Relationship Id="rId80" Type="http://schemas.openxmlformats.org/officeDocument/2006/relationships/image" Target="media/image34.jpg"/><Relationship Id="rId85" Type="http://schemas.openxmlformats.org/officeDocument/2006/relationships/footer" Target="footer10.xml"/><Relationship Id="rId93" Type="http://schemas.openxmlformats.org/officeDocument/2006/relationships/header" Target="header15.xml"/><Relationship Id="rId3" Type="http://schemas.openxmlformats.org/officeDocument/2006/relationships/settings" Target="settings.xml"/><Relationship Id="rId33" Type="http://schemas.openxmlformats.org/officeDocument/2006/relationships/image" Target="media/image5.jpg"/><Relationship Id="rId38" Type="http://schemas.openxmlformats.org/officeDocument/2006/relationships/image" Target="media/image10.jpg"/><Relationship Id="rId46" Type="http://schemas.openxmlformats.org/officeDocument/2006/relationships/image" Target="media/image12.jpg"/><Relationship Id="rId59" Type="http://schemas.openxmlformats.org/officeDocument/2006/relationships/image" Target="media/image19.jpg"/><Relationship Id="rId67" Type="http://schemas.openxmlformats.org/officeDocument/2006/relationships/image" Target="media/image27.jpg"/><Relationship Id="rId41" Type="http://schemas.openxmlformats.org/officeDocument/2006/relationships/footer" Target="footer1.xml"/><Relationship Id="rId54" Type="http://schemas.openxmlformats.org/officeDocument/2006/relationships/footer" Target="footer5.xml"/><Relationship Id="rId62" Type="http://schemas.openxmlformats.org/officeDocument/2006/relationships/image" Target="media/image22.jpg"/><Relationship Id="rId70" Type="http://schemas.openxmlformats.org/officeDocument/2006/relationships/image" Target="media/image30.jpg"/><Relationship Id="rId75" Type="http://schemas.openxmlformats.org/officeDocument/2006/relationships/header" Target="header8.xml"/><Relationship Id="rId83" Type="http://schemas.openxmlformats.org/officeDocument/2006/relationships/header" Target="header10.xml"/><Relationship Id="rId88" Type="http://schemas.openxmlformats.org/officeDocument/2006/relationships/footer" Target="footer12.xml"/><Relationship Id="rId91" Type="http://schemas.openxmlformats.org/officeDocument/2006/relationships/footer" Target="footer13.xm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2476</Words>
  <Characters>14612</Characters>
  <Application>Microsoft Office Word</Application>
  <DocSecurity>0</DocSecurity>
  <Lines>121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Pantělejevová Radka</dc:creator>
  <cp:keywords/>
  <cp:lastModifiedBy>Pantělejevová Radka</cp:lastModifiedBy>
  <cp:revision>2</cp:revision>
  <dcterms:created xsi:type="dcterms:W3CDTF">2024-05-16T10:13:00Z</dcterms:created>
  <dcterms:modified xsi:type="dcterms:W3CDTF">2024-05-16T10:13:00Z</dcterms:modified>
</cp:coreProperties>
</file>