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9EBB3" w14:textId="77777777" w:rsidR="00E902CA" w:rsidRDefault="00817E1C" w:rsidP="00334C4C">
      <w:pPr>
        <w:pStyle w:val="Zkladntext30"/>
        <w:pBdr>
          <w:top w:val="single" w:sz="4" w:space="1" w:color="auto"/>
          <w:left w:val="single" w:sz="4" w:space="0" w:color="auto"/>
          <w:bottom w:val="single" w:sz="4" w:space="1" w:color="auto"/>
          <w:right w:val="single" w:sz="4" w:space="4" w:color="auto"/>
        </w:pBdr>
        <w:shd w:val="clear" w:color="auto" w:fill="auto"/>
        <w:spacing w:after="273"/>
        <w:ind w:left="1920"/>
      </w:pPr>
      <w:r>
        <w:t xml:space="preserve">KRAJSKÁ SPRÁVA A ÚDRŽBA SILNIC VYSOČINY </w:t>
      </w:r>
      <w:r>
        <w:rPr>
          <w:rStyle w:val="Zkladntext31"/>
        </w:rPr>
        <w:t xml:space="preserve">příspěvková organizace </w:t>
      </w:r>
      <w:r>
        <w:t>SMLOUVA REGISTROVÁNA</w:t>
      </w:r>
    </w:p>
    <w:p w14:paraId="2824117D" w14:textId="77777777" w:rsidR="00E902CA" w:rsidRDefault="00817E1C" w:rsidP="00334C4C">
      <w:pPr>
        <w:pStyle w:val="Zkladntext40"/>
        <w:pBdr>
          <w:top w:val="single" w:sz="4" w:space="1" w:color="auto"/>
          <w:left w:val="single" w:sz="4" w:space="0" w:color="auto"/>
          <w:bottom w:val="single" w:sz="4" w:space="1" w:color="auto"/>
          <w:right w:val="single" w:sz="4" w:space="4" w:color="auto"/>
        </w:pBdr>
        <w:shd w:val="clear" w:color="auto" w:fill="auto"/>
        <w:spacing w:before="0" w:after="163" w:line="160" w:lineRule="exact"/>
        <w:ind w:left="1920"/>
      </w:pPr>
      <w:r>
        <w:t>pod číslem:</w:t>
      </w:r>
    </w:p>
    <w:p w14:paraId="0ABFABA0" w14:textId="77777777" w:rsidR="00E902CA" w:rsidRDefault="00B62EA8">
      <w:pPr>
        <w:pStyle w:val="Nadpis10"/>
        <w:keepNext/>
        <w:keepLines/>
        <w:shd w:val="clear" w:color="auto" w:fill="auto"/>
        <w:spacing w:before="0" w:after="226" w:line="440" w:lineRule="exact"/>
      </w:pPr>
      <w:bookmarkStart w:id="0" w:name="bookmark0"/>
      <w:r>
        <w:t xml:space="preserve">                               </w:t>
      </w:r>
      <w:r w:rsidR="00817E1C">
        <w:t>Obec Herálec</w:t>
      </w:r>
      <w:bookmarkEnd w:id="0"/>
    </w:p>
    <w:p w14:paraId="7627C9FA" w14:textId="77777777" w:rsidR="00E902CA" w:rsidRDefault="00B62EA8">
      <w:pPr>
        <w:pStyle w:val="Nadpis30"/>
        <w:keepNext/>
        <w:keepLines/>
        <w:shd w:val="clear" w:color="auto" w:fill="auto"/>
        <w:spacing w:before="0"/>
        <w:jc w:val="both"/>
      </w:pPr>
      <w:bookmarkStart w:id="1" w:name="bookmark1"/>
      <w:r>
        <w:t xml:space="preserve">                                                            </w:t>
      </w:r>
      <w:r w:rsidR="00817E1C">
        <w:t>Smlouva č. 3/2024H</w:t>
      </w:r>
      <w:bookmarkEnd w:id="1"/>
    </w:p>
    <w:p w14:paraId="6F7C6624" w14:textId="77777777" w:rsidR="00E902CA" w:rsidRDefault="00817E1C">
      <w:pPr>
        <w:pStyle w:val="Zkladntext20"/>
        <w:shd w:val="clear" w:color="auto" w:fill="auto"/>
        <w:spacing w:after="240"/>
        <w:ind w:right="40"/>
      </w:pPr>
      <w:r>
        <w:t>Uzavřená podle ustanovení § 8 odst. 6 zákona č. 274/2001 Sb., o vodovodech a kanalizacích</w:t>
      </w:r>
      <w:r>
        <w:br/>
        <w:t>pro veřejnou potřebu a Vyhlášky Ministerstva zemědělství č. 428/2001 Sb., kterou se provádí</w:t>
      </w:r>
      <w:r>
        <w:br/>
        <w:t>zákon č. 274/2001 Sb., vše ve znění pozdějších předpisů.</w:t>
      </w:r>
    </w:p>
    <w:p w14:paraId="126769B1" w14:textId="77777777" w:rsidR="00E902CA" w:rsidRDefault="00817E1C">
      <w:pPr>
        <w:pStyle w:val="Nadpis30"/>
        <w:keepNext/>
        <w:keepLines/>
        <w:numPr>
          <w:ilvl w:val="0"/>
          <w:numId w:val="1"/>
        </w:numPr>
        <w:shd w:val="clear" w:color="auto" w:fill="auto"/>
        <w:tabs>
          <w:tab w:val="left" w:pos="4287"/>
        </w:tabs>
        <w:spacing w:before="0"/>
        <w:ind w:left="3660"/>
        <w:jc w:val="both"/>
      </w:pPr>
      <w:bookmarkStart w:id="2" w:name="bookmark2"/>
      <w:r>
        <w:t>Smluvní strany</w:t>
      </w:r>
      <w:bookmarkEnd w:id="2"/>
    </w:p>
    <w:p w14:paraId="6EB5FC34" w14:textId="77777777" w:rsidR="00334C4C" w:rsidRDefault="00334C4C">
      <w:pPr>
        <w:pStyle w:val="Zkladntext50"/>
        <w:shd w:val="clear" w:color="auto" w:fill="auto"/>
        <w:jc w:val="both"/>
      </w:pPr>
    </w:p>
    <w:p w14:paraId="244E7375" w14:textId="767E84B5" w:rsidR="00E902CA" w:rsidRDefault="00817E1C">
      <w:pPr>
        <w:pStyle w:val="Zkladntext50"/>
        <w:shd w:val="clear" w:color="auto" w:fill="auto"/>
        <w:jc w:val="both"/>
      </w:pPr>
      <w:r>
        <w:t>Dodavatel:</w:t>
      </w:r>
    </w:p>
    <w:p w14:paraId="70B02645" w14:textId="77777777" w:rsidR="00E902CA" w:rsidRDefault="00817E1C">
      <w:pPr>
        <w:pStyle w:val="Zkladntext20"/>
        <w:shd w:val="clear" w:color="auto" w:fill="auto"/>
        <w:jc w:val="both"/>
      </w:pPr>
      <w:r>
        <w:t>Název: Obec Herálec</w:t>
      </w:r>
    </w:p>
    <w:p w14:paraId="30B90BF2" w14:textId="77777777" w:rsidR="00E902CA" w:rsidRDefault="00817E1C">
      <w:pPr>
        <w:pStyle w:val="Zkladntext20"/>
        <w:shd w:val="clear" w:color="auto" w:fill="auto"/>
        <w:jc w:val="both"/>
      </w:pPr>
      <w:r>
        <w:t>Adresa: 582 55 Herálec 257</w:t>
      </w:r>
    </w:p>
    <w:p w14:paraId="460C0586" w14:textId="77777777" w:rsidR="00E902CA" w:rsidRDefault="00817E1C">
      <w:pPr>
        <w:pStyle w:val="Zkladntext20"/>
        <w:shd w:val="clear" w:color="auto" w:fill="auto"/>
        <w:jc w:val="both"/>
      </w:pPr>
      <w:r>
        <w:t>Zastoupená: Stanislavem Tedem, starostou obce</w:t>
      </w:r>
    </w:p>
    <w:p w14:paraId="563CD1E0" w14:textId="77777777" w:rsidR="00E902CA" w:rsidRDefault="00817E1C">
      <w:pPr>
        <w:pStyle w:val="Zkladntext20"/>
        <w:shd w:val="clear" w:color="auto" w:fill="auto"/>
        <w:tabs>
          <w:tab w:val="left" w:pos="5339"/>
        </w:tabs>
        <w:jc w:val="both"/>
      </w:pPr>
      <w:r>
        <w:t>IČO: 00267457</w:t>
      </w:r>
      <w:r>
        <w:tab/>
        <w:t>DIČ:</w:t>
      </w:r>
    </w:p>
    <w:p w14:paraId="764C634D" w14:textId="4F25B9B6" w:rsidR="00E902CA" w:rsidRDefault="00817E1C">
      <w:pPr>
        <w:pStyle w:val="Zkladntext20"/>
        <w:shd w:val="clear" w:color="auto" w:fill="auto"/>
        <w:tabs>
          <w:tab w:val="left" w:pos="5339"/>
        </w:tabs>
        <w:jc w:val="both"/>
      </w:pPr>
      <w:r>
        <w:t>Tel:</w:t>
      </w:r>
      <w:r>
        <w:tab/>
        <w:t xml:space="preserve">e-mail: </w:t>
      </w:r>
      <w:r w:rsidR="00334C4C">
        <w:t xml:space="preserve"> </w:t>
      </w:r>
      <w:r w:rsidR="00334C4C">
        <w:tab/>
      </w:r>
      <w:r>
        <w:t>@heralec.cz</w:t>
      </w:r>
    </w:p>
    <w:p w14:paraId="6B8A7482" w14:textId="77777777" w:rsidR="00E902CA" w:rsidRDefault="00817E1C">
      <w:pPr>
        <w:pStyle w:val="Zkladntext20"/>
        <w:shd w:val="clear" w:color="auto" w:fill="auto"/>
        <w:tabs>
          <w:tab w:val="left" w:pos="5339"/>
        </w:tabs>
        <w:spacing w:after="240"/>
        <w:jc w:val="both"/>
      </w:pPr>
      <w:r>
        <w:t>Bankovní spojení:</w:t>
      </w:r>
      <w:r>
        <w:tab/>
        <w:t>Číslo účtu:</w:t>
      </w:r>
    </w:p>
    <w:p w14:paraId="39A4A307" w14:textId="77777777" w:rsidR="00E902CA" w:rsidRDefault="00817E1C">
      <w:pPr>
        <w:pStyle w:val="Nadpis30"/>
        <w:keepNext/>
        <w:keepLines/>
        <w:shd w:val="clear" w:color="auto" w:fill="auto"/>
        <w:spacing w:before="0"/>
        <w:jc w:val="both"/>
      </w:pPr>
      <w:bookmarkStart w:id="3" w:name="bookmark3"/>
      <w:r>
        <w:t>Odběratel:</w:t>
      </w:r>
      <w:bookmarkEnd w:id="3"/>
    </w:p>
    <w:p w14:paraId="7C0F0A7F" w14:textId="77777777" w:rsidR="00E902CA" w:rsidRDefault="00334C4C">
      <w:pPr>
        <w:pStyle w:val="Zkladntext20"/>
        <w:shd w:val="clear" w:color="auto" w:fill="auto"/>
        <w:jc w:val="both"/>
      </w:pPr>
      <w:r>
        <w:pict w14:anchorId="1D045300">
          <v:shapetype id="_x0000_t202" coordsize="21600,21600" o:spt="202" path="m,l,21600r21600,l21600,xe">
            <v:stroke joinstyle="miter"/>
            <v:path gradientshapeok="t" o:connecttype="rect"/>
          </v:shapetype>
          <v:shape id="_x0000_s1026" type="#_x0000_t202" style="position:absolute;left:0;text-align:left;margin-left:245.65pt;margin-top:-2.3pt;width:211.2pt;height:99.25pt;z-index:-125829376;mso-wrap-distance-left:120.95pt;mso-wrap-distance-top:10.4pt;mso-wrap-distance-right:5pt;mso-wrap-distance-bottom:9.85pt;mso-position-horizontal-relative:margin" filled="f" stroked="f">
            <v:textbox style="mso-fit-shape-to-text:t" inset="0,0,0,0">
              <w:txbxContent>
                <w:p w14:paraId="1E8AA200" w14:textId="77777777" w:rsidR="00E902CA" w:rsidRDefault="00817E1C">
                  <w:pPr>
                    <w:pStyle w:val="Zkladntext50"/>
                    <w:shd w:val="clear" w:color="auto" w:fill="auto"/>
                  </w:pPr>
                  <w:r>
                    <w:rPr>
                      <w:rStyle w:val="Zkladntext5Exact"/>
                      <w:b/>
                      <w:bCs/>
                    </w:rPr>
                    <w:t>Krajská správa a údržba silnic Vysočiny</w:t>
                  </w:r>
                </w:p>
                <w:p w14:paraId="47758E60" w14:textId="01B2DA00" w:rsidR="00E902CA" w:rsidRDefault="00817E1C">
                  <w:pPr>
                    <w:pStyle w:val="Zkladntext20"/>
                    <w:shd w:val="clear" w:color="auto" w:fill="auto"/>
                    <w:spacing w:after="267"/>
                    <w:jc w:val="left"/>
                  </w:pPr>
                  <w:r>
                    <w:rPr>
                      <w:rStyle w:val="Zkladntext2Exact"/>
                    </w:rPr>
                    <w:t xml:space="preserve">Kosovská 16, 58601 Jihlava </w:t>
                  </w:r>
                  <w:r w:rsidR="00334C4C">
                    <w:rPr>
                      <w:rStyle w:val="Zkladntext2Exact"/>
                    </w:rPr>
                    <w:t xml:space="preserve">                    </w:t>
                  </w:r>
                  <w:r>
                    <w:rPr>
                      <w:rStyle w:val="Zkladntext2Exact"/>
                    </w:rPr>
                    <w:t>Herálec čp.276</w:t>
                  </w:r>
                  <w:r w:rsidR="00334C4C">
                    <w:rPr>
                      <w:rStyle w:val="Zkladntext2Exact"/>
                    </w:rPr>
                    <w:t xml:space="preserve">                                                  </w:t>
                  </w:r>
                  <w:r>
                    <w:rPr>
                      <w:rStyle w:val="Zkladntext2Exact"/>
                    </w:rPr>
                    <w:t xml:space="preserve"> </w:t>
                  </w:r>
                  <w:r>
                    <w:rPr>
                      <w:rStyle w:val="Zkladntext2TunExact"/>
                    </w:rPr>
                    <w:t xml:space="preserve">00090450 </w:t>
                  </w:r>
                  <w:r w:rsidR="00334C4C">
                    <w:rPr>
                      <w:rStyle w:val="Zkladntext2TunExact"/>
                    </w:rPr>
                    <w:t xml:space="preserve">                                                          </w:t>
                  </w:r>
                  <w:r>
                    <w:rPr>
                      <w:rStyle w:val="Zkladntext2Exact"/>
                    </w:rPr>
                    <w:t>e-mail:</w:t>
                  </w:r>
                </w:p>
                <w:p w14:paraId="03E3D172" w14:textId="77777777" w:rsidR="00E902CA" w:rsidRDefault="00817E1C">
                  <w:pPr>
                    <w:pStyle w:val="Zkladntext20"/>
                    <w:shd w:val="clear" w:color="auto" w:fill="auto"/>
                    <w:spacing w:line="240" w:lineRule="exact"/>
                    <w:jc w:val="left"/>
                  </w:pPr>
                  <w:r>
                    <w:rPr>
                      <w:rStyle w:val="Zkladntext2Exact"/>
                    </w:rPr>
                    <w:t>číslo účtu:</w:t>
                  </w:r>
                </w:p>
              </w:txbxContent>
            </v:textbox>
            <w10:wrap type="square" side="left" anchorx="margin"/>
          </v:shape>
        </w:pict>
      </w:r>
      <w:r w:rsidR="00817E1C">
        <w:t>Obchodní název:</w:t>
      </w:r>
    </w:p>
    <w:p w14:paraId="6812AADD" w14:textId="77777777" w:rsidR="00E902CA" w:rsidRDefault="00817E1C">
      <w:pPr>
        <w:pStyle w:val="Zkladntext20"/>
        <w:shd w:val="clear" w:color="auto" w:fill="auto"/>
        <w:jc w:val="both"/>
      </w:pPr>
      <w:r>
        <w:t>Adresa sídla:</w:t>
      </w:r>
    </w:p>
    <w:p w14:paraId="2F31BC86" w14:textId="77777777" w:rsidR="00E902CA" w:rsidRDefault="00817E1C">
      <w:pPr>
        <w:pStyle w:val="Zkladntext20"/>
        <w:shd w:val="clear" w:color="auto" w:fill="auto"/>
        <w:jc w:val="both"/>
      </w:pPr>
      <w:r>
        <w:t>Adresa odběrného místa:</w:t>
      </w:r>
    </w:p>
    <w:p w14:paraId="221A2B29" w14:textId="77777777" w:rsidR="00E902CA" w:rsidRDefault="00817E1C">
      <w:pPr>
        <w:pStyle w:val="Zkladntext20"/>
        <w:shd w:val="clear" w:color="auto" w:fill="auto"/>
        <w:jc w:val="both"/>
      </w:pPr>
      <w:r>
        <w:t>IČO:</w:t>
      </w:r>
    </w:p>
    <w:p w14:paraId="60F68C80" w14:textId="77777777" w:rsidR="00E902CA" w:rsidRDefault="00817E1C">
      <w:pPr>
        <w:pStyle w:val="Zkladntext20"/>
        <w:shd w:val="clear" w:color="auto" w:fill="auto"/>
        <w:jc w:val="both"/>
      </w:pPr>
      <w:r>
        <w:t>Tel.:</w:t>
      </w:r>
    </w:p>
    <w:p w14:paraId="6D78E4B6" w14:textId="77777777" w:rsidR="00E902CA" w:rsidRDefault="00817E1C">
      <w:pPr>
        <w:pStyle w:val="Zkladntext50"/>
        <w:shd w:val="clear" w:color="auto" w:fill="auto"/>
        <w:jc w:val="both"/>
      </w:pPr>
      <w:r>
        <w:t>DS: 3qdnp8g</w:t>
      </w:r>
    </w:p>
    <w:p w14:paraId="51EB0EA1" w14:textId="77777777" w:rsidR="00E902CA" w:rsidRDefault="00817E1C">
      <w:pPr>
        <w:pStyle w:val="Zkladntext20"/>
        <w:shd w:val="clear" w:color="auto" w:fill="auto"/>
        <w:jc w:val="both"/>
      </w:pPr>
      <w:r>
        <w:t>Bankovní spojení:</w:t>
      </w:r>
    </w:p>
    <w:p w14:paraId="419D21B6" w14:textId="5A005039" w:rsidR="00E902CA" w:rsidRDefault="00817E1C">
      <w:pPr>
        <w:pStyle w:val="Zkladntext20"/>
        <w:shd w:val="clear" w:color="auto" w:fill="auto"/>
        <w:spacing w:after="267"/>
        <w:jc w:val="both"/>
      </w:pPr>
      <w:r>
        <w:t>Zasílací</w:t>
      </w:r>
      <w:r w:rsidR="00334C4C">
        <w:t xml:space="preserve"> </w:t>
      </w:r>
      <w:r>
        <w:t>a fakturační adresa:</w:t>
      </w:r>
    </w:p>
    <w:p w14:paraId="44231A2F" w14:textId="77777777" w:rsidR="00E902CA" w:rsidRDefault="00817E1C">
      <w:pPr>
        <w:pStyle w:val="Zkladntext20"/>
        <w:shd w:val="clear" w:color="auto" w:fill="auto"/>
        <w:spacing w:after="506" w:line="240" w:lineRule="exact"/>
        <w:jc w:val="both"/>
      </w:pPr>
      <w:r>
        <w:t>Výše uvedený Dodavatel je vlastníkem i provozovatelem vodovodu a kanalizace.</w:t>
      </w:r>
    </w:p>
    <w:p w14:paraId="11B05977" w14:textId="77777777" w:rsidR="00E902CA" w:rsidRDefault="00817E1C">
      <w:pPr>
        <w:pStyle w:val="Nadpis30"/>
        <w:keepNext/>
        <w:keepLines/>
        <w:numPr>
          <w:ilvl w:val="0"/>
          <w:numId w:val="1"/>
        </w:numPr>
        <w:shd w:val="clear" w:color="auto" w:fill="auto"/>
        <w:tabs>
          <w:tab w:val="left" w:pos="4287"/>
        </w:tabs>
        <w:spacing w:before="0"/>
        <w:ind w:left="3520"/>
        <w:jc w:val="both"/>
      </w:pPr>
      <w:bookmarkStart w:id="4" w:name="bookmark4"/>
      <w:r>
        <w:t>Předmět smlouvy</w:t>
      </w:r>
      <w:bookmarkEnd w:id="4"/>
    </w:p>
    <w:p w14:paraId="3564DC49" w14:textId="77777777" w:rsidR="00E902CA" w:rsidRDefault="00817E1C">
      <w:pPr>
        <w:pStyle w:val="Zkladntext20"/>
        <w:shd w:val="clear" w:color="auto" w:fill="auto"/>
        <w:spacing w:after="267"/>
        <w:jc w:val="both"/>
      </w:pPr>
      <w:r>
        <w:t>Předmětem smlouvy o dodávce vody (dále jen smlouva) je úprava vztahů mezi dodavatelem a odběratelem:</w:t>
      </w:r>
    </w:p>
    <w:p w14:paraId="79639CE1" w14:textId="77777777" w:rsidR="00E902CA" w:rsidRDefault="00817E1C">
      <w:pPr>
        <w:pStyle w:val="Nadpis30"/>
        <w:keepNext/>
        <w:keepLines/>
        <w:shd w:val="clear" w:color="auto" w:fill="auto"/>
        <w:spacing w:before="0" w:after="216" w:line="240" w:lineRule="exact"/>
        <w:ind w:left="320"/>
      </w:pPr>
      <w:bookmarkStart w:id="5" w:name="bookmark5"/>
      <w:r>
        <w:t>X Dodávka pitné vody</w:t>
      </w:r>
      <w:bookmarkEnd w:id="5"/>
    </w:p>
    <w:p w14:paraId="7D866510" w14:textId="77777777" w:rsidR="00E902CA" w:rsidRDefault="00817E1C">
      <w:pPr>
        <w:pStyle w:val="Nadpis30"/>
        <w:keepNext/>
        <w:keepLines/>
        <w:numPr>
          <w:ilvl w:val="0"/>
          <w:numId w:val="1"/>
        </w:numPr>
        <w:shd w:val="clear" w:color="auto" w:fill="auto"/>
        <w:tabs>
          <w:tab w:val="left" w:pos="4287"/>
        </w:tabs>
        <w:spacing w:before="0" w:after="189" w:line="240" w:lineRule="exact"/>
        <w:ind w:left="3520"/>
        <w:jc w:val="both"/>
      </w:pPr>
      <w:bookmarkStart w:id="6" w:name="bookmark6"/>
      <w:r>
        <w:t>Účinnost smlouvy</w:t>
      </w:r>
      <w:bookmarkEnd w:id="6"/>
    </w:p>
    <w:p w14:paraId="27E0046F" w14:textId="77777777" w:rsidR="00E902CA" w:rsidRDefault="00817E1C">
      <w:pPr>
        <w:pStyle w:val="Zkladntext20"/>
        <w:shd w:val="clear" w:color="auto" w:fill="auto"/>
        <w:spacing w:after="267"/>
        <w:jc w:val="left"/>
      </w:pPr>
      <w:r>
        <w:rPr>
          <w:rStyle w:val="Zkladntext2Tun"/>
        </w:rPr>
        <w:t xml:space="preserve">Účinnost </w:t>
      </w:r>
      <w:r>
        <w:t>smlouvy nastává dnem podpisu této smlouvy. Pro účely fakturace vodného za dodávku vody poskytnutých odběrateli přede dnem účinnosti této smlouvy na tomto odběrném místě smluvní strany činí nesporným, že předmět smlouvy byl plněn již přede dnem účinnosti této smlouvy to s</w:t>
      </w:r>
      <w:r w:rsidR="00B62EA8">
        <w:t> </w:t>
      </w:r>
      <w:r>
        <w:t>následujícími údaji:</w:t>
      </w:r>
    </w:p>
    <w:p w14:paraId="5816E646" w14:textId="77777777" w:rsidR="00E902CA" w:rsidRDefault="00817E1C">
      <w:pPr>
        <w:pStyle w:val="Zkladntext20"/>
        <w:shd w:val="clear" w:color="auto" w:fill="auto"/>
        <w:tabs>
          <w:tab w:val="left" w:pos="3355"/>
        </w:tabs>
        <w:spacing w:line="240" w:lineRule="exact"/>
        <w:jc w:val="both"/>
      </w:pPr>
      <w:r>
        <w:t>Číslo měřidla:</w:t>
      </w:r>
      <w:r>
        <w:tab/>
        <w:t>32147930</w:t>
      </w:r>
    </w:p>
    <w:p w14:paraId="018CDE01" w14:textId="77777777" w:rsidR="00E902CA" w:rsidRDefault="00817E1C">
      <w:pPr>
        <w:pStyle w:val="Zkladntext20"/>
        <w:shd w:val="clear" w:color="auto" w:fill="auto"/>
        <w:tabs>
          <w:tab w:val="left" w:pos="3355"/>
          <w:tab w:val="left" w:pos="5558"/>
        </w:tabs>
        <w:spacing w:after="262" w:line="240" w:lineRule="exact"/>
        <w:jc w:val="both"/>
      </w:pPr>
      <w:r>
        <w:t>Stav měřidla:</w:t>
      </w:r>
      <w:r>
        <w:tab/>
        <w:t>66 m3</w:t>
      </w:r>
      <w:r>
        <w:tab/>
        <w:t>ke dni 18.12.2023</w:t>
      </w:r>
    </w:p>
    <w:p w14:paraId="142D8649" w14:textId="77777777" w:rsidR="00E902CA" w:rsidRDefault="00817E1C">
      <w:pPr>
        <w:pStyle w:val="Zkladntext20"/>
        <w:shd w:val="clear" w:color="auto" w:fill="auto"/>
        <w:spacing w:line="278" w:lineRule="exact"/>
        <w:jc w:val="left"/>
      </w:pPr>
      <w:r>
        <w:t>Smluvní strany dále prohlašují, že toto plnění nebylo v</w:t>
      </w:r>
      <w:r w:rsidR="00B62EA8">
        <w:t> </w:t>
      </w:r>
      <w:r>
        <w:t>rozporu s</w:t>
      </w:r>
      <w:r w:rsidR="00B62EA8">
        <w:t> </w:t>
      </w:r>
      <w:r>
        <w:t>oprávněnými zájmy žádné ze smluvních stran a považují je za plnění podlé této smlouvy.</w:t>
      </w:r>
      <w:r>
        <w:br w:type="page"/>
      </w:r>
    </w:p>
    <w:p w14:paraId="318561A8" w14:textId="77777777" w:rsidR="00E902CA" w:rsidRDefault="00817E1C" w:rsidP="00B62EA8">
      <w:pPr>
        <w:pStyle w:val="Nadpis30"/>
        <w:keepNext/>
        <w:keepLines/>
        <w:numPr>
          <w:ilvl w:val="0"/>
          <w:numId w:val="1"/>
        </w:numPr>
        <w:shd w:val="clear" w:color="auto" w:fill="auto"/>
        <w:tabs>
          <w:tab w:val="left" w:pos="4440"/>
        </w:tabs>
        <w:spacing w:before="0"/>
        <w:ind w:left="3720"/>
        <w:jc w:val="both"/>
      </w:pPr>
      <w:bookmarkStart w:id="7" w:name="bookmark7"/>
      <w:r>
        <w:lastRenderedPageBreak/>
        <w:t>Dodávka vody</w:t>
      </w:r>
      <w:bookmarkEnd w:id="7"/>
    </w:p>
    <w:p w14:paraId="650045C7" w14:textId="77777777" w:rsidR="00E902CA" w:rsidRDefault="00817E1C">
      <w:pPr>
        <w:pStyle w:val="Zkladntext20"/>
        <w:shd w:val="clear" w:color="auto" w:fill="auto"/>
        <w:spacing w:after="267"/>
        <w:jc w:val="both"/>
      </w:pPr>
      <w:r>
        <w:t>Dodavatel se zavazuje zajistit pro odběratele dodávku vody z vodovodu v jakosti vody odpovídající ustanovením vyhlášky 428/2001 Sb., kterou se stanoví hygienické požadavky na pitnou vodu a četnost a rozsah kontroly pitné vody.</w:t>
      </w:r>
    </w:p>
    <w:p w14:paraId="5681E062" w14:textId="77777777" w:rsidR="00E902CA" w:rsidRDefault="00817E1C">
      <w:pPr>
        <w:pStyle w:val="Zkladntext20"/>
        <w:shd w:val="clear" w:color="auto" w:fill="auto"/>
        <w:spacing w:after="238" w:line="240" w:lineRule="exact"/>
        <w:jc w:val="both"/>
      </w:pPr>
      <w:r>
        <w:t>Množství odebrané vody bude zjišťováno:</w:t>
      </w:r>
    </w:p>
    <w:p w14:paraId="4F8A0623" w14:textId="77777777" w:rsidR="00E902CA" w:rsidRDefault="00817E1C">
      <w:pPr>
        <w:pStyle w:val="Nadpis30"/>
        <w:keepNext/>
        <w:keepLines/>
        <w:shd w:val="clear" w:color="auto" w:fill="auto"/>
        <w:tabs>
          <w:tab w:val="left" w:pos="6022"/>
        </w:tabs>
        <w:spacing w:before="0" w:line="240" w:lineRule="exact"/>
        <w:ind w:left="440"/>
        <w:jc w:val="both"/>
      </w:pPr>
      <w:bookmarkStart w:id="8" w:name="bookmark8"/>
      <w:r>
        <w:t>X Měřidlem - vodoměrem</w:t>
      </w:r>
      <w:r>
        <w:tab/>
        <w:t>Umístění měřidla:</w:t>
      </w:r>
      <w:bookmarkEnd w:id="8"/>
    </w:p>
    <w:p w14:paraId="7D1A5430" w14:textId="77777777" w:rsidR="00E902CA" w:rsidRDefault="00817E1C">
      <w:pPr>
        <w:pStyle w:val="Zkladntext20"/>
        <w:shd w:val="clear" w:color="auto" w:fill="auto"/>
        <w:spacing w:line="240" w:lineRule="exact"/>
        <w:ind w:left="800"/>
        <w:jc w:val="left"/>
      </w:pPr>
      <w:r>
        <w:t>Limit množství dodávané vody:</w:t>
      </w:r>
    </w:p>
    <w:p w14:paraId="761CAFB8" w14:textId="77777777" w:rsidR="00E902CA" w:rsidRDefault="00817E1C">
      <w:pPr>
        <w:pStyle w:val="Zkladntext50"/>
        <w:shd w:val="clear" w:color="auto" w:fill="auto"/>
        <w:ind w:left="800"/>
      </w:pPr>
      <w:r>
        <w:t>Výpočtem dle Vyhl. ě. 428/2001 Sb., Příloha ě. 12,</w:t>
      </w:r>
    </w:p>
    <w:p w14:paraId="458E1077" w14:textId="77777777" w:rsidR="00E902CA" w:rsidRDefault="00817E1C">
      <w:pPr>
        <w:pStyle w:val="Zkladntext20"/>
        <w:shd w:val="clear" w:color="auto" w:fill="auto"/>
        <w:ind w:left="800"/>
        <w:jc w:val="left"/>
      </w:pPr>
      <w:r>
        <w:t>Vypočtené množství činí: ..... ,m</w:t>
      </w:r>
      <w:r>
        <w:rPr>
          <w:vertAlign w:val="superscript"/>
        </w:rPr>
        <w:t>3</w:t>
      </w:r>
      <w:r>
        <w:t>/rok</w:t>
      </w:r>
    </w:p>
    <w:p w14:paraId="761A9159" w14:textId="77777777" w:rsidR="00E902CA" w:rsidRDefault="00817E1C">
      <w:pPr>
        <w:pStyle w:val="Zkladntext20"/>
        <w:shd w:val="clear" w:color="auto" w:fill="auto"/>
        <w:spacing w:after="480"/>
        <w:ind w:left="800"/>
        <w:jc w:val="left"/>
      </w:pPr>
      <w:r>
        <w:t>Množství odebrané vody bez měření bylo vypočtené podle podkladů dodaných odběratelem.</w:t>
      </w:r>
    </w:p>
    <w:p w14:paraId="744707A7" w14:textId="77777777" w:rsidR="00E902CA" w:rsidRDefault="00817E1C">
      <w:pPr>
        <w:pStyle w:val="Zkladntext20"/>
        <w:shd w:val="clear" w:color="auto" w:fill="auto"/>
        <w:jc w:val="both"/>
      </w:pPr>
      <w:r>
        <w:t>Parametry pro dodávku pitné vody:</w:t>
      </w:r>
    </w:p>
    <w:p w14:paraId="63FD897A" w14:textId="77777777" w:rsidR="00E902CA" w:rsidRDefault="00817E1C">
      <w:pPr>
        <w:pStyle w:val="Zkladntext20"/>
        <w:shd w:val="clear" w:color="auto" w:fill="auto"/>
        <w:jc w:val="left"/>
      </w:pPr>
      <w:r>
        <w:t>Ukazatelé jakosti v dané lokalitě ke dni uzavření této smlouvy jsou pro vybrané hodnoty stanoveny takto:</w:t>
      </w:r>
    </w:p>
    <w:p w14:paraId="108FF83F" w14:textId="77777777" w:rsidR="00E902CA" w:rsidRDefault="00817E1C">
      <w:pPr>
        <w:pStyle w:val="Zkladntext20"/>
        <w:shd w:val="clear" w:color="auto" w:fill="auto"/>
        <w:tabs>
          <w:tab w:val="left" w:pos="3294"/>
        </w:tabs>
        <w:jc w:val="both"/>
      </w:pPr>
      <w:r>
        <w:t>Obsah vápníku (Ca)</w:t>
      </w:r>
      <w:r>
        <w:tab/>
      </w:r>
      <w:r>
        <w:rPr>
          <w:rStyle w:val="Zkladntext2dkovn1pt"/>
        </w:rPr>
        <w:t>-20-30</w:t>
      </w:r>
      <w:r>
        <w:t xml:space="preserve"> mg/1</w:t>
      </w:r>
    </w:p>
    <w:p w14:paraId="7E334414" w14:textId="77777777" w:rsidR="00E902CA" w:rsidRDefault="00817E1C">
      <w:pPr>
        <w:pStyle w:val="Zkladntext20"/>
        <w:shd w:val="clear" w:color="auto" w:fill="auto"/>
        <w:tabs>
          <w:tab w:val="left" w:pos="3294"/>
        </w:tabs>
        <w:jc w:val="both"/>
      </w:pPr>
      <w:r>
        <w:t>Obsah hořčíku (Mg)</w:t>
      </w:r>
      <w:r>
        <w:tab/>
      </w:r>
      <w:r>
        <w:rPr>
          <w:rStyle w:val="Zkladntext2dkovn1pt"/>
        </w:rPr>
        <w:t>-40-</w:t>
      </w:r>
      <w:r>
        <w:t xml:space="preserve"> 80 mg/1</w:t>
      </w:r>
    </w:p>
    <w:p w14:paraId="0FC7A024" w14:textId="77777777" w:rsidR="00E902CA" w:rsidRDefault="00817E1C">
      <w:pPr>
        <w:pStyle w:val="Zkladntext20"/>
        <w:shd w:val="clear" w:color="auto" w:fill="auto"/>
        <w:tabs>
          <w:tab w:val="left" w:pos="3294"/>
        </w:tabs>
        <w:jc w:val="both"/>
      </w:pPr>
      <w:r>
        <w:t>Obsah dusičnanů (NO</w:t>
      </w:r>
      <w:r>
        <w:rPr>
          <w:rStyle w:val="Zkladntext28ptTun"/>
        </w:rPr>
        <w:t>3</w:t>
      </w:r>
      <w:r>
        <w:t>)</w:t>
      </w:r>
      <w:r>
        <w:tab/>
        <w:t>- max. 50 mg/1</w:t>
      </w:r>
    </w:p>
    <w:p w14:paraId="785735B4" w14:textId="77777777" w:rsidR="00E902CA" w:rsidRDefault="00817E1C">
      <w:pPr>
        <w:pStyle w:val="Zkladntext20"/>
        <w:shd w:val="clear" w:color="auto" w:fill="auto"/>
        <w:jc w:val="left"/>
      </w:pPr>
      <w:r>
        <w:t>Po dobu trvání této smlouvy uvedené hodnoty mohou kolísat. Aktuální hodnoty jsou zjistitelné u dodavatele.</w:t>
      </w:r>
    </w:p>
    <w:p w14:paraId="44B4362C" w14:textId="77777777" w:rsidR="00E902CA" w:rsidRDefault="00817E1C">
      <w:pPr>
        <w:pStyle w:val="Zkladntext20"/>
        <w:shd w:val="clear" w:color="auto" w:fill="auto"/>
        <w:jc w:val="left"/>
      </w:pPr>
      <w:r>
        <w:t>Tlakové poměry v místě přípojky - minimální tlak 0,15 MPa, maximální tlak 0,6 MPa (v odůvodněných případech 0,7 MPa)</w:t>
      </w:r>
    </w:p>
    <w:p w14:paraId="508F1285" w14:textId="77777777" w:rsidR="00E902CA" w:rsidRDefault="00817E1C">
      <w:pPr>
        <w:pStyle w:val="Zkladntext20"/>
        <w:shd w:val="clear" w:color="auto" w:fill="auto"/>
        <w:spacing w:after="780"/>
        <w:jc w:val="both"/>
      </w:pPr>
      <w:r>
        <w:t>Profil přípojky: 1“</w:t>
      </w:r>
    </w:p>
    <w:p w14:paraId="1BC65EAC" w14:textId="77777777" w:rsidR="00E902CA" w:rsidRDefault="00817E1C">
      <w:pPr>
        <w:pStyle w:val="Zkladntext20"/>
        <w:shd w:val="clear" w:color="auto" w:fill="auto"/>
        <w:spacing w:after="267"/>
        <w:jc w:val="left"/>
      </w:pPr>
      <w:r>
        <w:t>Odečty měřidel provádí dodavatel dle vlastního harmonogramu. Pokud není odběrné místo nebo vodoměr v době odečtu přístupné, je provozovatel oprávněn stanovit termín náhradního odečtu vodoměru nebo zanechat na odběrném místě zvláštní tiskopis. V tomto případě je odběratel povinen oznámit provozovateli přesný stav vodoměru do 5 dnů ode dne zanechání takového tiskopisu na odběrném místě.</w:t>
      </w:r>
    </w:p>
    <w:p w14:paraId="242AA49C" w14:textId="77777777" w:rsidR="00E902CA" w:rsidRDefault="00817E1C">
      <w:pPr>
        <w:pStyle w:val="Nadpis30"/>
        <w:keepNext/>
        <w:keepLines/>
        <w:shd w:val="clear" w:color="auto" w:fill="auto"/>
        <w:spacing w:before="0" w:after="528" w:line="240" w:lineRule="exact"/>
        <w:ind w:left="4420"/>
      </w:pPr>
      <w:bookmarkStart w:id="9" w:name="bookmark9"/>
      <w:r>
        <w:t>V.</w:t>
      </w:r>
      <w:bookmarkEnd w:id="9"/>
    </w:p>
    <w:p w14:paraId="12F9AA06" w14:textId="77777777" w:rsidR="00E902CA" w:rsidRDefault="00B62EA8" w:rsidP="00B62EA8">
      <w:pPr>
        <w:pStyle w:val="Nadpis30"/>
        <w:keepNext/>
        <w:keepLines/>
        <w:shd w:val="clear" w:color="auto" w:fill="auto"/>
        <w:tabs>
          <w:tab w:val="left" w:pos="3770"/>
        </w:tabs>
        <w:spacing w:before="0" w:after="235" w:line="240" w:lineRule="exact"/>
        <w:jc w:val="both"/>
      </w:pPr>
      <w:bookmarkStart w:id="10" w:name="bookmark10"/>
      <w:r>
        <w:rPr>
          <w:rStyle w:val="Nadpis3Netun"/>
          <w:b/>
        </w:rPr>
        <w:t xml:space="preserve">                                                </w:t>
      </w:r>
      <w:r w:rsidRPr="00B62EA8">
        <w:rPr>
          <w:rStyle w:val="Nadpis3Netun"/>
          <w:b/>
        </w:rPr>
        <w:t>VI.</w:t>
      </w:r>
      <w:r>
        <w:rPr>
          <w:rStyle w:val="Nadpis3Netun"/>
          <w:b/>
        </w:rPr>
        <w:t xml:space="preserve">       </w:t>
      </w:r>
      <w:r w:rsidR="00817E1C" w:rsidRPr="00B62EA8">
        <w:rPr>
          <w:rStyle w:val="Nadpis3Netun"/>
          <w:b/>
        </w:rPr>
        <w:t>Cena</w:t>
      </w:r>
      <w:r w:rsidR="00817E1C">
        <w:rPr>
          <w:rStyle w:val="Nadpis3Netun"/>
        </w:rPr>
        <w:t xml:space="preserve"> </w:t>
      </w:r>
      <w:r w:rsidR="00817E1C">
        <w:t>a platební podmínky</w:t>
      </w:r>
      <w:bookmarkEnd w:id="10"/>
    </w:p>
    <w:p w14:paraId="0EFC683F" w14:textId="77777777" w:rsidR="00E902CA" w:rsidRDefault="00817E1C">
      <w:pPr>
        <w:pStyle w:val="Zkladntext20"/>
        <w:shd w:val="clear" w:color="auto" w:fill="auto"/>
        <w:jc w:val="left"/>
      </w:pPr>
      <w:r>
        <w:t>Cena za dodávku 1 m</w:t>
      </w:r>
      <w:r>
        <w:rPr>
          <w:vertAlign w:val="superscript"/>
        </w:rPr>
        <w:t>3</w:t>
      </w:r>
      <w:r>
        <w:t xml:space="preserve"> pitné vody (vodné) se stanovuje v souladu s příslušnými cenovými předpisy. Sazby vodného a jejich změny jsou pro odběratele k dispozici v sídle Obce Herálec. Změny se oznamují způsobem v místě obvyklým (úřední deska a webové stránky obce: </w:t>
      </w:r>
      <w:hyperlink r:id="rId7" w:history="1">
        <w:r>
          <w:rPr>
            <w:rStyle w:val="Hypertextovodkaz"/>
          </w:rPr>
          <w:t>www.heralec</w:t>
        </w:r>
      </w:hyperlink>
      <w:r>
        <w:t>. cz)</w:t>
      </w:r>
    </w:p>
    <w:p w14:paraId="0437F7FB" w14:textId="77777777" w:rsidR="00E902CA" w:rsidRDefault="00817E1C">
      <w:pPr>
        <w:pStyle w:val="Zkladntext20"/>
        <w:shd w:val="clear" w:color="auto" w:fill="auto"/>
        <w:spacing w:after="507"/>
        <w:jc w:val="both"/>
      </w:pPr>
      <w:r>
        <w:t>Dodavatel bude provádět vyúčtování na základě odečtu spotřeby.</w:t>
      </w:r>
    </w:p>
    <w:p w14:paraId="72310969" w14:textId="77777777" w:rsidR="00E902CA" w:rsidRDefault="00817E1C">
      <w:pPr>
        <w:pStyle w:val="Nadpis30"/>
        <w:keepNext/>
        <w:keepLines/>
        <w:shd w:val="clear" w:color="auto" w:fill="auto"/>
        <w:spacing w:before="0" w:line="240" w:lineRule="exact"/>
        <w:jc w:val="both"/>
      </w:pPr>
      <w:bookmarkStart w:id="11" w:name="bookmark11"/>
      <w:r>
        <w:t>Četnost vyúčtování je stanovena následovně:</w:t>
      </w:r>
      <w:bookmarkEnd w:id="11"/>
    </w:p>
    <w:p w14:paraId="5E42E7F2" w14:textId="77777777" w:rsidR="00E902CA" w:rsidRDefault="00817E1C">
      <w:pPr>
        <w:pStyle w:val="Zkladntext20"/>
        <w:shd w:val="clear" w:color="auto" w:fill="auto"/>
        <w:spacing w:line="240" w:lineRule="exact"/>
        <w:jc w:val="both"/>
      </w:pPr>
      <w:r>
        <w:t>právnické osoby, ostatní nemovitosti.</w:t>
      </w:r>
      <w:r>
        <w:br w:type="page"/>
      </w:r>
    </w:p>
    <w:p w14:paraId="47C910D8" w14:textId="77777777" w:rsidR="00E902CA" w:rsidRDefault="00817E1C">
      <w:pPr>
        <w:pStyle w:val="Zkladntext20"/>
        <w:shd w:val="clear" w:color="auto" w:fill="auto"/>
        <w:spacing w:after="522" w:line="293" w:lineRule="exact"/>
        <w:ind w:left="820" w:right="2900"/>
        <w:jc w:val="left"/>
      </w:pPr>
      <w:r>
        <w:lastRenderedPageBreak/>
        <w:t>1/X ročně 4 x ročně</w:t>
      </w:r>
    </w:p>
    <w:p w14:paraId="079817D2" w14:textId="77777777" w:rsidR="00E902CA" w:rsidRDefault="00817E1C">
      <w:pPr>
        <w:pStyle w:val="Nadpis30"/>
        <w:keepNext/>
        <w:keepLines/>
        <w:shd w:val="clear" w:color="auto" w:fill="auto"/>
        <w:spacing w:before="0" w:after="266" w:line="240" w:lineRule="exact"/>
      </w:pPr>
      <w:bookmarkStart w:id="12" w:name="bookmark12"/>
      <w:r>
        <w:t>Formy platebního režimu:</w:t>
      </w:r>
      <w:bookmarkEnd w:id="12"/>
    </w:p>
    <w:p w14:paraId="70D69599" w14:textId="0C17B5DA" w:rsidR="00E902CA" w:rsidRDefault="00817E1C">
      <w:pPr>
        <w:pStyle w:val="Zkladntext20"/>
        <w:shd w:val="clear" w:color="auto" w:fill="auto"/>
        <w:spacing w:after="207"/>
        <w:ind w:right="560"/>
        <w:jc w:val="left"/>
      </w:pPr>
      <w:r>
        <w:t>Vodné bude dodavatel účtovat odběrateli lx nebo 4 x ročně s tím, že odpočet vody bude prováděn :</w:t>
      </w:r>
    </w:p>
    <w:p w14:paraId="73360544" w14:textId="77777777" w:rsidR="00E902CA" w:rsidRDefault="00817E1C">
      <w:pPr>
        <w:pStyle w:val="Zkladntext20"/>
        <w:shd w:val="clear" w:color="auto" w:fill="auto"/>
        <w:spacing w:line="240" w:lineRule="exact"/>
        <w:ind w:left="1180"/>
        <w:jc w:val="left"/>
      </w:pPr>
      <w:r>
        <w:t>ročně /od 1. - 15.září kalendářního roku/</w:t>
      </w:r>
    </w:p>
    <w:p w14:paraId="7A74F71D" w14:textId="77777777" w:rsidR="00E902CA" w:rsidRDefault="00817E1C">
      <w:pPr>
        <w:pStyle w:val="Zkladntext20"/>
        <w:shd w:val="clear" w:color="auto" w:fill="auto"/>
        <w:spacing w:after="288" w:line="240" w:lineRule="exact"/>
        <w:ind w:left="820"/>
        <w:jc w:val="left"/>
      </w:pPr>
      <w:r>
        <w:t>4 x ročně /do 31.3., 30.6., 30.9.,31.12. kalendářního roku/</w:t>
      </w:r>
    </w:p>
    <w:p w14:paraId="743905A6" w14:textId="77777777" w:rsidR="00E902CA" w:rsidRDefault="00817E1C">
      <w:pPr>
        <w:pStyle w:val="Zkladntext20"/>
        <w:shd w:val="clear" w:color="auto" w:fill="auto"/>
        <w:spacing w:after="251" w:line="240" w:lineRule="exact"/>
        <w:jc w:val="left"/>
      </w:pPr>
      <w:r>
        <w:t>Platby vodného - možné provést platbu :</w:t>
      </w:r>
    </w:p>
    <w:p w14:paraId="4A9AA3B8" w14:textId="77777777" w:rsidR="00B62EA8" w:rsidRDefault="00817E1C">
      <w:pPr>
        <w:pStyle w:val="Nadpis30"/>
        <w:keepNext/>
        <w:keepLines/>
        <w:shd w:val="clear" w:color="auto" w:fill="auto"/>
        <w:spacing w:before="0" w:after="488" w:line="293" w:lineRule="exact"/>
        <w:ind w:left="820" w:right="560" w:hanging="820"/>
      </w:pPr>
      <w:bookmarkStart w:id="13" w:name="bookmark13"/>
      <w:r>
        <w:t xml:space="preserve">převodem z bankovního účtu </w:t>
      </w:r>
    </w:p>
    <w:p w14:paraId="2987B1C5" w14:textId="77777777" w:rsidR="00B62EA8" w:rsidRDefault="00817E1C" w:rsidP="00817E1C">
      <w:pPr>
        <w:pStyle w:val="Nadpis30"/>
        <w:keepNext/>
        <w:keepLines/>
        <w:shd w:val="clear" w:color="auto" w:fill="auto"/>
        <w:spacing w:before="0" w:after="488" w:line="293" w:lineRule="exact"/>
        <w:ind w:left="820" w:right="560" w:hanging="820"/>
      </w:pPr>
      <w:r>
        <w:t>v hotovosti na OÚ Herálec</w:t>
      </w:r>
    </w:p>
    <w:p w14:paraId="55BBA9EF" w14:textId="77777777" w:rsidR="00B62EA8" w:rsidRDefault="00B62EA8">
      <w:pPr>
        <w:pStyle w:val="Nadpis30"/>
        <w:keepNext/>
        <w:keepLines/>
        <w:shd w:val="clear" w:color="auto" w:fill="auto"/>
        <w:spacing w:before="0" w:after="488" w:line="293" w:lineRule="exact"/>
        <w:ind w:left="820" w:right="560" w:hanging="820"/>
      </w:pPr>
    </w:p>
    <w:bookmarkEnd w:id="13"/>
    <w:p w14:paraId="1B7307B9" w14:textId="77777777" w:rsidR="00E902CA" w:rsidRDefault="00334C4C">
      <w:pPr>
        <w:pStyle w:val="Nadpis30"/>
        <w:keepNext/>
        <w:keepLines/>
        <w:shd w:val="clear" w:color="auto" w:fill="auto"/>
        <w:spacing w:before="0" w:line="283" w:lineRule="exact"/>
        <w:jc w:val="right"/>
      </w:pPr>
      <w:r>
        <w:pict w14:anchorId="49F0D89A">
          <v:shape id="_x0000_s1027" type="#_x0000_t202" style="position:absolute;left:0;text-align:left;margin-left:175.2pt;margin-top:-3.1pt;width:167.05pt;height:14.6pt;z-index:-125829375;mso-wrap-distance-left:12.25pt;mso-wrap-distance-right:5pt;mso-wrap-distance-bottom:40.1pt;mso-position-horizontal-relative:margin" filled="f" stroked="f">
            <v:textbox style="mso-fit-shape-to-text:t" inset="0,0,0,0">
              <w:txbxContent>
                <w:p w14:paraId="0D22116B" w14:textId="77777777" w:rsidR="00E902CA" w:rsidRDefault="00817E1C">
                  <w:pPr>
                    <w:pStyle w:val="Zkladntext50"/>
                    <w:shd w:val="clear" w:color="auto" w:fill="auto"/>
                    <w:spacing w:line="240" w:lineRule="exact"/>
                  </w:pPr>
                  <w:r>
                    <w:rPr>
                      <w:rStyle w:val="Zkladntext5Exact"/>
                      <w:b/>
                      <w:bCs/>
                    </w:rPr>
                    <w:t>Ostatní a závěrečná ustanovení</w:t>
                  </w:r>
                </w:p>
              </w:txbxContent>
            </v:textbox>
            <w10:wrap type="square" side="left" anchorx="margin"/>
          </v:shape>
        </w:pict>
      </w:r>
      <w:r>
        <w:pict w14:anchorId="37B26F3A">
          <v:shape id="_x0000_s1028" type="#_x0000_t202" style="position:absolute;left:0;text-align:left;margin-left:246.25pt;margin-top:39.1pt;width:19.7pt;height:14.9pt;z-index:-125829374;mso-wrap-distance-left:83.3pt;mso-wrap-distance-top:41.25pt;mso-wrap-distance-right:76.3pt;mso-position-horizontal-relative:margin" filled="f" stroked="f">
            <v:textbox style="mso-fit-shape-to-text:t" inset="0,0,0,0">
              <w:txbxContent>
                <w:p w14:paraId="60CCA9D3" w14:textId="77777777" w:rsidR="00E902CA" w:rsidRDefault="00E902CA">
                  <w:pPr>
                    <w:pStyle w:val="Zkladntext50"/>
                    <w:shd w:val="clear" w:color="auto" w:fill="auto"/>
                    <w:spacing w:line="240" w:lineRule="exact"/>
                  </w:pPr>
                </w:p>
              </w:txbxContent>
            </v:textbox>
            <w10:wrap type="square" side="left" anchorx="margin"/>
          </v:shape>
        </w:pict>
      </w:r>
    </w:p>
    <w:p w14:paraId="26FC0C24" w14:textId="77777777" w:rsidR="00E902CA" w:rsidRDefault="00817E1C">
      <w:pPr>
        <w:pStyle w:val="Zkladntext50"/>
        <w:shd w:val="clear" w:color="auto" w:fill="auto"/>
        <w:spacing w:after="188" w:line="283" w:lineRule="exact"/>
      </w:pPr>
      <w:r>
        <w:t>Smlouva se uzavírá na dobu: ^Neurčitou s účinností od: Určitou s účinností od:....</w:t>
      </w:r>
    </w:p>
    <w:p w14:paraId="2E6A82F1" w14:textId="77777777" w:rsidR="00E902CA" w:rsidRDefault="00817E1C">
      <w:pPr>
        <w:pStyle w:val="Zkladntext20"/>
        <w:shd w:val="clear" w:color="auto" w:fill="auto"/>
        <w:jc w:val="both"/>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následujícího ustanovení: číslo odběrného místa, zasílací adresa, vyúčtování.</w:t>
      </w:r>
    </w:p>
    <w:p w14:paraId="472E246D" w14:textId="77777777" w:rsidR="00E902CA" w:rsidRDefault="00817E1C">
      <w:pPr>
        <w:pStyle w:val="Zkladntext20"/>
        <w:shd w:val="clear" w:color="auto" w:fill="auto"/>
        <w:jc w:val="both"/>
      </w:pPr>
      <w:r>
        <w:t>Smluvní strany mohou uzavřenou smlouvu vypovědět, pokud se mezi sebou nedohodnou jinak. Dodavatel má však právo smlouvy vypovědět pouze v případech změny vlastníka, resp. Odběratele připojené stavby nebo pozemku bez ohlášení této změny, změny legislativy, která vyvolá nutnost upravit smlouvu nebo při ukončení provozování vodovodu a kanalizace. Výpovědní doba se sjednává v délce 1 měsíc, přičemž výpovědní doba začne plynout prvním dnem měsíce následujícího po doručení výpovědi.</w:t>
      </w:r>
    </w:p>
    <w:p w14:paraId="5038515F" w14:textId="77777777" w:rsidR="00E902CA" w:rsidRDefault="00817E1C">
      <w:pPr>
        <w:pStyle w:val="Zkladntext20"/>
        <w:shd w:val="clear" w:color="auto" w:fill="auto"/>
        <w:jc w:val="both"/>
      </w:pPr>
      <w:r>
        <w:t>Nedílnou součástí smlouvy jsou přílohy „Reklamační řád“ a „Všeobecné podmínky dodávky pitné vody a odvádění odpadních vod“. S těmito přílohami se obě smluvní strany před podpisem smlouvy podrobně seznámily a s nimi souhlasí.</w:t>
      </w:r>
    </w:p>
    <w:p w14:paraId="1B96994F" w14:textId="77777777" w:rsidR="00E902CA" w:rsidRDefault="00817E1C">
      <w:pPr>
        <w:pStyle w:val="Zkladntext20"/>
        <w:shd w:val="clear" w:color="auto" w:fill="auto"/>
        <w:jc w:val="both"/>
      </w:pPr>
      <w:r>
        <w:t>Vztahy mezi dodavatelem a odběratelem, které nejsou výslovně upraveny touto smlouvou, se řídí příslušnými ustanoveními platných předpisů upravujících právní vztahy při dodávce pitné vody a odvádění odpadních vod a občanským zákoníkem.</w:t>
      </w:r>
    </w:p>
    <w:p w14:paraId="7B841F79" w14:textId="77777777" w:rsidR="00E902CA" w:rsidRDefault="00817E1C">
      <w:pPr>
        <w:pStyle w:val="Zkladntext20"/>
        <w:shd w:val="clear" w:color="auto" w:fill="auto"/>
        <w:jc w:val="left"/>
      </w:pPr>
      <w:r>
        <w:t>Smlouva se vypracovává ve dvou vyhotoveních, po jednom pro každou smluvní stranu.</w:t>
      </w:r>
    </w:p>
    <w:p w14:paraId="16B85281" w14:textId="77777777" w:rsidR="00E902CA" w:rsidRDefault="00817E1C" w:rsidP="00B62EA8">
      <w:pPr>
        <w:pStyle w:val="Zkladntext20"/>
        <w:shd w:val="clear" w:color="auto" w:fill="auto"/>
        <w:spacing w:after="143"/>
        <w:jc w:val="left"/>
      </w:pPr>
      <w:r>
        <w:t>Dnem nabytí účinnosti této smlouvy pozbývají účinnosti dřívější smluvní ujednání mezi stranami.</w:t>
      </w:r>
    </w:p>
    <w:p w14:paraId="3841E7EB" w14:textId="77777777" w:rsidR="00E902CA" w:rsidRDefault="00334C4C">
      <w:pPr>
        <w:pStyle w:val="Nadpis20"/>
        <w:keepNext/>
        <w:keepLines/>
        <w:shd w:val="clear" w:color="auto" w:fill="auto"/>
        <w:tabs>
          <w:tab w:val="left" w:pos="7334"/>
        </w:tabs>
        <w:spacing w:before="0" w:line="320" w:lineRule="exact"/>
      </w:pPr>
      <w:r>
        <w:pict w14:anchorId="5361D165">
          <v:shape id="_x0000_s1029" type="#_x0000_t202" style="position:absolute;left:0;text-align:left;margin-left:.05pt;margin-top:24.5pt;width:122.9pt;height:14.85pt;z-index:-125829373;mso-wrap-distance-left:5pt;mso-wrap-distance-right:134.4pt;mso-wrap-distance-bottom:28.1pt;mso-position-horizontal-relative:margin" filled="f" stroked="f">
            <v:textbox style="mso-fit-shape-to-text:t" inset="0,0,0,0">
              <w:txbxContent>
                <w:p w14:paraId="48FF493B" w14:textId="77777777" w:rsidR="00E902CA" w:rsidRDefault="00817E1C">
                  <w:pPr>
                    <w:pStyle w:val="Zkladntext20"/>
                    <w:shd w:val="clear" w:color="auto" w:fill="auto"/>
                    <w:spacing w:line="240" w:lineRule="exact"/>
                    <w:jc w:val="left"/>
                  </w:pPr>
                  <w:r>
                    <w:rPr>
                      <w:rStyle w:val="Zkladntext2Exact"/>
                    </w:rPr>
                    <w:t>V Herálci dne: 2.1.2024</w:t>
                  </w:r>
                </w:p>
              </w:txbxContent>
            </v:textbox>
            <w10:wrap type="topAndBottom" anchorx="margin"/>
          </v:shape>
        </w:pict>
      </w:r>
      <w:r>
        <w:pict w14:anchorId="6AAAFAE9">
          <v:shape id="_x0000_s1030" type="#_x0000_t202" style="position:absolute;left:0;text-align:left;margin-left:257.3pt;margin-top:24.5pt;width:15.85pt;height:14.65pt;z-index:-125829372;mso-wrap-distance-left:5pt;mso-wrap-distance-right:56.15pt;mso-wrap-distance-bottom:27.6pt;mso-position-horizontal-relative:margin" filled="f" stroked="f">
            <v:textbox style="mso-fit-shape-to-text:t" inset="0,0,0,0">
              <w:txbxContent>
                <w:p w14:paraId="6D290F5B" w14:textId="77777777" w:rsidR="00E902CA" w:rsidRDefault="00817E1C">
                  <w:pPr>
                    <w:pStyle w:val="Zkladntext20"/>
                    <w:shd w:val="clear" w:color="auto" w:fill="auto"/>
                    <w:spacing w:line="240" w:lineRule="exact"/>
                    <w:jc w:val="left"/>
                  </w:pPr>
                  <w:r>
                    <w:rPr>
                      <w:rStyle w:val="Zkladntext2Exact"/>
                    </w:rPr>
                    <w:t>V</w:t>
                  </w:r>
                </w:p>
              </w:txbxContent>
            </v:textbox>
            <w10:wrap type="topAndBottom" anchorx="margin"/>
          </v:shape>
        </w:pict>
      </w:r>
      <w:r>
        <w:pict w14:anchorId="3C68BA13">
          <v:shape id="_x0000_s1031" type="#_x0000_t202" style="position:absolute;left:0;text-align:left;margin-left:329.3pt;margin-top:23.5pt;width:26.4pt;height:15.1pt;z-index:-125829371;mso-wrap-distance-left:5pt;mso-wrap-distance-right:107.05pt;mso-wrap-distance-bottom:72.5pt;mso-position-horizontal-relative:margin" filled="f" stroked="f">
            <v:textbox style="mso-fit-shape-to-text:t" inset="0,0,0,0">
              <w:txbxContent>
                <w:p w14:paraId="1A2409AE" w14:textId="77777777" w:rsidR="00E902CA" w:rsidRDefault="00817E1C">
                  <w:pPr>
                    <w:pStyle w:val="Zkladntext20"/>
                    <w:shd w:val="clear" w:color="auto" w:fill="auto"/>
                    <w:spacing w:line="240" w:lineRule="exact"/>
                    <w:jc w:val="left"/>
                  </w:pPr>
                  <w:r>
                    <w:rPr>
                      <w:rStyle w:val="Zkladntext2Exact"/>
                    </w:rPr>
                    <w:t>dne:</w:t>
                  </w:r>
                </w:p>
              </w:txbxContent>
            </v:textbox>
            <w10:wrap type="topAndBottom" anchorx="margin"/>
          </v:shape>
        </w:pict>
      </w:r>
      <w:r>
        <w:pict w14:anchorId="18B7474B">
          <v:shape id="_x0000_s1032" type="#_x0000_t202" style="position:absolute;left:0;text-align:left;margin-left:2.4pt;margin-top:66.5pt;width:54pt;height:14.85pt;z-index:-125829370;mso-wrap-distance-left:5pt;mso-wrap-distance-right:5pt;mso-wrap-distance-bottom:63.45pt;mso-position-horizontal-relative:margin" filled="f" stroked="f">
            <v:textbox style="mso-fit-shape-to-text:t" inset="0,0,0,0">
              <w:txbxContent>
                <w:p w14:paraId="1599222F" w14:textId="77777777" w:rsidR="00E902CA" w:rsidRDefault="00817E1C">
                  <w:pPr>
                    <w:pStyle w:val="Zkladntext20"/>
                    <w:shd w:val="clear" w:color="auto" w:fill="auto"/>
                    <w:spacing w:line="240" w:lineRule="exact"/>
                    <w:jc w:val="left"/>
                  </w:pPr>
                  <w:r>
                    <w:rPr>
                      <w:rStyle w:val="Zkladntext2Exact"/>
                    </w:rPr>
                    <w:t>Dodavatel:</w:t>
                  </w:r>
                </w:p>
              </w:txbxContent>
            </v:textbox>
            <w10:wrap type="topAndBottom" anchorx="margin"/>
          </v:shape>
        </w:pict>
      </w:r>
      <w:r>
        <w:pict w14:anchorId="4A36BA4C">
          <v:shape id="_x0000_s1033" type="#_x0000_t202" style="position:absolute;left:0;text-align:left;margin-left:259.45pt;margin-top:65.75pt;width:52.1pt;height:14.85pt;z-index:-125829369;mso-wrap-distance-left:5pt;mso-wrap-distance-right:151.2pt;mso-wrap-distance-bottom:64.15pt;mso-position-horizontal-relative:margin" filled="f" stroked="f">
            <v:textbox style="mso-fit-shape-to-text:t" inset="0,0,0,0">
              <w:txbxContent>
                <w:p w14:paraId="434A4EB4" w14:textId="77777777" w:rsidR="00E902CA" w:rsidRDefault="00817E1C">
                  <w:pPr>
                    <w:pStyle w:val="Zkladntext20"/>
                    <w:shd w:val="clear" w:color="auto" w:fill="auto"/>
                    <w:spacing w:line="240" w:lineRule="exact"/>
                    <w:jc w:val="left"/>
                  </w:pPr>
                  <w:r>
                    <w:rPr>
                      <w:rStyle w:val="Zkladntext2Exact"/>
                    </w:rPr>
                    <w:t>Odběratel:</w:t>
                  </w:r>
                </w:p>
              </w:txbxContent>
            </v:textbox>
            <w10:wrap type="topAndBottom" anchorx="margin"/>
          </v:shape>
        </w:pict>
      </w:r>
      <w:r>
        <w:pict w14:anchorId="3095DC56">
          <v:shape id="_x0000_s1034" type="#_x0000_t202" style="position:absolute;left:0;text-align:left;margin-left:348.95pt;margin-top:109.8pt;width:4.8pt;height:18.9pt;z-index:-125829368;mso-wrap-distance-left:5pt;mso-wrap-distance-right:108.95pt;mso-wrap-distance-bottom:16.1pt;mso-position-horizontal-relative:margin" filled="f" stroked="f">
            <v:textbox style="mso-fit-shape-to-text:t" inset="0,0,0,0">
              <w:txbxContent>
                <w:p w14:paraId="42542A8F" w14:textId="77777777" w:rsidR="00E902CA" w:rsidRDefault="00817E1C">
                  <w:pPr>
                    <w:pStyle w:val="Zkladntext10"/>
                    <w:shd w:val="clear" w:color="auto" w:fill="auto"/>
                    <w:spacing w:line="320" w:lineRule="exact"/>
                  </w:pPr>
                  <w:r>
                    <w:rPr>
                      <w:rStyle w:val="Zkladntext10Exact0"/>
                      <w:b/>
                      <w:bCs/>
                      <w:i/>
                      <w:iCs/>
                    </w:rPr>
                    <w:t>f</w:t>
                  </w:r>
                </w:p>
              </w:txbxContent>
            </v:textbox>
            <w10:wrap type="topAndBottom" anchorx="margin"/>
          </v:shape>
        </w:pict>
      </w:r>
      <w:bookmarkStart w:id="14" w:name="bookmark15"/>
      <w:r w:rsidR="00817E1C">
        <w:tab/>
      </w:r>
      <w:r w:rsidR="00817E1C">
        <w:rPr>
          <w:rStyle w:val="Nadpis2Calibri16ptTunMtko60"/>
        </w:rPr>
        <w:t>1</w:t>
      </w:r>
      <w:r w:rsidR="00817E1C">
        <w:t xml:space="preserve"> </w:t>
      </w:r>
      <w:r w:rsidR="00817E1C">
        <w:rPr>
          <w:rStyle w:val="Nadpis2Calibri16ptTunMtko60"/>
        </w:rPr>
        <w:t>6</w:t>
      </w:r>
      <w:r w:rsidR="00817E1C">
        <w:t>.</w:t>
      </w:r>
      <w:r w:rsidR="00817E1C">
        <w:rPr>
          <w:rStyle w:val="Nadpis2Calibri16ptTunMtko60"/>
        </w:rPr>
        <w:t>05</w:t>
      </w:r>
      <w:r w:rsidR="00817E1C">
        <w:t xml:space="preserve">. </w:t>
      </w:r>
      <w:r w:rsidR="00817E1C">
        <w:rPr>
          <w:rStyle w:val="Nadpis2Calibri16ptTunMtko60"/>
        </w:rPr>
        <w:t>2024</w:t>
      </w:r>
      <w:bookmarkEnd w:id="14"/>
      <w:r w:rsidR="00817E1C">
        <w:br w:type="page"/>
      </w:r>
    </w:p>
    <w:p w14:paraId="536B0008" w14:textId="77777777" w:rsidR="00E902CA" w:rsidRDefault="00817E1C">
      <w:pPr>
        <w:pStyle w:val="Zkladntext120"/>
        <w:shd w:val="clear" w:color="auto" w:fill="auto"/>
        <w:spacing w:before="0" w:line="280" w:lineRule="exact"/>
        <w:ind w:left="340"/>
        <w:rPr>
          <w:b w:val="0"/>
        </w:rPr>
      </w:pPr>
      <w:r>
        <w:rPr>
          <w:b w:val="0"/>
        </w:rPr>
        <w:lastRenderedPageBreak/>
        <w:t>Odběr vody byl řešen objednávkou na každý rok.</w:t>
      </w:r>
    </w:p>
    <w:p w14:paraId="4AED0EB1" w14:textId="77777777" w:rsidR="00817E1C" w:rsidRDefault="00817E1C">
      <w:pPr>
        <w:pStyle w:val="Zkladntext120"/>
        <w:shd w:val="clear" w:color="auto" w:fill="auto"/>
        <w:spacing w:before="0" w:line="280" w:lineRule="exact"/>
        <w:ind w:left="340"/>
        <w:rPr>
          <w:b w:val="0"/>
        </w:rPr>
      </w:pPr>
    </w:p>
    <w:p w14:paraId="035989B3" w14:textId="77777777" w:rsidR="00817E1C" w:rsidRPr="00817E1C" w:rsidRDefault="00817E1C">
      <w:pPr>
        <w:pStyle w:val="Zkladntext120"/>
        <w:shd w:val="clear" w:color="auto" w:fill="auto"/>
        <w:spacing w:before="0" w:line="280" w:lineRule="exact"/>
        <w:ind w:left="340"/>
        <w:rPr>
          <w:b w:val="0"/>
        </w:rPr>
      </w:pPr>
      <w:r>
        <w:rPr>
          <w:b w:val="0"/>
        </w:rPr>
        <w:t>Tecl Stanislav – starosta obce</w:t>
      </w:r>
    </w:p>
    <w:sectPr w:rsidR="00817E1C" w:rsidRPr="00817E1C">
      <w:pgSz w:w="11900" w:h="16840"/>
      <w:pgMar w:top="574" w:right="1422" w:bottom="1865" w:left="12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14032" w14:textId="77777777" w:rsidR="00C73A0D" w:rsidRDefault="00817E1C">
      <w:r>
        <w:separator/>
      </w:r>
    </w:p>
  </w:endnote>
  <w:endnote w:type="continuationSeparator" w:id="0">
    <w:p w14:paraId="22DF03C1" w14:textId="77777777" w:rsidR="00C73A0D" w:rsidRDefault="008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87A5D" w14:textId="77777777" w:rsidR="00E902CA" w:rsidRDefault="00E902CA"/>
  </w:footnote>
  <w:footnote w:type="continuationSeparator" w:id="0">
    <w:p w14:paraId="750AB26F" w14:textId="77777777" w:rsidR="00E902CA" w:rsidRDefault="00E90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560A"/>
    <w:multiLevelType w:val="multilevel"/>
    <w:tmpl w:val="1B4ED9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873005"/>
    <w:multiLevelType w:val="multilevel"/>
    <w:tmpl w:val="D5CA495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1223252">
    <w:abstractNumId w:val="0"/>
  </w:num>
  <w:num w:numId="2" w16cid:durableId="28561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902CA"/>
    <w:rsid w:val="00334C4C"/>
    <w:rsid w:val="00817E1C"/>
    <w:rsid w:val="00B62EA8"/>
    <w:rsid w:val="00B96FEA"/>
    <w:rsid w:val="00C73A0D"/>
    <w:rsid w:val="00E90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D33F536"/>
  <w15:docId w15:val="{8C196F7C-D87D-4D34-8E81-3BDB82B6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u w:val="none"/>
    </w:rPr>
  </w:style>
  <w:style w:type="character" w:customStyle="1" w:styleId="Zkladntext10Exact">
    <w:name w:val="Základní text (10) Exact"/>
    <w:basedOn w:val="Standardnpsmoodstavce"/>
    <w:link w:val="Zkladntext10"/>
    <w:rPr>
      <w:rFonts w:ascii="Garamond" w:eastAsia="Garamond" w:hAnsi="Garamond" w:cs="Garamond"/>
      <w:b/>
      <w:bCs/>
      <w:i/>
      <w:iCs/>
      <w:smallCaps w:val="0"/>
      <w:strike w:val="0"/>
      <w:w w:val="33"/>
      <w:sz w:val="32"/>
      <w:szCs w:val="32"/>
      <w:u w:val="none"/>
    </w:rPr>
  </w:style>
  <w:style w:type="character" w:customStyle="1" w:styleId="Zkladntext10Exact0">
    <w:name w:val="Základní text (10) Exact"/>
    <w:basedOn w:val="Zkladntext10Exact"/>
    <w:rPr>
      <w:rFonts w:ascii="Garamond" w:eastAsia="Garamond" w:hAnsi="Garamond" w:cs="Garamond"/>
      <w:b/>
      <w:bCs/>
      <w:i/>
      <w:iCs/>
      <w:smallCaps w:val="0"/>
      <w:strike w:val="0"/>
      <w:color w:val="000000"/>
      <w:spacing w:val="0"/>
      <w:w w:val="33"/>
      <w:position w:val="0"/>
      <w:sz w:val="32"/>
      <w:szCs w:val="3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4"/>
      <w:szCs w:val="44"/>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cs-CZ" w:eastAsia="cs-CZ" w:bidi="cs-CZ"/>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19"/>
      <w:szCs w:val="19"/>
      <w:u w:val="none"/>
    </w:rPr>
  </w:style>
  <w:style w:type="character" w:customStyle="1" w:styleId="Nadpis2Calibri16ptTunMtko60">
    <w:name w:val="Nadpis #2 + Calibri;16 pt;Tučné;Měřítko 60%"/>
    <w:basedOn w:val="Nadpis2"/>
    <w:rPr>
      <w:rFonts w:ascii="Calibri" w:eastAsia="Calibri" w:hAnsi="Calibri" w:cs="Calibri"/>
      <w:b/>
      <w:bCs/>
      <w:i w:val="0"/>
      <w:iCs w:val="0"/>
      <w:smallCaps w:val="0"/>
      <w:strike w:val="0"/>
      <w:color w:val="000000"/>
      <w:spacing w:val="0"/>
      <w:w w:val="60"/>
      <w:position w:val="0"/>
      <w:sz w:val="32"/>
      <w:szCs w:val="3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pacing w:val="0"/>
      <w:sz w:val="26"/>
      <w:szCs w:val="26"/>
      <w:u w:val="none"/>
    </w:rPr>
  </w:style>
  <w:style w:type="character" w:customStyle="1" w:styleId="Zkladntext11CalibriKurzvadkovn-1pt">
    <w:name w:val="Základní text (11) + Calibri;Kurzíva;Řádkování -1 pt"/>
    <w:basedOn w:val="Zkladntext11"/>
    <w:rPr>
      <w:rFonts w:ascii="Calibri" w:eastAsia="Calibri" w:hAnsi="Calibri" w:cs="Calibri"/>
      <w:b/>
      <w:bCs/>
      <w:i/>
      <w:iCs/>
      <w:smallCaps w:val="0"/>
      <w:strike w:val="0"/>
      <w:color w:val="000000"/>
      <w:spacing w:val="-30"/>
      <w:w w:val="100"/>
      <w:position w:val="0"/>
      <w:sz w:val="26"/>
      <w:szCs w:val="26"/>
      <w:u w:val="none"/>
      <w:lang w:val="cs-CZ" w:eastAsia="cs-CZ" w:bidi="cs-CZ"/>
    </w:rPr>
  </w:style>
  <w:style w:type="character" w:customStyle="1" w:styleId="Zkladntext111">
    <w:name w:val="Základní text (11)"/>
    <w:basedOn w:val="Zkladntext11"/>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iCs/>
      <w:smallCaps w:val="0"/>
      <w:strike w:val="0"/>
      <w:spacing w:val="-20"/>
      <w:sz w:val="28"/>
      <w:szCs w:val="28"/>
      <w:u w:val="none"/>
    </w:rPr>
  </w:style>
  <w:style w:type="character" w:customStyle="1" w:styleId="Zkladntext121">
    <w:name w:val="Základní text (12)"/>
    <w:basedOn w:val="Zkladntext12"/>
    <w:rPr>
      <w:rFonts w:ascii="Times New Roman" w:eastAsia="Times New Roman" w:hAnsi="Times New Roman" w:cs="Times New Roman"/>
      <w:b/>
      <w:bCs/>
      <w:i/>
      <w:iCs/>
      <w:smallCaps w:val="0"/>
      <w:strike w:val="0"/>
      <w:color w:val="000000"/>
      <w:spacing w:val="-20"/>
      <w:w w:val="100"/>
      <w:position w:val="0"/>
      <w:sz w:val="28"/>
      <w:szCs w:val="28"/>
      <w:u w:val="none"/>
      <w:lang w:val="cs-CZ" w:eastAsia="cs-CZ" w:bidi="cs-CZ"/>
    </w:rPr>
  </w:style>
  <w:style w:type="character" w:customStyle="1" w:styleId="Zkladntext12Garamond45ptNetunNekurzvadkovn0pt">
    <w:name w:val="Základní text (12) + Garamond;4;5 pt;Ne tučné;Ne kurzíva;Řádkování 0 pt"/>
    <w:basedOn w:val="Zkladntext12"/>
    <w:rPr>
      <w:rFonts w:ascii="Garamond" w:eastAsia="Garamond" w:hAnsi="Garamond" w:cs="Garamond"/>
      <w:b/>
      <w:bCs/>
      <w:i/>
      <w:iCs/>
      <w:smallCaps w:val="0"/>
      <w:strike w:val="0"/>
      <w:color w:val="000000"/>
      <w:spacing w:val="0"/>
      <w:w w:val="100"/>
      <w:position w:val="0"/>
      <w:sz w:val="9"/>
      <w:szCs w:val="9"/>
      <w:u w:val="none"/>
      <w:lang w:val="cs-CZ" w:eastAsia="cs-CZ" w:bidi="cs-CZ"/>
    </w:rPr>
  </w:style>
  <w:style w:type="character" w:customStyle="1" w:styleId="Zkladntext12dkovn1pt">
    <w:name w:val="Základní text (12) + Řádkování 1 pt"/>
    <w:basedOn w:val="Zkladntext12"/>
    <w:rPr>
      <w:rFonts w:ascii="Times New Roman" w:eastAsia="Times New Roman" w:hAnsi="Times New Roman" w:cs="Times New Roman"/>
      <w:b/>
      <w:bCs/>
      <w:i/>
      <w:iCs/>
      <w:smallCaps w:val="0"/>
      <w:strike w:val="0"/>
      <w:color w:val="000000"/>
      <w:spacing w:val="20"/>
      <w:w w:val="100"/>
      <w:position w:val="0"/>
      <w:sz w:val="28"/>
      <w:szCs w:val="28"/>
      <w:u w:val="none"/>
      <w:lang w:val="cs-CZ" w:eastAsia="cs-CZ" w:bidi="cs-CZ"/>
    </w:rPr>
  </w:style>
  <w:style w:type="paragraph" w:customStyle="1" w:styleId="Zkladntext50">
    <w:name w:val="Základní text (5)"/>
    <w:basedOn w:val="Normln"/>
    <w:link w:val="Zkladntext5"/>
    <w:pPr>
      <w:shd w:val="clear" w:color="auto" w:fill="FFFFFF"/>
      <w:spacing w:line="274" w:lineRule="exac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jc w:val="center"/>
    </w:pPr>
    <w:rPr>
      <w:rFonts w:ascii="Times New Roman" w:eastAsia="Times New Roman" w:hAnsi="Times New Roman" w:cs="Times New Roman"/>
    </w:rPr>
  </w:style>
  <w:style w:type="paragraph" w:customStyle="1" w:styleId="Zkladntext10">
    <w:name w:val="Základní text (10)"/>
    <w:basedOn w:val="Normln"/>
    <w:link w:val="Zkladntext10Exact"/>
    <w:pPr>
      <w:shd w:val="clear" w:color="auto" w:fill="FFFFFF"/>
      <w:spacing w:line="0" w:lineRule="atLeast"/>
    </w:pPr>
    <w:rPr>
      <w:rFonts w:ascii="Garamond" w:eastAsia="Garamond" w:hAnsi="Garamond" w:cs="Garamond"/>
      <w:b/>
      <w:bCs/>
      <w:i/>
      <w:iCs/>
      <w:w w:val="33"/>
      <w:sz w:val="32"/>
      <w:szCs w:val="32"/>
    </w:rPr>
  </w:style>
  <w:style w:type="paragraph" w:customStyle="1" w:styleId="Zkladntext30">
    <w:name w:val="Základní text (3)"/>
    <w:basedOn w:val="Normln"/>
    <w:link w:val="Zkladntext3"/>
    <w:pPr>
      <w:shd w:val="clear" w:color="auto" w:fill="FFFFFF"/>
      <w:spacing w:after="180" w:line="202" w:lineRule="exact"/>
    </w:pPr>
    <w:rPr>
      <w:rFonts w:ascii="Calibri" w:eastAsia="Calibri" w:hAnsi="Calibri" w:cs="Calibri"/>
      <w:sz w:val="16"/>
      <w:szCs w:val="16"/>
    </w:rPr>
  </w:style>
  <w:style w:type="paragraph" w:customStyle="1" w:styleId="Zkladntext40">
    <w:name w:val="Základní text (4)"/>
    <w:basedOn w:val="Normln"/>
    <w:link w:val="Zkladntext4"/>
    <w:pPr>
      <w:shd w:val="clear" w:color="auto" w:fill="FFFFFF"/>
      <w:spacing w:before="180" w:after="180" w:line="0" w:lineRule="atLeast"/>
    </w:pPr>
    <w:rPr>
      <w:rFonts w:ascii="Calibri" w:eastAsia="Calibri" w:hAnsi="Calibri" w:cs="Calibri"/>
      <w:sz w:val="16"/>
      <w:szCs w:val="16"/>
    </w:rPr>
  </w:style>
  <w:style w:type="paragraph" w:customStyle="1" w:styleId="Nadpis10">
    <w:name w:val="Nadpis #1"/>
    <w:basedOn w:val="Normln"/>
    <w:link w:val="Nadpis1"/>
    <w:pPr>
      <w:shd w:val="clear" w:color="auto" w:fill="FFFFFF"/>
      <w:spacing w:before="180" w:after="360" w:line="0" w:lineRule="atLeast"/>
      <w:outlineLvl w:val="0"/>
    </w:pPr>
    <w:rPr>
      <w:rFonts w:ascii="Times New Roman" w:eastAsia="Times New Roman" w:hAnsi="Times New Roman" w:cs="Times New Roman"/>
      <w:b/>
      <w:bCs/>
      <w:sz w:val="44"/>
      <w:szCs w:val="44"/>
    </w:rPr>
  </w:style>
  <w:style w:type="paragraph" w:customStyle="1" w:styleId="Nadpis30">
    <w:name w:val="Nadpis #3"/>
    <w:basedOn w:val="Normln"/>
    <w:link w:val="Nadpis3"/>
    <w:pPr>
      <w:shd w:val="clear" w:color="auto" w:fill="FFFFFF"/>
      <w:spacing w:before="360" w:line="274" w:lineRule="exact"/>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180" w:line="0" w:lineRule="atLeast"/>
      <w:jc w:val="both"/>
      <w:outlineLvl w:val="1"/>
    </w:pPr>
    <w:rPr>
      <w:rFonts w:ascii="Times New Roman" w:eastAsia="Times New Roman" w:hAnsi="Times New Roman" w:cs="Times New Roman"/>
      <w:sz w:val="19"/>
      <w:szCs w:val="19"/>
    </w:rPr>
  </w:style>
  <w:style w:type="paragraph" w:customStyle="1" w:styleId="Zkladntext110">
    <w:name w:val="Základní text (11)"/>
    <w:basedOn w:val="Normln"/>
    <w:link w:val="Zkladntext11"/>
    <w:pPr>
      <w:shd w:val="clear" w:color="auto" w:fill="FFFFFF"/>
      <w:spacing w:after="300" w:line="0" w:lineRule="atLeast"/>
      <w:jc w:val="both"/>
    </w:pPr>
    <w:rPr>
      <w:rFonts w:ascii="Times New Roman" w:eastAsia="Times New Roman" w:hAnsi="Times New Roman" w:cs="Times New Roman"/>
      <w:b/>
      <w:bCs/>
      <w:sz w:val="26"/>
      <w:szCs w:val="26"/>
    </w:rPr>
  </w:style>
  <w:style w:type="paragraph" w:customStyle="1" w:styleId="Zkladntext120">
    <w:name w:val="Základní text (12)"/>
    <w:basedOn w:val="Normln"/>
    <w:link w:val="Zkladntext12"/>
    <w:pPr>
      <w:shd w:val="clear" w:color="auto" w:fill="FFFFFF"/>
      <w:spacing w:before="300" w:line="0" w:lineRule="atLeast"/>
    </w:pPr>
    <w:rPr>
      <w:rFonts w:ascii="Times New Roman" w:eastAsia="Times New Roman" w:hAnsi="Times New Roman" w:cs="Times New Roman"/>
      <w:b/>
      <w:bCs/>
      <w:i/>
      <w:iC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ral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790</Words>
  <Characters>4666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2024-05-16T07:56:00Z</dcterms:created>
  <dcterms:modified xsi:type="dcterms:W3CDTF">2024-05-16T08:32:00Z</dcterms:modified>
</cp:coreProperties>
</file>