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285C8612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DE0428">
        <w:rPr>
          <w:rFonts w:ascii="Palatino Linotype" w:hAnsi="Palatino Linotype" w:cs="Tahoma"/>
          <w:b/>
          <w:sz w:val="28"/>
          <w:szCs w:val="28"/>
          <w:lang w:eastAsia="cs-CZ"/>
        </w:rPr>
        <w:t>4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DE0428" w:rsidRPr="00DE0428">
        <w:rPr>
          <w:rFonts w:ascii="Palatino Linotype" w:hAnsi="Palatino Linotype" w:cs="Tahoma"/>
          <w:b/>
          <w:sz w:val="28"/>
          <w:szCs w:val="28"/>
          <w:lang w:eastAsia="cs-CZ"/>
        </w:rPr>
        <w:t>02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49CA3F66" w14:textId="5BCB9D4F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>ve znění pozdějších předpisů (dále jen „</w:t>
      </w:r>
      <w:r w:rsidR="001118FF" w:rsidRPr="007876A8">
        <w:rPr>
          <w:i/>
          <w:iCs/>
        </w:rPr>
        <w:t>ZZVZ</w:t>
      </w:r>
      <w:r w:rsidR="001118FF" w:rsidRPr="00C87458">
        <w:t>“)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uzavřené</w:t>
      </w:r>
      <w:r w:rsidRPr="00D55C9F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473214A5" w14:textId="77777777" w:rsidR="00DE0428" w:rsidRPr="00DE0428" w:rsidRDefault="00DE0428" w:rsidP="00DE0428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E0428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KSI a WAN MPSV – KONSOLIDACE KOMUNIKAČNÍ INFRASTRUKTURY DC</w:t>
      </w:r>
    </w:p>
    <w:p w14:paraId="6FC94BBF" w14:textId="674EEB1C" w:rsidR="0031510F" w:rsidRPr="00DE0428" w:rsidRDefault="00DE0428" w:rsidP="00DE0428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DE0428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186BDEE4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D529815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1C1B3767" w14:textId="724961FB" w:rsidR="00E86C8A" w:rsidRPr="00DE0428" w:rsidRDefault="00DE0428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DE0428">
        <w:rPr>
          <w:rFonts w:ascii="Palatino Linotype" w:hAnsi="Palatino Linotype"/>
          <w:b/>
          <w:bCs/>
          <w:color w:val="000000"/>
          <w:szCs w:val="24"/>
        </w:rPr>
        <w:t>Konsolidace DC – Fáze 2</w:t>
      </w:r>
    </w:p>
    <w:p w14:paraId="5B293665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49B3BA83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DE0428">
        <w:rPr>
          <w:rFonts w:ascii="Palatino Linotype" w:hAnsi="Palatino Linotype" w:cs="Tahoma"/>
          <w:b/>
          <w:sz w:val="22"/>
          <w:szCs w:val="28"/>
          <w:lang w:eastAsia="cs-CZ"/>
        </w:rPr>
        <w:t>4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DE0428" w:rsidRPr="00DE0428">
        <w:rPr>
          <w:rFonts w:ascii="Palatino Linotype" w:hAnsi="Palatino Linotype" w:cs="Tahoma"/>
          <w:b/>
          <w:sz w:val="22"/>
          <w:szCs w:val="28"/>
          <w:lang w:eastAsia="cs-CZ"/>
        </w:rPr>
        <w:t>02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67FF35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09E86F8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0045DA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1342D64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00BBA15A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717B3694" w14:textId="392999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0BF144AC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42B12A2F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7777777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7B1966F" w14:textId="77777777" w:rsidR="000E71EF" w:rsidRPr="000E71EF" w:rsidRDefault="000E71EF" w:rsidP="000E71EF">
      <w:pPr>
        <w:rPr>
          <w:lang w:val="x-none" w:eastAsia="x-none"/>
        </w:rPr>
      </w:pPr>
    </w:p>
    <w:p w14:paraId="52E508C6" w14:textId="00775D4B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DE0428">
        <w:rPr>
          <w:rFonts w:ascii="Palatino Linotype" w:hAnsi="Palatino Linotype" w:cs="Arial"/>
          <w:sz w:val="22"/>
          <w:szCs w:val="22"/>
        </w:rPr>
        <w:t>4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DE0428" w:rsidRPr="00DE0428">
        <w:rPr>
          <w:rFonts w:ascii="Palatino Linotype" w:hAnsi="Palatino Linotype" w:cs="Arial"/>
          <w:sz w:val="22"/>
          <w:szCs w:val="22"/>
        </w:rPr>
        <w:t>02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6F46A28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44AF7E04" w14:textId="77777777" w:rsidR="000E71EF" w:rsidRPr="000E71EF" w:rsidRDefault="000E71EF" w:rsidP="000E71EF">
      <w:pPr>
        <w:rPr>
          <w:lang w:val="x-none" w:eastAsia="x-none"/>
        </w:rPr>
      </w:pP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71D6AC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C25506B" w14:textId="77777777" w:rsidR="000E71EF" w:rsidRPr="000E71EF" w:rsidRDefault="000E71EF" w:rsidP="000E71EF">
      <w:pPr>
        <w:rPr>
          <w:lang w:val="x-none" w:eastAsia="x-none"/>
        </w:rPr>
      </w:pPr>
    </w:p>
    <w:p w14:paraId="5E8AD749" w14:textId="26FE7A4F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0F71F120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13C17CB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lastRenderedPageBreak/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24353E23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19BCA7BE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2CD3067B" w14:textId="77777777" w:rsidR="000E71EF" w:rsidRPr="00640346" w:rsidRDefault="000E71EF" w:rsidP="000E71EF">
      <w:pPr>
        <w:rPr>
          <w:lang w:val="x-none" w:eastAsia="x-none"/>
        </w:rPr>
      </w:pPr>
    </w:p>
    <w:p w14:paraId="36AC6F08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2C6E7F1" w14:textId="77777777" w:rsidR="000A294F" w:rsidRPr="00DA172E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F31F46A" w14:textId="77777777" w:rsidR="000E71EF" w:rsidRPr="000E71EF" w:rsidRDefault="000E71EF" w:rsidP="000E71EF">
      <w:pPr>
        <w:rPr>
          <w:lang w:val="x-none" w:eastAsia="x-none"/>
        </w:rPr>
      </w:pPr>
    </w:p>
    <w:p w14:paraId="6A7A6BE2" w14:textId="6F5FEB9A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 xml:space="preserve">nejpozději </w:t>
      </w:r>
      <w:r w:rsidRPr="00DE0428">
        <w:rPr>
          <w:rFonts w:ascii="Palatino Linotype" w:hAnsi="Palatino Linotype" w:cs="Arial"/>
          <w:sz w:val="22"/>
          <w:szCs w:val="22"/>
        </w:rPr>
        <w:t>do</w:t>
      </w:r>
      <w:r w:rsidR="00A25B89" w:rsidRPr="00DE0428">
        <w:rPr>
          <w:rFonts w:ascii="Palatino Linotype" w:hAnsi="Palatino Linotype" w:cs="Arial"/>
          <w:sz w:val="22"/>
          <w:szCs w:val="22"/>
        </w:rPr>
        <w:t xml:space="preserve"> </w:t>
      </w:r>
      <w:r w:rsidR="00DE0428" w:rsidRPr="00DE0428">
        <w:rPr>
          <w:rFonts w:ascii="Palatino Linotype" w:hAnsi="Palatino Linotype" w:cs="Arial"/>
          <w:sz w:val="22"/>
          <w:szCs w:val="22"/>
        </w:rPr>
        <w:t>16</w:t>
      </w:r>
      <w:r w:rsidR="00A25B89" w:rsidRPr="00DE0428">
        <w:rPr>
          <w:rFonts w:ascii="Palatino Linotype" w:hAnsi="Palatino Linotype" w:cs="Arial"/>
          <w:sz w:val="22"/>
          <w:szCs w:val="22"/>
        </w:rPr>
        <w:t>.</w:t>
      </w:r>
      <w:r w:rsidR="001118FF" w:rsidRPr="00DE0428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DE0428">
        <w:rPr>
          <w:rFonts w:ascii="Palatino Linotype" w:hAnsi="Palatino Linotype" w:cs="Arial"/>
          <w:sz w:val="22"/>
          <w:szCs w:val="22"/>
        </w:rPr>
        <w:t>12.</w:t>
      </w:r>
      <w:r w:rsidR="001118FF" w:rsidRPr="00DE0428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DE0428">
        <w:rPr>
          <w:rFonts w:ascii="Palatino Linotype" w:hAnsi="Palatino Linotype" w:cs="Arial"/>
          <w:sz w:val="22"/>
          <w:szCs w:val="22"/>
        </w:rPr>
        <w:t>202</w:t>
      </w:r>
      <w:r w:rsidR="00475BFE">
        <w:rPr>
          <w:rFonts w:ascii="Palatino Linotype" w:hAnsi="Palatino Linotype" w:cs="Arial"/>
          <w:sz w:val="22"/>
          <w:szCs w:val="22"/>
        </w:rPr>
        <w:t>4</w:t>
      </w:r>
      <w:r w:rsidR="0015799C" w:rsidRPr="00DE0428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05604E76" w14:textId="77777777" w:rsidR="000A294F" w:rsidRDefault="000A294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790B9A5B" w14:textId="77777777" w:rsidR="000E71EF" w:rsidRPr="000E71EF" w:rsidRDefault="000E71EF" w:rsidP="000E71EF">
      <w:pPr>
        <w:rPr>
          <w:lang w:val="x-none" w:eastAsia="x-none"/>
        </w:rPr>
      </w:pPr>
    </w:p>
    <w:p w14:paraId="4D2D9BA1" w14:textId="70375F28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</w:t>
      </w:r>
      <w:r w:rsidR="002E2D94">
        <w:rPr>
          <w:rFonts w:ascii="Palatino Linotype" w:hAnsi="Palatino Linotype" w:cs="Arial"/>
          <w:sz w:val="22"/>
          <w:szCs w:val="22"/>
        </w:rPr>
        <w:br/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9B85204" w14:textId="0F998E34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DE0428">
        <w:rPr>
          <w:rFonts w:ascii="Palatino Linotype" w:hAnsi="Palatino Linotype" w:cs="Arial"/>
          <w:sz w:val="22"/>
          <w:szCs w:val="22"/>
        </w:rPr>
        <w:t xml:space="preserve">výši </w:t>
      </w:r>
      <w:r w:rsidR="00DE0428" w:rsidRPr="00DE0428">
        <w:rPr>
          <w:rFonts w:ascii="Palatino Linotype" w:hAnsi="Palatino Linotype" w:cs="Arial"/>
          <w:sz w:val="22"/>
          <w:szCs w:val="22"/>
        </w:rPr>
        <w:t>13.914.770</w:t>
      </w:r>
      <w:r w:rsidR="000E71EF" w:rsidRPr="00DE0428">
        <w:rPr>
          <w:rFonts w:ascii="Palatino Linotype" w:hAnsi="Palatino Linotype" w:cs="Arial"/>
          <w:sz w:val="22"/>
          <w:szCs w:val="22"/>
        </w:rPr>
        <w:t>,-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 xml:space="preserve">Kč (slovy: </w:t>
      </w:r>
      <w:r w:rsidR="00DE0428" w:rsidRPr="00DE0428">
        <w:rPr>
          <w:rFonts w:ascii="Palatino Linotype" w:hAnsi="Palatino Linotype" w:cs="Arial"/>
          <w:sz w:val="22"/>
          <w:szCs w:val="22"/>
        </w:rPr>
        <w:t>třináct milionů devět set čtrnáct tisíc sedm set sedmdesát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4A6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DE0428" w:rsidRPr="00DE0428">
        <w:rPr>
          <w:rFonts w:ascii="Palatino Linotype" w:hAnsi="Palatino Linotype" w:cs="Arial"/>
          <w:sz w:val="22"/>
          <w:szCs w:val="22"/>
        </w:rPr>
        <w:t>16.836.871</w:t>
      </w:r>
      <w:r w:rsidR="009E7028" w:rsidRPr="002A64A6">
        <w:rPr>
          <w:rFonts w:ascii="Palatino Linotype" w:hAnsi="Palatino Linotype" w:cs="Arial"/>
          <w:spacing w:val="-15"/>
          <w:sz w:val="22"/>
          <w:szCs w:val="22"/>
        </w:rPr>
        <w:t>,</w:t>
      </w:r>
      <w:r w:rsidR="00DE0428" w:rsidRPr="002A64A6">
        <w:rPr>
          <w:rFonts w:ascii="Palatino Linotype" w:hAnsi="Palatino Linotype" w:cs="Arial"/>
          <w:spacing w:val="-15"/>
          <w:sz w:val="22"/>
          <w:szCs w:val="22"/>
        </w:rPr>
        <w:t>7</w:t>
      </w:r>
      <w:r w:rsidR="00A25B89" w:rsidRPr="002A64A6">
        <w:rPr>
          <w:rFonts w:ascii="Palatino Linotype" w:hAnsi="Palatino Linotype" w:cs="Arial"/>
          <w:spacing w:val="-15"/>
          <w:sz w:val="22"/>
          <w:szCs w:val="22"/>
        </w:rPr>
        <w:t>0</w:t>
      </w:r>
      <w:r w:rsidR="001118FF" w:rsidRPr="002A64A6">
        <w:rPr>
          <w:rFonts w:ascii="Palatino Linotype" w:hAnsi="Palatino Linotype" w:cs="Arial"/>
          <w:spacing w:val="-15"/>
          <w:sz w:val="22"/>
          <w:szCs w:val="22"/>
        </w:rPr>
        <w:t>,-</w:t>
      </w:r>
      <w:r w:rsidR="00A25B89" w:rsidRPr="002A64A6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0C3958" w:rsidRPr="002A64A6">
        <w:rPr>
          <w:rFonts w:ascii="Palatino Linotype" w:hAnsi="Palatino Linotype" w:cs="Arial"/>
          <w:spacing w:val="-15"/>
          <w:sz w:val="22"/>
          <w:szCs w:val="22"/>
        </w:rPr>
        <w:t xml:space="preserve">Kč (slovy: </w:t>
      </w:r>
      <w:r w:rsidR="00DE0428" w:rsidRPr="002A64A6">
        <w:rPr>
          <w:rFonts w:ascii="Palatino Linotype" w:hAnsi="Palatino Linotype" w:cs="Arial"/>
          <w:spacing w:val="-15"/>
          <w:sz w:val="22"/>
          <w:szCs w:val="22"/>
        </w:rPr>
        <w:t>šestnáct milionů osm set třicet šest tisíc osm set sedmdesát jedna korun českých sedmdesát haléřů</w:t>
      </w:r>
      <w:r w:rsidRPr="002A64A6">
        <w:rPr>
          <w:rFonts w:ascii="Palatino Linotype" w:hAnsi="Palatino Linotype" w:cs="Arial"/>
          <w:spacing w:val="-15"/>
          <w:sz w:val="22"/>
          <w:szCs w:val="22"/>
        </w:rPr>
        <w:t>) včetně DPH</w:t>
      </w:r>
      <w:r w:rsidRPr="002A64A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</w:t>
      </w:r>
      <w:r w:rsidR="00E7176B">
        <w:rPr>
          <w:rFonts w:ascii="Palatino Linotype" w:hAnsi="Palatino Linotype" w:cs="Arial"/>
          <w:sz w:val="22"/>
          <w:szCs w:val="22"/>
        </w:rPr>
        <w:t xml:space="preserve"> a v příloze č. 3 této Prováděcí smlouvy – Detailní rozpis dodávky.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</w:t>
      </w:r>
    </w:p>
    <w:p w14:paraId="5F2F5E2F" w14:textId="1E12957C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373D1F25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4AAA8F14" w14:textId="77777777" w:rsidR="000E71EF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871835F" w14:textId="77777777" w:rsidR="000E71EF" w:rsidRPr="000E71EF" w:rsidRDefault="000E71EF" w:rsidP="000E71EF">
      <w:pPr>
        <w:rPr>
          <w:lang w:val="x-none" w:eastAsia="x-none"/>
        </w:rPr>
      </w:pPr>
    </w:p>
    <w:p w14:paraId="05C97861" w14:textId="62055588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Pr="00116327">
        <w:rPr>
          <w:rFonts w:ascii="Palatino Linotype" w:hAnsi="Palatino Linotype" w:cs="Arial"/>
          <w:sz w:val="22"/>
          <w:szCs w:val="22"/>
        </w:rPr>
        <w:t>Akceptačního protokolu ze strany Objednatele</w:t>
      </w:r>
      <w:r w:rsidR="00F7021E">
        <w:rPr>
          <w:rFonts w:ascii="Palatino Linotype" w:hAnsi="Palatino Linotype" w:cs="Arial"/>
          <w:sz w:val="22"/>
          <w:szCs w:val="22"/>
        </w:rPr>
        <w:t>,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07381E">
        <w:rPr>
          <w:rFonts w:ascii="Palatino Linotype" w:hAnsi="Palatino Linotype" w:cs="Arial"/>
          <w:sz w:val="22"/>
          <w:szCs w:val="22"/>
        </w:rPr>
        <w:t>a to za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9D46A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8C7414B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6D168E8" w14:textId="77777777" w:rsidR="000E71EF" w:rsidRPr="000E71EF" w:rsidRDefault="000E71EF" w:rsidP="000E71EF">
      <w:pPr>
        <w:rPr>
          <w:lang w:val="x-none" w:eastAsia="x-none"/>
        </w:rPr>
      </w:pPr>
    </w:p>
    <w:p w14:paraId="5AB27B06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C268101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C2FC573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0FB6AE90" w14:textId="77777777" w:rsidR="000E71EF" w:rsidRPr="000E71EF" w:rsidRDefault="000E71EF" w:rsidP="000E71EF">
      <w:pPr>
        <w:rPr>
          <w:lang w:val="x-none" w:eastAsia="x-none"/>
        </w:rPr>
      </w:pP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F9CF9B7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uvedených v</w:t>
      </w:r>
      <w:r w:rsidR="001118FF">
        <w:rPr>
          <w:rFonts w:ascii="Palatino Linotype" w:hAnsi="Palatino Linotype" w:cs="Arial"/>
          <w:sz w:val="22"/>
          <w:szCs w:val="22"/>
        </w:rPr>
        <w:t> 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Příloze č. 1 k této Prováděcí smlouvě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lastRenderedPageBreak/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30F8AE56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0E094DFF" w14:textId="77777777" w:rsidR="000E71EF" w:rsidRPr="00DA172E" w:rsidRDefault="000E71EF" w:rsidP="007876A8">
      <w:pPr>
        <w:pStyle w:val="Nadpis2"/>
        <w:ind w:left="0" w:firstLine="0"/>
        <w:rPr>
          <w:rFonts w:ascii="Palatino Linotype" w:hAnsi="Palatino Linotype" w:cs="Arial"/>
          <w:sz w:val="22"/>
          <w:szCs w:val="22"/>
        </w:rPr>
      </w:pP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60E2E7AC" w14:textId="77777777" w:rsidR="000E71EF" w:rsidRPr="000E71EF" w:rsidRDefault="000E71EF" w:rsidP="000E71EF">
      <w:pPr>
        <w:rPr>
          <w:lang w:val="x-none" w:eastAsia="x-none"/>
        </w:rPr>
      </w:pP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7683D60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smlouva, v souladu s ustanovením § 6 </w:t>
      </w:r>
      <w:r w:rsidR="00715263">
        <w:rPr>
          <w:rFonts w:ascii="Palatino Linotype" w:hAnsi="Palatino Linotype" w:cs="Arial"/>
          <w:sz w:val="22"/>
          <w:szCs w:val="22"/>
        </w:rPr>
        <w:t xml:space="preserve">odst. 1 zákona č. 340/2015 Sb., o </w:t>
      </w:r>
      <w:r w:rsidR="00715263" w:rsidRPr="00704E53">
        <w:rPr>
          <w:rFonts w:ascii="Palatino Linotype" w:hAnsi="Palatino Linotype" w:cs="Arial"/>
          <w:sz w:val="22"/>
          <w:szCs w:val="22"/>
        </w:rPr>
        <w:t>zvláštních podmínkách účinnosti některých smluv, uveřejňování těchto smluv a o registru smluv</w:t>
      </w:r>
      <w:r w:rsidR="00715263">
        <w:rPr>
          <w:rFonts w:ascii="Palatino Linotype" w:hAnsi="Palatino Linotype" w:cs="Arial"/>
          <w:sz w:val="22"/>
          <w:szCs w:val="22"/>
        </w:rPr>
        <w:t xml:space="preserve"> (dále jen „</w:t>
      </w:r>
      <w:r w:rsidR="00715263" w:rsidRPr="002A64A6">
        <w:rPr>
          <w:rFonts w:ascii="Palatino Linotype" w:hAnsi="Palatino Linotype" w:cs="Arial"/>
          <w:sz w:val="22"/>
          <w:szCs w:val="22"/>
        </w:rPr>
        <w:t>zákon o registru smluv</w:t>
      </w:r>
      <w:r w:rsidR="00715263">
        <w:rPr>
          <w:rFonts w:ascii="Palatino Linotype" w:hAnsi="Palatino Linotype" w:cs="Arial"/>
          <w:sz w:val="22"/>
          <w:szCs w:val="22"/>
        </w:rPr>
        <w:t>“)</w:t>
      </w:r>
      <w:r>
        <w:rPr>
          <w:rFonts w:ascii="Palatino Linotype" w:hAnsi="Palatino Linotype" w:cs="Arial"/>
          <w:sz w:val="22"/>
          <w:szCs w:val="22"/>
        </w:rPr>
        <w:t>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</w:t>
      </w:r>
      <w:r w:rsidR="00715263">
        <w:rPr>
          <w:rFonts w:ascii="Palatino Linotype" w:hAnsi="Palatino Linotype" w:cs="Arial"/>
          <w:sz w:val="22"/>
          <w:szCs w:val="22"/>
        </w:rPr>
        <w:br/>
      </w:r>
      <w:r>
        <w:rPr>
          <w:rFonts w:ascii="Palatino Linotype" w:hAnsi="Palatino Linotype" w:cs="Arial"/>
          <w:sz w:val="22"/>
          <w:szCs w:val="22"/>
        </w:rPr>
        <w:t xml:space="preserve">o registru smluv. </w:t>
      </w:r>
    </w:p>
    <w:p w14:paraId="420929A6" w14:textId="5B4E27C1" w:rsidR="00A25B89" w:rsidRDefault="00A25B89" w:rsidP="00475BFE"/>
    <w:p w14:paraId="6058075B" w14:textId="2C1F0BA5" w:rsidR="006C6379" w:rsidRDefault="006C6379" w:rsidP="00475BFE"/>
    <w:p w14:paraId="3E0E8DC3" w14:textId="4F613CFE" w:rsidR="006C6379" w:rsidRDefault="006C6379" w:rsidP="00475BFE"/>
    <w:p w14:paraId="606DBD3B" w14:textId="6D015BEB" w:rsidR="006C6379" w:rsidRDefault="006C6379" w:rsidP="00475BFE"/>
    <w:p w14:paraId="68303E41" w14:textId="77777777" w:rsidR="006C6379" w:rsidRDefault="006C6379" w:rsidP="00475BFE"/>
    <w:p w14:paraId="18F2E4A2" w14:textId="77777777" w:rsidR="001C59FA" w:rsidRDefault="001C59FA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br w:type="page"/>
      </w:r>
    </w:p>
    <w:p w14:paraId="200CDE83" w14:textId="202DD28B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lastRenderedPageBreak/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3AB709FC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proofErr w:type="gramStart"/>
      <w:r w:rsidR="00715263" w:rsidRPr="00640346">
        <w:rPr>
          <w:rFonts w:ascii="Palatino Linotype" w:hAnsi="Palatino Linotype" w:cs="Arial"/>
          <w:sz w:val="22"/>
          <w:szCs w:val="22"/>
        </w:rPr>
        <w:t>–</w:t>
      </w:r>
      <w:r w:rsidR="00715263">
        <w:rPr>
          <w:rFonts w:ascii="Palatino Linotype" w:hAnsi="Palatino Linotype" w:cs="Arial"/>
          <w:sz w:val="22"/>
          <w:szCs w:val="22"/>
        </w:rPr>
        <w:t xml:space="preserve"> 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</w:t>
      </w:r>
      <w:proofErr w:type="gramEnd"/>
      <w:r w:rsidRPr="00775471">
        <w:rPr>
          <w:rFonts w:ascii="Palatino Linotype" w:hAnsi="Palatino Linotype"/>
          <w:sz w:val="22"/>
          <w:szCs w:val="22"/>
          <w:lang w:eastAsia="cs-CZ"/>
        </w:rPr>
        <w:t xml:space="preserve"> předmětu plnění</w:t>
      </w:r>
    </w:p>
    <w:p w14:paraId="105816BC" w14:textId="0BA3E7F6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proofErr w:type="gramStart"/>
      <w:r w:rsidR="00715263" w:rsidRPr="00640346">
        <w:rPr>
          <w:rFonts w:ascii="Palatino Linotype" w:hAnsi="Palatino Linotype" w:cs="Arial"/>
          <w:sz w:val="22"/>
          <w:szCs w:val="22"/>
        </w:rPr>
        <w:t>–</w:t>
      </w:r>
      <w:r w:rsidR="00715263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</w:t>
      </w:r>
      <w:proofErr w:type="gramEnd"/>
      <w:r w:rsidRPr="00775471">
        <w:rPr>
          <w:rFonts w:ascii="Palatino Linotype" w:hAnsi="Palatino Linotype"/>
          <w:sz w:val="22"/>
          <w:szCs w:val="22"/>
          <w:lang w:eastAsia="cs-CZ"/>
        </w:rPr>
        <w:t xml:space="preserve"> specifikace</w:t>
      </w:r>
    </w:p>
    <w:p w14:paraId="54628F4E" w14:textId="70877558" w:rsidR="006C6379" w:rsidRDefault="006C6379" w:rsidP="006C6379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>
        <w:rPr>
          <w:rFonts w:ascii="Palatino Linotype" w:hAnsi="Palatino Linotype"/>
          <w:sz w:val="22"/>
          <w:szCs w:val="22"/>
          <w:lang w:eastAsia="cs-CZ"/>
        </w:rPr>
        <w:t>Příloha č. 3</w:t>
      </w:r>
      <w:r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proofErr w:type="gramStart"/>
      <w:r w:rsidRPr="00640346">
        <w:rPr>
          <w:rFonts w:ascii="Palatino Linotype" w:hAnsi="Palatino Linotype" w:cs="Arial"/>
          <w:sz w:val="22"/>
          <w:szCs w:val="22"/>
        </w:rPr>
        <w:t>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Detailní</w:t>
      </w:r>
      <w:proofErr w:type="gramEnd"/>
      <w:r>
        <w:rPr>
          <w:rFonts w:ascii="Palatino Linotype" w:hAnsi="Palatino Linotype" w:cs="Arial"/>
          <w:sz w:val="22"/>
          <w:szCs w:val="22"/>
        </w:rPr>
        <w:t xml:space="preserve"> rozpis dodávky</w:t>
      </w:r>
    </w:p>
    <w:p w14:paraId="1E6CF587" w14:textId="77777777" w:rsidR="000A294F" w:rsidRPr="006C6379" w:rsidRDefault="000A294F" w:rsidP="006C6379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513FD9B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F3D3378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19EC7DB4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209F26A7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910C6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EAD8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973C97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04C79F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0A4610B9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3CFC3D2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3C21679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77777777" w:rsidR="000E541D" w:rsidRPr="008A3B35" w:rsidRDefault="000E541D" w:rsidP="002A6F43">
      <w:pPr>
        <w:pStyle w:val="odrka"/>
        <w:numPr>
          <w:ilvl w:val="0"/>
          <w:numId w:val="0"/>
        </w:numPr>
        <w:spacing w:before="0"/>
        <w:rPr>
          <w:rFonts w:ascii="Palatino Linotype" w:hAnsi="Palatino Linotype" w:cs="Arial"/>
          <w:sz w:val="22"/>
          <w:szCs w:val="22"/>
        </w:rPr>
        <w:sectPr w:rsidR="000E541D" w:rsidRPr="008A3B35" w:rsidSect="00376F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77777777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0A379DC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ACA3C0" w14:textId="4F44D7CF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FB6E7EF" w14:textId="06ECA63A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B1AFD9" w14:textId="1EB3FB30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9B834BB" w14:textId="2ACBD109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81F1DB5" w14:textId="0CC3A7FC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910325B" w14:textId="0D68B5A9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50DDDC1" w14:textId="0000E1ED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CE7E60A" w14:textId="2770D62B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ED4EA4B" w14:textId="12A39714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E7849A" w14:textId="54D6D379" w:rsidR="00F73240" w:rsidRDefault="00F7324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07BA664" w14:textId="32AB3793" w:rsidR="00F73240" w:rsidRDefault="00F7324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D7FD5CC" w14:textId="77777777" w:rsidR="00F73240" w:rsidRDefault="00F7324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AF0EADB" w14:textId="1F17ED61" w:rsidR="00F73240" w:rsidRDefault="00F7324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DB30603" w14:textId="27FA468E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7718888" w14:textId="698FA62A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46E69484" w14:textId="16DC5E14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F11DBBE" w14:textId="0B27BD87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E9E8BAF" w14:textId="73616F6B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3490613" w14:textId="437AD3C7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A1B6111" w14:textId="6767B8F7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12FDC3C" w14:textId="7420B0FA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5325617" w14:textId="171D8028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1CA432A" w14:textId="277F8AC9" w:rsidR="00EC6FDC" w:rsidRDefault="00EC6FDC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D000544" w14:textId="77777777" w:rsidR="00C01EC4" w:rsidRDefault="00C01EC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  <w:sectPr w:rsidR="00C01EC4" w:rsidSect="00376F0D">
          <w:pgSz w:w="16834" w:h="11909" w:orient="landscape" w:code="9"/>
          <w:pgMar w:top="720" w:right="720" w:bottom="720" w:left="720" w:header="431" w:footer="431" w:gutter="0"/>
          <w:cols w:space="708"/>
          <w:titlePg/>
          <w:docGrid w:linePitch="326"/>
        </w:sectPr>
      </w:pPr>
    </w:p>
    <w:p w14:paraId="74317762" w14:textId="686A79C7" w:rsidR="00EC6FDC" w:rsidRDefault="00C01EC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>
        <w:rPr>
          <w:rFonts w:ascii="Palatino Linotype" w:hAnsi="Palatino Linotype" w:cs="Arial"/>
          <w:b/>
          <w:szCs w:val="24"/>
        </w:rPr>
        <w:lastRenderedPageBreak/>
        <w:t xml:space="preserve">Příloha </w:t>
      </w:r>
      <w:r w:rsidR="00F46800">
        <w:rPr>
          <w:rFonts w:ascii="Palatino Linotype" w:hAnsi="Palatino Linotype" w:cs="Arial"/>
          <w:b/>
          <w:szCs w:val="24"/>
        </w:rPr>
        <w:t>č. 3   Detailní rozpis dodávky</w:t>
      </w:r>
    </w:p>
    <w:sectPr w:rsidR="00EC6FDC" w:rsidSect="00376F0D">
      <w:pgSz w:w="11909" w:h="16834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E0EC4" w14:textId="77777777" w:rsidR="00376F0D" w:rsidRDefault="00376F0D" w:rsidP="00312D44">
      <w:pPr>
        <w:spacing w:line="240" w:lineRule="auto"/>
      </w:pPr>
      <w:r>
        <w:separator/>
      </w:r>
    </w:p>
  </w:endnote>
  <w:endnote w:type="continuationSeparator" w:id="0">
    <w:p w14:paraId="1706564B" w14:textId="77777777" w:rsidR="00376F0D" w:rsidRDefault="00376F0D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C545" w14:textId="77777777" w:rsidR="0063694D" w:rsidRDefault="006369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F8750" w14:textId="77777777" w:rsidR="00376F0D" w:rsidRDefault="00376F0D" w:rsidP="00312D44">
      <w:pPr>
        <w:spacing w:line="240" w:lineRule="auto"/>
      </w:pPr>
      <w:r>
        <w:separator/>
      </w:r>
    </w:p>
  </w:footnote>
  <w:footnote w:type="continuationSeparator" w:id="0">
    <w:p w14:paraId="27CE18D2" w14:textId="77777777" w:rsidR="00376F0D" w:rsidRDefault="00376F0D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43A5" w14:textId="77777777" w:rsidR="0063694D" w:rsidRDefault="006369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20DEE" w14:textId="2271E369" w:rsidR="00D55C9F" w:rsidRDefault="00D55C9F">
    <w:pPr>
      <w:pStyle w:val="Zhlav"/>
    </w:pPr>
    <w:r w:rsidRPr="00D55C9F">
      <w:tab/>
    </w:r>
    <w:r w:rsidRPr="00D55C9F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590E" w14:textId="2A3A7882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D5D5C8B"/>
    <w:multiLevelType w:val="hybridMultilevel"/>
    <w:tmpl w:val="23CA7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5065E"/>
    <w:multiLevelType w:val="hybridMultilevel"/>
    <w:tmpl w:val="DC2867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1784"/>
    <w:multiLevelType w:val="hybridMultilevel"/>
    <w:tmpl w:val="D51E5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24A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2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21DE4"/>
    <w:multiLevelType w:val="hybridMultilevel"/>
    <w:tmpl w:val="ED16F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9640F"/>
    <w:multiLevelType w:val="hybridMultilevel"/>
    <w:tmpl w:val="D5245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7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76FA333F"/>
    <w:multiLevelType w:val="hybridMultilevel"/>
    <w:tmpl w:val="7162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97142397">
    <w:abstractNumId w:val="6"/>
  </w:num>
  <w:num w:numId="2" w16cid:durableId="1891307399">
    <w:abstractNumId w:val="9"/>
  </w:num>
  <w:num w:numId="3" w16cid:durableId="1717656705">
    <w:abstractNumId w:val="8"/>
  </w:num>
  <w:num w:numId="4" w16cid:durableId="1889411790">
    <w:abstractNumId w:val="32"/>
  </w:num>
  <w:num w:numId="5" w16cid:durableId="1668440274">
    <w:abstractNumId w:val="7"/>
  </w:num>
  <w:num w:numId="6" w16cid:durableId="2107068886">
    <w:abstractNumId w:val="27"/>
  </w:num>
  <w:num w:numId="7" w16cid:durableId="1891263487">
    <w:abstractNumId w:val="12"/>
  </w:num>
  <w:num w:numId="8" w16cid:durableId="2145275374">
    <w:abstractNumId w:val="2"/>
  </w:num>
  <w:num w:numId="9" w16cid:durableId="132986533">
    <w:abstractNumId w:val="17"/>
  </w:num>
  <w:num w:numId="10" w16cid:durableId="1739589671">
    <w:abstractNumId w:val="26"/>
  </w:num>
  <w:num w:numId="11" w16cid:durableId="1517377389">
    <w:abstractNumId w:val="21"/>
  </w:num>
  <w:num w:numId="12" w16cid:durableId="1148203877">
    <w:abstractNumId w:val="1"/>
  </w:num>
  <w:num w:numId="13" w16cid:durableId="139005997">
    <w:abstractNumId w:val="15"/>
  </w:num>
  <w:num w:numId="14" w16cid:durableId="1650741068">
    <w:abstractNumId w:val="0"/>
  </w:num>
  <w:num w:numId="15" w16cid:durableId="249043865">
    <w:abstractNumId w:val="29"/>
  </w:num>
  <w:num w:numId="16" w16cid:durableId="92283250">
    <w:abstractNumId w:val="11"/>
  </w:num>
  <w:num w:numId="17" w16cid:durableId="1638607203">
    <w:abstractNumId w:val="30"/>
  </w:num>
  <w:num w:numId="18" w16cid:durableId="9888303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54898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1006001">
    <w:abstractNumId w:val="13"/>
  </w:num>
  <w:num w:numId="21" w16cid:durableId="397825510">
    <w:abstractNumId w:val="18"/>
  </w:num>
  <w:num w:numId="22" w16cid:durableId="1935087442">
    <w:abstractNumId w:val="24"/>
  </w:num>
  <w:num w:numId="23" w16cid:durableId="1976181865">
    <w:abstractNumId w:val="19"/>
  </w:num>
  <w:num w:numId="24" w16cid:durableId="1890804390">
    <w:abstractNumId w:val="28"/>
  </w:num>
  <w:num w:numId="25" w16cid:durableId="481241474">
    <w:abstractNumId w:val="10"/>
  </w:num>
  <w:num w:numId="26" w16cid:durableId="59062529">
    <w:abstractNumId w:val="22"/>
  </w:num>
  <w:num w:numId="27" w16cid:durableId="1679652177">
    <w:abstractNumId w:val="20"/>
  </w:num>
  <w:num w:numId="28" w16cid:durableId="809320254">
    <w:abstractNumId w:val="5"/>
  </w:num>
  <w:num w:numId="29" w16cid:durableId="272056356">
    <w:abstractNumId w:val="16"/>
  </w:num>
  <w:num w:numId="30" w16cid:durableId="63456014">
    <w:abstractNumId w:val="23"/>
  </w:num>
  <w:num w:numId="31" w16cid:durableId="2046099745">
    <w:abstractNumId w:val="4"/>
  </w:num>
  <w:num w:numId="32" w16cid:durableId="2014529438">
    <w:abstractNumId w:val="3"/>
  </w:num>
  <w:num w:numId="33" w16cid:durableId="1982342822">
    <w:abstractNumId w:val="31"/>
  </w:num>
  <w:num w:numId="34" w16cid:durableId="568082157">
    <w:abstractNumId w:val="25"/>
  </w:num>
  <w:num w:numId="35" w16cid:durableId="310017583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45DA"/>
    <w:rsid w:val="00007189"/>
    <w:rsid w:val="000150C6"/>
    <w:rsid w:val="000233D4"/>
    <w:rsid w:val="00032023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2CB6"/>
    <w:rsid w:val="000D492C"/>
    <w:rsid w:val="000D69B4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41CCB"/>
    <w:rsid w:val="00150E13"/>
    <w:rsid w:val="00152B2F"/>
    <w:rsid w:val="0015799C"/>
    <w:rsid w:val="00172227"/>
    <w:rsid w:val="0017343E"/>
    <w:rsid w:val="001819D6"/>
    <w:rsid w:val="001A23A5"/>
    <w:rsid w:val="001A52F1"/>
    <w:rsid w:val="001B4871"/>
    <w:rsid w:val="001C0BB8"/>
    <w:rsid w:val="001C3B5C"/>
    <w:rsid w:val="001C59FA"/>
    <w:rsid w:val="001C62E8"/>
    <w:rsid w:val="001D3152"/>
    <w:rsid w:val="001E1D84"/>
    <w:rsid w:val="001E26BA"/>
    <w:rsid w:val="001F358B"/>
    <w:rsid w:val="002021D7"/>
    <w:rsid w:val="0021479A"/>
    <w:rsid w:val="002164E0"/>
    <w:rsid w:val="00221FC6"/>
    <w:rsid w:val="00222D10"/>
    <w:rsid w:val="00233951"/>
    <w:rsid w:val="00245EEA"/>
    <w:rsid w:val="00251A51"/>
    <w:rsid w:val="002525EC"/>
    <w:rsid w:val="00253080"/>
    <w:rsid w:val="002539CE"/>
    <w:rsid w:val="00264901"/>
    <w:rsid w:val="00283567"/>
    <w:rsid w:val="002840F1"/>
    <w:rsid w:val="00286F1F"/>
    <w:rsid w:val="002A64A6"/>
    <w:rsid w:val="002A6F43"/>
    <w:rsid w:val="002A727F"/>
    <w:rsid w:val="002C1C7C"/>
    <w:rsid w:val="002C7DA2"/>
    <w:rsid w:val="002D00FE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40672"/>
    <w:rsid w:val="00341598"/>
    <w:rsid w:val="003438D3"/>
    <w:rsid w:val="00345DA4"/>
    <w:rsid w:val="00347813"/>
    <w:rsid w:val="0035581B"/>
    <w:rsid w:val="00357F62"/>
    <w:rsid w:val="003723DD"/>
    <w:rsid w:val="00376F0D"/>
    <w:rsid w:val="00381945"/>
    <w:rsid w:val="00385061"/>
    <w:rsid w:val="003867D3"/>
    <w:rsid w:val="00386926"/>
    <w:rsid w:val="003905B4"/>
    <w:rsid w:val="00395A62"/>
    <w:rsid w:val="003B08EC"/>
    <w:rsid w:val="003B4A88"/>
    <w:rsid w:val="003B7A0D"/>
    <w:rsid w:val="003C312F"/>
    <w:rsid w:val="003C46D3"/>
    <w:rsid w:val="003E5408"/>
    <w:rsid w:val="003F52C7"/>
    <w:rsid w:val="00400687"/>
    <w:rsid w:val="004074B9"/>
    <w:rsid w:val="00413B7E"/>
    <w:rsid w:val="00415CD3"/>
    <w:rsid w:val="0043772A"/>
    <w:rsid w:val="00440981"/>
    <w:rsid w:val="004476A9"/>
    <w:rsid w:val="00447DC1"/>
    <w:rsid w:val="0045568E"/>
    <w:rsid w:val="00463E43"/>
    <w:rsid w:val="00467F1D"/>
    <w:rsid w:val="0047414B"/>
    <w:rsid w:val="00475BFE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C07A8"/>
    <w:rsid w:val="004C2FA5"/>
    <w:rsid w:val="004C597F"/>
    <w:rsid w:val="004D289B"/>
    <w:rsid w:val="004F1930"/>
    <w:rsid w:val="00504169"/>
    <w:rsid w:val="005121F9"/>
    <w:rsid w:val="00513D9F"/>
    <w:rsid w:val="0053662F"/>
    <w:rsid w:val="005400C8"/>
    <w:rsid w:val="0054047E"/>
    <w:rsid w:val="00540693"/>
    <w:rsid w:val="005406A1"/>
    <w:rsid w:val="00544407"/>
    <w:rsid w:val="00546E5C"/>
    <w:rsid w:val="005538DC"/>
    <w:rsid w:val="005562F1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29FC"/>
    <w:rsid w:val="005E0389"/>
    <w:rsid w:val="005E341C"/>
    <w:rsid w:val="005E6816"/>
    <w:rsid w:val="005F74D4"/>
    <w:rsid w:val="006038C3"/>
    <w:rsid w:val="00605B23"/>
    <w:rsid w:val="006108BD"/>
    <w:rsid w:val="00611918"/>
    <w:rsid w:val="00622B1C"/>
    <w:rsid w:val="0063694D"/>
    <w:rsid w:val="00636A13"/>
    <w:rsid w:val="00640346"/>
    <w:rsid w:val="006424E1"/>
    <w:rsid w:val="00650831"/>
    <w:rsid w:val="00651CE8"/>
    <w:rsid w:val="0065294C"/>
    <w:rsid w:val="0065605A"/>
    <w:rsid w:val="00671C04"/>
    <w:rsid w:val="00677C70"/>
    <w:rsid w:val="00694143"/>
    <w:rsid w:val="00695413"/>
    <w:rsid w:val="006A593A"/>
    <w:rsid w:val="006B53E8"/>
    <w:rsid w:val="006C0963"/>
    <w:rsid w:val="006C5883"/>
    <w:rsid w:val="006C6379"/>
    <w:rsid w:val="006C75D3"/>
    <w:rsid w:val="006D6E20"/>
    <w:rsid w:val="006D7971"/>
    <w:rsid w:val="006E57DC"/>
    <w:rsid w:val="00705A48"/>
    <w:rsid w:val="00715263"/>
    <w:rsid w:val="007231F7"/>
    <w:rsid w:val="007262F2"/>
    <w:rsid w:val="00737DEC"/>
    <w:rsid w:val="0074613C"/>
    <w:rsid w:val="0075087B"/>
    <w:rsid w:val="0075396F"/>
    <w:rsid w:val="007543AD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59F6"/>
    <w:rsid w:val="007871AD"/>
    <w:rsid w:val="007876A8"/>
    <w:rsid w:val="007A710A"/>
    <w:rsid w:val="007C0C09"/>
    <w:rsid w:val="007C137D"/>
    <w:rsid w:val="007E1D27"/>
    <w:rsid w:val="007E32EF"/>
    <w:rsid w:val="007E337D"/>
    <w:rsid w:val="007E4EE5"/>
    <w:rsid w:val="007E7375"/>
    <w:rsid w:val="007F04D5"/>
    <w:rsid w:val="007F0FB5"/>
    <w:rsid w:val="007F155A"/>
    <w:rsid w:val="00804E22"/>
    <w:rsid w:val="0080579E"/>
    <w:rsid w:val="00811036"/>
    <w:rsid w:val="00827BD4"/>
    <w:rsid w:val="00830E12"/>
    <w:rsid w:val="0083224B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026B1"/>
    <w:rsid w:val="00911870"/>
    <w:rsid w:val="009162A8"/>
    <w:rsid w:val="009261B1"/>
    <w:rsid w:val="00943336"/>
    <w:rsid w:val="009452EC"/>
    <w:rsid w:val="00951699"/>
    <w:rsid w:val="009618E7"/>
    <w:rsid w:val="0096636C"/>
    <w:rsid w:val="00973F6C"/>
    <w:rsid w:val="009756C6"/>
    <w:rsid w:val="00986B58"/>
    <w:rsid w:val="009A28F3"/>
    <w:rsid w:val="009A6185"/>
    <w:rsid w:val="009C09C6"/>
    <w:rsid w:val="009C6E85"/>
    <w:rsid w:val="009D0C80"/>
    <w:rsid w:val="009E4980"/>
    <w:rsid w:val="009E5990"/>
    <w:rsid w:val="009E7028"/>
    <w:rsid w:val="009F2AC4"/>
    <w:rsid w:val="00A04809"/>
    <w:rsid w:val="00A06E5D"/>
    <w:rsid w:val="00A167FC"/>
    <w:rsid w:val="00A231BA"/>
    <w:rsid w:val="00A25B89"/>
    <w:rsid w:val="00A3264A"/>
    <w:rsid w:val="00A4405F"/>
    <w:rsid w:val="00A529FE"/>
    <w:rsid w:val="00A70AEC"/>
    <w:rsid w:val="00A809DB"/>
    <w:rsid w:val="00A84757"/>
    <w:rsid w:val="00A90607"/>
    <w:rsid w:val="00A95955"/>
    <w:rsid w:val="00AA5447"/>
    <w:rsid w:val="00AB3AB6"/>
    <w:rsid w:val="00AC4518"/>
    <w:rsid w:val="00AD329E"/>
    <w:rsid w:val="00AD3B4E"/>
    <w:rsid w:val="00AD6300"/>
    <w:rsid w:val="00AE311E"/>
    <w:rsid w:val="00AF215E"/>
    <w:rsid w:val="00AF3434"/>
    <w:rsid w:val="00B030EB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7B81"/>
    <w:rsid w:val="00B73D11"/>
    <w:rsid w:val="00B84CA1"/>
    <w:rsid w:val="00B97A70"/>
    <w:rsid w:val="00B97F25"/>
    <w:rsid w:val="00BD38F2"/>
    <w:rsid w:val="00BD55AA"/>
    <w:rsid w:val="00BF2556"/>
    <w:rsid w:val="00C01EC4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730F"/>
    <w:rsid w:val="00C67380"/>
    <w:rsid w:val="00C67658"/>
    <w:rsid w:val="00C90020"/>
    <w:rsid w:val="00C91E4A"/>
    <w:rsid w:val="00C923CC"/>
    <w:rsid w:val="00C969F0"/>
    <w:rsid w:val="00CA516F"/>
    <w:rsid w:val="00CB02B0"/>
    <w:rsid w:val="00CB6304"/>
    <w:rsid w:val="00CC583B"/>
    <w:rsid w:val="00CD0523"/>
    <w:rsid w:val="00CD1D07"/>
    <w:rsid w:val="00CD3C5A"/>
    <w:rsid w:val="00CD719A"/>
    <w:rsid w:val="00CF339D"/>
    <w:rsid w:val="00D16E17"/>
    <w:rsid w:val="00D22CE8"/>
    <w:rsid w:val="00D366CC"/>
    <w:rsid w:val="00D416B0"/>
    <w:rsid w:val="00D464C6"/>
    <w:rsid w:val="00D46888"/>
    <w:rsid w:val="00D532D2"/>
    <w:rsid w:val="00D54E88"/>
    <w:rsid w:val="00D55C9F"/>
    <w:rsid w:val="00D638A9"/>
    <w:rsid w:val="00D71E2E"/>
    <w:rsid w:val="00DA172E"/>
    <w:rsid w:val="00DA6B16"/>
    <w:rsid w:val="00DB0A83"/>
    <w:rsid w:val="00DB3C96"/>
    <w:rsid w:val="00DC24BD"/>
    <w:rsid w:val="00DC5728"/>
    <w:rsid w:val="00DD0B33"/>
    <w:rsid w:val="00DD1799"/>
    <w:rsid w:val="00DD5566"/>
    <w:rsid w:val="00DD6394"/>
    <w:rsid w:val="00DD747E"/>
    <w:rsid w:val="00DE0428"/>
    <w:rsid w:val="00DF6379"/>
    <w:rsid w:val="00E04D6A"/>
    <w:rsid w:val="00E16961"/>
    <w:rsid w:val="00E26193"/>
    <w:rsid w:val="00E30311"/>
    <w:rsid w:val="00E351A8"/>
    <w:rsid w:val="00E35499"/>
    <w:rsid w:val="00E35810"/>
    <w:rsid w:val="00E44FD3"/>
    <w:rsid w:val="00E535BC"/>
    <w:rsid w:val="00E55FA2"/>
    <w:rsid w:val="00E7176B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FDC"/>
    <w:rsid w:val="00EC7F2F"/>
    <w:rsid w:val="00ED41B4"/>
    <w:rsid w:val="00ED795E"/>
    <w:rsid w:val="00EF1D42"/>
    <w:rsid w:val="00EF4B51"/>
    <w:rsid w:val="00F02E46"/>
    <w:rsid w:val="00F055DB"/>
    <w:rsid w:val="00F119D4"/>
    <w:rsid w:val="00F12F0D"/>
    <w:rsid w:val="00F154C7"/>
    <w:rsid w:val="00F23F0D"/>
    <w:rsid w:val="00F32941"/>
    <w:rsid w:val="00F3572C"/>
    <w:rsid w:val="00F40AB8"/>
    <w:rsid w:val="00F432B6"/>
    <w:rsid w:val="00F43E67"/>
    <w:rsid w:val="00F46800"/>
    <w:rsid w:val="00F513CB"/>
    <w:rsid w:val="00F5279A"/>
    <w:rsid w:val="00F54708"/>
    <w:rsid w:val="00F62504"/>
    <w:rsid w:val="00F7021E"/>
    <w:rsid w:val="00F73240"/>
    <w:rsid w:val="00F733E8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5C4FEA82-F2B5-4B3F-B204-CF35A37B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63694D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3694D"/>
    <w:rPr>
      <w:color w:val="954F72"/>
      <w:u w:val="single"/>
    </w:rPr>
  </w:style>
  <w:style w:type="paragraph" w:customStyle="1" w:styleId="msonormal0">
    <w:name w:val="msonormal"/>
    <w:basedOn w:val="Normln"/>
    <w:rsid w:val="0063694D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paragraph" w:customStyle="1" w:styleId="xl65">
    <w:name w:val="xl65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969696"/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elvetica" w:hAnsi="Helvetica"/>
      <w:b/>
      <w:bCs/>
      <w:sz w:val="18"/>
      <w:szCs w:val="18"/>
      <w:lang w:eastAsia="cs-CZ"/>
    </w:rPr>
  </w:style>
  <w:style w:type="paragraph" w:customStyle="1" w:styleId="xl66">
    <w:name w:val="xl66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969696"/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elvetica" w:hAnsi="Helvetica"/>
      <w:b/>
      <w:bCs/>
      <w:sz w:val="18"/>
      <w:szCs w:val="18"/>
      <w:lang w:eastAsia="cs-CZ"/>
    </w:rPr>
  </w:style>
  <w:style w:type="paragraph" w:customStyle="1" w:styleId="xl67">
    <w:name w:val="xl67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elvetica" w:hAnsi="Helvetica"/>
      <w:sz w:val="18"/>
      <w:szCs w:val="18"/>
      <w:lang w:eastAsia="cs-CZ"/>
    </w:rPr>
  </w:style>
  <w:style w:type="paragraph" w:customStyle="1" w:styleId="xl68">
    <w:name w:val="xl68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elvetica" w:hAnsi="Helvetica"/>
      <w:sz w:val="18"/>
      <w:szCs w:val="18"/>
      <w:lang w:eastAsia="cs-CZ"/>
    </w:rPr>
  </w:style>
  <w:style w:type="paragraph" w:customStyle="1" w:styleId="xl69">
    <w:name w:val="xl69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center"/>
    </w:pPr>
    <w:rPr>
      <w:rFonts w:ascii="Helvetica" w:hAnsi="Helvetica"/>
      <w:sz w:val="18"/>
      <w:szCs w:val="18"/>
      <w:lang w:eastAsia="cs-CZ"/>
    </w:rPr>
  </w:style>
  <w:style w:type="paragraph" w:customStyle="1" w:styleId="xl70">
    <w:name w:val="xl70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elvetica" w:hAnsi="Helvetica"/>
      <w:b/>
      <w:bCs/>
      <w:sz w:val="18"/>
      <w:szCs w:val="18"/>
      <w:lang w:eastAsia="cs-CZ"/>
    </w:rPr>
  </w:style>
  <w:style w:type="paragraph" w:customStyle="1" w:styleId="xl71">
    <w:name w:val="xl71"/>
    <w:basedOn w:val="Normln"/>
    <w:rsid w:val="0063694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Helvetica" w:hAnsi="Helvetica"/>
      <w:sz w:val="18"/>
      <w:szCs w:val="18"/>
      <w:lang w:eastAsia="cs-CZ"/>
    </w:rPr>
  </w:style>
  <w:style w:type="paragraph" w:customStyle="1" w:styleId="xl72">
    <w:name w:val="xl72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Helvetica" w:hAnsi="Helvetica"/>
      <w:sz w:val="18"/>
      <w:szCs w:val="18"/>
      <w:lang w:eastAsia="cs-CZ"/>
    </w:rPr>
  </w:style>
  <w:style w:type="paragraph" w:customStyle="1" w:styleId="xl73">
    <w:name w:val="xl73"/>
    <w:basedOn w:val="Normln"/>
    <w:rsid w:val="0063694D"/>
    <w:pPr>
      <w:pBdr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Helvetica" w:hAnsi="Helvetica"/>
      <w:sz w:val="18"/>
      <w:szCs w:val="18"/>
      <w:lang w:eastAsia="cs-CZ"/>
    </w:rPr>
  </w:style>
  <w:style w:type="paragraph" w:customStyle="1" w:styleId="xl74">
    <w:name w:val="xl74"/>
    <w:basedOn w:val="Normln"/>
    <w:rsid w:val="0063694D"/>
    <w:pPr>
      <w:pBdr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top"/>
    </w:pPr>
    <w:rPr>
      <w:rFonts w:ascii="Helvetica" w:hAnsi="Helvetica"/>
      <w:sz w:val="18"/>
      <w:szCs w:val="18"/>
      <w:lang w:eastAsia="cs-CZ"/>
    </w:rPr>
  </w:style>
  <w:style w:type="paragraph" w:customStyle="1" w:styleId="xl75">
    <w:name w:val="xl75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center"/>
      <w:textAlignment w:val="top"/>
    </w:pPr>
    <w:rPr>
      <w:rFonts w:ascii="Helvetica" w:hAnsi="Helvetica"/>
      <w:sz w:val="18"/>
      <w:szCs w:val="18"/>
      <w:lang w:eastAsia="cs-CZ"/>
    </w:rPr>
  </w:style>
  <w:style w:type="paragraph" w:customStyle="1" w:styleId="xl76">
    <w:name w:val="xl76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Helvetica" w:hAnsi="Helvetica"/>
      <w:sz w:val="18"/>
      <w:szCs w:val="18"/>
      <w:lang w:eastAsia="cs-CZ"/>
    </w:rPr>
  </w:style>
  <w:style w:type="paragraph" w:customStyle="1" w:styleId="xl77">
    <w:name w:val="xl77"/>
    <w:basedOn w:val="Normln"/>
    <w:rsid w:val="0063694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ind w:firstLineChars="100" w:firstLine="100"/>
      <w:jc w:val="left"/>
      <w:textAlignment w:val="center"/>
    </w:pPr>
    <w:rPr>
      <w:rFonts w:ascii="Helvetica" w:hAnsi="Helvetica"/>
      <w:sz w:val="18"/>
      <w:szCs w:val="18"/>
      <w:lang w:eastAsia="cs-CZ"/>
    </w:rPr>
  </w:style>
  <w:style w:type="paragraph" w:customStyle="1" w:styleId="xl78">
    <w:name w:val="xl78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Helvetica" w:hAnsi="Helvetica"/>
      <w:b/>
      <w:bCs/>
      <w:sz w:val="18"/>
      <w:szCs w:val="18"/>
      <w:lang w:eastAsia="cs-CZ"/>
    </w:rPr>
  </w:style>
  <w:style w:type="paragraph" w:customStyle="1" w:styleId="xl79">
    <w:name w:val="xl79"/>
    <w:basedOn w:val="Normln"/>
    <w:rsid w:val="0063694D"/>
    <w:pPr>
      <w:pBdr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Helvetica" w:hAnsi="Helvetica"/>
      <w:b/>
      <w:bCs/>
      <w:sz w:val="18"/>
      <w:szCs w:val="18"/>
      <w:lang w:eastAsia="cs-CZ"/>
    </w:rPr>
  </w:style>
  <w:style w:type="paragraph" w:customStyle="1" w:styleId="xl80">
    <w:name w:val="xl80"/>
    <w:basedOn w:val="Normln"/>
    <w:rsid w:val="0063694D"/>
    <w:pPr>
      <w:pBdr>
        <w:top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Helvetica" w:hAnsi="Helvetica"/>
      <w:sz w:val="18"/>
      <w:szCs w:val="18"/>
      <w:lang w:eastAsia="cs-CZ"/>
    </w:rPr>
  </w:style>
  <w:style w:type="paragraph" w:customStyle="1" w:styleId="xl81">
    <w:name w:val="xl81"/>
    <w:basedOn w:val="Normln"/>
    <w:rsid w:val="0063694D"/>
    <w:pPr>
      <w:pBdr>
        <w:top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top"/>
    </w:pPr>
    <w:rPr>
      <w:rFonts w:ascii="Helvetica" w:hAnsi="Helvetica"/>
      <w:b/>
      <w:bCs/>
      <w:sz w:val="18"/>
      <w:szCs w:val="18"/>
      <w:lang w:eastAsia="cs-CZ"/>
    </w:rPr>
  </w:style>
  <w:style w:type="paragraph" w:customStyle="1" w:styleId="xl82">
    <w:name w:val="xl82"/>
    <w:basedOn w:val="Normln"/>
    <w:rsid w:val="0063694D"/>
    <w:pPr>
      <w:pBdr>
        <w:top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ind w:firstLineChars="100" w:firstLine="100"/>
      <w:jc w:val="left"/>
      <w:textAlignment w:val="top"/>
    </w:pPr>
    <w:rPr>
      <w:rFonts w:ascii="Helvetica" w:hAnsi="Helvetica"/>
      <w:sz w:val="18"/>
      <w:szCs w:val="18"/>
      <w:lang w:eastAsia="cs-CZ"/>
    </w:rPr>
  </w:style>
  <w:style w:type="paragraph" w:customStyle="1" w:styleId="xl83">
    <w:name w:val="xl83"/>
    <w:basedOn w:val="Normln"/>
    <w:rsid w:val="0063694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center"/>
    </w:pPr>
    <w:rPr>
      <w:rFonts w:ascii="Helvetica" w:hAnsi="Helvetica"/>
      <w:b/>
      <w:bCs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AC53-A6D8-4371-B9EA-1E0789CD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1711</Words>
  <Characters>10096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 Vit</dc:creator>
  <cp:keywords/>
  <dc:description/>
  <cp:lastModifiedBy>Holečková Alexandra (MPSV)</cp:lastModifiedBy>
  <cp:revision>2</cp:revision>
  <cp:lastPrinted>2023-10-09T07:13:00Z</cp:lastPrinted>
  <dcterms:created xsi:type="dcterms:W3CDTF">2024-05-13T10:55:00Z</dcterms:created>
  <dcterms:modified xsi:type="dcterms:W3CDTF">2024-05-13T10:55:00Z</dcterms:modified>
</cp:coreProperties>
</file>