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2210" w14:textId="39882E66" w:rsidR="0027582B" w:rsidRDefault="00676686" w:rsidP="00676686">
      <w:pPr>
        <w:pStyle w:val="StylDoprava"/>
        <w:ind w:left="3545" w:firstLine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="0027582B">
        <w:rPr>
          <w:rFonts w:cs="Arial"/>
          <w:sz w:val="22"/>
          <w:szCs w:val="22"/>
        </w:rPr>
        <w:t>Čj.:</w:t>
      </w:r>
      <w:r>
        <w:rPr>
          <w:rFonts w:cs="Arial"/>
          <w:sz w:val="22"/>
          <w:szCs w:val="22"/>
        </w:rPr>
        <w:t xml:space="preserve"> </w:t>
      </w:r>
      <w:r w:rsidRPr="00676686">
        <w:rPr>
          <w:rFonts w:cs="Arial"/>
          <w:sz w:val="22"/>
          <w:szCs w:val="22"/>
        </w:rPr>
        <w:t>SPU 132949/2024/520100</w:t>
      </w:r>
    </w:p>
    <w:p w14:paraId="6FD79A19" w14:textId="20B9181D" w:rsidR="0027582B" w:rsidRDefault="0027582B" w:rsidP="00676686">
      <w:pPr>
        <w:pStyle w:val="StylDoprava"/>
        <w:ind w:left="2836" w:firstLine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676686">
        <w:rPr>
          <w:rFonts w:cs="Arial"/>
          <w:sz w:val="22"/>
          <w:szCs w:val="22"/>
        </w:rPr>
        <w:t xml:space="preserve"> </w:t>
      </w:r>
      <w:r w:rsidR="00676686" w:rsidRPr="00676686">
        <w:rPr>
          <w:rFonts w:cs="Arial"/>
          <w:sz w:val="22"/>
          <w:szCs w:val="22"/>
        </w:rPr>
        <w:t>spuess920a0def</w:t>
      </w:r>
    </w:p>
    <w:p w14:paraId="3D3FAC90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2149C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A2149C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4ECBF757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</w:t>
      </w:r>
      <w:proofErr w:type="gramStart"/>
      <w:r w:rsidR="00CF17C0" w:rsidRPr="00A2149C">
        <w:rPr>
          <w:sz w:val="22"/>
          <w:szCs w:val="22"/>
        </w:rPr>
        <w:t>11a</w:t>
      </w:r>
      <w:proofErr w:type="gramEnd"/>
      <w:r w:rsidR="00CF17C0" w:rsidRPr="00A2149C">
        <w:rPr>
          <w:sz w:val="22"/>
          <w:szCs w:val="22"/>
        </w:rPr>
        <w:t>, PSČ 130 00</w:t>
      </w:r>
    </w:p>
    <w:p w14:paraId="01DC9515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064FFD41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45B36A0D" w14:textId="77777777"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Mgr. Silvie Hawerlandová, LL.M., ředitelka Krajského pozemkového úřadu pro Kraj Vysočina</w:t>
      </w:r>
    </w:p>
    <w:p w14:paraId="0EF8517A" w14:textId="77777777"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Fritzova 4, 58601 Jihlava</w:t>
      </w:r>
    </w:p>
    <w:p w14:paraId="675A7AED" w14:textId="77777777"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14:paraId="152ACC7D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25F38A97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0B1878A8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44D9888B" w14:textId="328F9D09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Kotounová Renata</w:t>
      </w:r>
      <w:r w:rsidRPr="00A2149C">
        <w:rPr>
          <w:sz w:val="22"/>
          <w:szCs w:val="22"/>
        </w:rPr>
        <w:t>, r.č. 97</w:t>
      </w:r>
      <w:r w:rsidR="004B128A">
        <w:rPr>
          <w:sz w:val="22"/>
          <w:szCs w:val="22"/>
        </w:rPr>
        <w:t>XXXXXX</w:t>
      </w:r>
      <w:r w:rsidR="002C3BC7">
        <w:rPr>
          <w:sz w:val="22"/>
          <w:szCs w:val="22"/>
        </w:rPr>
        <w:t>XX</w:t>
      </w:r>
      <w:r w:rsidRPr="00A2149C">
        <w:rPr>
          <w:sz w:val="22"/>
          <w:szCs w:val="22"/>
        </w:rPr>
        <w:t xml:space="preserve">, trvalý pobyt </w:t>
      </w:r>
      <w:r w:rsidR="002C3BC7">
        <w:rPr>
          <w:sz w:val="22"/>
          <w:szCs w:val="22"/>
        </w:rPr>
        <w:t>XXXXXXXXX</w:t>
      </w:r>
      <w:r w:rsidRPr="00A2149C">
        <w:rPr>
          <w:sz w:val="22"/>
          <w:szCs w:val="22"/>
        </w:rPr>
        <w:t>, Hrotovice, PSČ 67555</w:t>
      </w:r>
    </w:p>
    <w:p w14:paraId="68580938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14:paraId="1466A98D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41833188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611007CB" w14:textId="77777777"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3F07EB56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2DDC0DFF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6E11BB9D" w14:textId="77777777"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395756EB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2002S23/64</w:t>
      </w:r>
    </w:p>
    <w:p w14:paraId="66AE49F7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47586557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2534A7EE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701B0975" w14:textId="77777777"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14:paraId="5846CFF4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2FA4A69F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A98F994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39AB781C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22B9FB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5E9C002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Dukovany</w:t>
      </w:r>
      <w:r w:rsidRPr="00257EB0">
        <w:rPr>
          <w:rStyle w:val="tabulkyNemovitosti"/>
        </w:rPr>
        <w:tab/>
        <w:t>Dukovany</w:t>
      </w:r>
      <w:r w:rsidRPr="00257EB0">
        <w:rPr>
          <w:rStyle w:val="tabulkyNemovitosti"/>
        </w:rPr>
        <w:tab/>
        <w:t>292/4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21BDF67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FA5031B" w14:textId="7AC64309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Vysočinu, Katastrální pracoviště Třebíč.</w:t>
      </w:r>
    </w:p>
    <w:p w14:paraId="4874EE69" w14:textId="77777777" w:rsidR="003D2D95" w:rsidRDefault="003D2D95" w:rsidP="003D2D95">
      <w:pPr>
        <w:pStyle w:val="VnitrniText"/>
        <w:ind w:firstLine="0"/>
      </w:pPr>
    </w:p>
    <w:p w14:paraId="48EB168C" w14:textId="77777777" w:rsidR="003D2D95" w:rsidRPr="003D2D95" w:rsidRDefault="003D2D95" w:rsidP="003D2D95">
      <w:pPr>
        <w:pStyle w:val="VnitrniText"/>
        <w:ind w:firstLine="0"/>
        <w:rPr>
          <w:color w:val="000000"/>
        </w:rPr>
      </w:pPr>
      <w:r w:rsidRPr="00727228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EB0B9B">
        <w:rPr>
          <w:color w:val="000000"/>
        </w:rPr>
        <w:t xml:space="preserve">směňovaná </w:t>
      </w:r>
      <w:r>
        <w:rPr>
          <w:color w:val="000000"/>
        </w:rPr>
        <w:t>nemovitost”</w:t>
      </w:r>
      <w:r w:rsidR="00546D18">
        <w:rPr>
          <w:color w:val="000000"/>
        </w:rPr>
        <w:t xml:space="preserve"> </w:t>
      </w:r>
      <w:r w:rsidR="00546D18" w:rsidRPr="00546D18">
        <w:rPr>
          <w:color w:val="000000"/>
        </w:rPr>
        <w:t>nebo „majetek“</w:t>
      </w:r>
      <w:r>
        <w:rPr>
          <w:color w:val="000000"/>
        </w:rPr>
        <w:t>)</w:t>
      </w:r>
    </w:p>
    <w:p w14:paraId="7DCCE1FB" w14:textId="77777777" w:rsidR="006E33CA" w:rsidRDefault="006E33CA" w:rsidP="001274AE">
      <w:pPr>
        <w:rPr>
          <w:rFonts w:ascii="Arial" w:hAnsi="Arial" w:cs="Arial"/>
          <w:sz w:val="22"/>
          <w:szCs w:val="22"/>
        </w:rPr>
      </w:pPr>
    </w:p>
    <w:p w14:paraId="38065451" w14:textId="2306B57E"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</w:t>
      </w:r>
      <w:bookmarkStart w:id="0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1A2AD4">
        <w:rPr>
          <w:rFonts w:ascii="Arial" w:hAnsi="Arial" w:cs="Arial"/>
          <w:iCs/>
          <w:sz w:val="22"/>
          <w:szCs w:val="22"/>
        </w:rPr>
        <w:t>245 700,00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dvě stě čtyřicet pět tisíc sedm set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5DD8443" w14:textId="77777777"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14:paraId="7E27DA33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59EACAE4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 je vlastníkem nemovitých věcí: </w:t>
      </w:r>
    </w:p>
    <w:p w14:paraId="1F766A1E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Pozemků:</w:t>
      </w:r>
    </w:p>
    <w:p w14:paraId="1CD1B9D9" w14:textId="77777777"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34D36F1B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14:paraId="2E5A3E45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5713A047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 xml:space="preserve">Katastr </w:t>
      </w:r>
      <w:proofErr w:type="gramStart"/>
      <w:r w:rsidRPr="00F533CB">
        <w:rPr>
          <w:rStyle w:val="tabulkyNemovitosti"/>
        </w:rPr>
        <w:t>nemovitostí - pozemkové</w:t>
      </w:r>
      <w:proofErr w:type="gramEnd"/>
    </w:p>
    <w:p w14:paraId="26F89B03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Rouchovany</w:t>
      </w:r>
      <w:r w:rsidRPr="00F533CB">
        <w:rPr>
          <w:rStyle w:val="tabulkyNemovitosti"/>
        </w:rPr>
        <w:tab/>
        <w:t>Rouchovany</w:t>
      </w:r>
      <w:r w:rsidRPr="00F533CB">
        <w:rPr>
          <w:rStyle w:val="tabulkyNemovitosti"/>
        </w:rPr>
        <w:tab/>
        <w:t>382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1147</w:t>
      </w:r>
    </w:p>
    <w:p w14:paraId="2A5F860D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Vysočinu, Katastrální pracoviště Třebíč</w:t>
      </w:r>
    </w:p>
    <w:p w14:paraId="2DA670E6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6545E8AA" w14:textId="77777777" w:rsidR="00F533CB" w:rsidRDefault="00E50E8F" w:rsidP="00F533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3CB">
        <w:rPr>
          <w:rFonts w:ascii="Arial" w:hAnsi="Arial" w:cs="Arial"/>
          <w:sz w:val="22"/>
          <w:szCs w:val="22"/>
        </w:rPr>
        <w:t>(dále jen „směňované nemovitosti“).</w:t>
      </w:r>
    </w:p>
    <w:p w14:paraId="7B7BA79E" w14:textId="77777777" w:rsidR="00A554DB" w:rsidRDefault="00A554DB" w:rsidP="00F533CB">
      <w:pPr>
        <w:jc w:val="both"/>
        <w:rPr>
          <w:rFonts w:ascii="Arial" w:hAnsi="Arial" w:cs="Arial"/>
          <w:sz w:val="22"/>
          <w:szCs w:val="22"/>
        </w:rPr>
      </w:pPr>
    </w:p>
    <w:p w14:paraId="3DDF7C37" w14:textId="77777777" w:rsidR="00A554DB" w:rsidRDefault="00A554DB" w:rsidP="00F533CB">
      <w:pPr>
        <w:jc w:val="both"/>
        <w:rPr>
          <w:rFonts w:ascii="Arial" w:hAnsi="Arial" w:cs="Arial"/>
          <w:sz w:val="22"/>
          <w:szCs w:val="22"/>
        </w:rPr>
      </w:pPr>
    </w:p>
    <w:p w14:paraId="2783C0A6" w14:textId="77777777" w:rsidR="00A554DB" w:rsidRDefault="00A554DB" w:rsidP="00F533CB">
      <w:pPr>
        <w:jc w:val="both"/>
        <w:rPr>
          <w:rFonts w:ascii="Arial" w:hAnsi="Arial" w:cs="Arial"/>
          <w:sz w:val="22"/>
          <w:szCs w:val="22"/>
        </w:rPr>
      </w:pPr>
    </w:p>
    <w:p w14:paraId="18983D07" w14:textId="77777777" w:rsidR="00A554DB" w:rsidRDefault="00A554DB" w:rsidP="00F533CB">
      <w:pPr>
        <w:jc w:val="both"/>
        <w:rPr>
          <w:rFonts w:ascii="Arial" w:hAnsi="Arial" w:cs="Arial"/>
          <w:sz w:val="22"/>
          <w:szCs w:val="22"/>
        </w:rPr>
      </w:pPr>
    </w:p>
    <w:p w14:paraId="31D24E58" w14:textId="77777777" w:rsidR="00A554DB" w:rsidRDefault="00A554DB" w:rsidP="00F533CB">
      <w:pPr>
        <w:jc w:val="both"/>
        <w:rPr>
          <w:rFonts w:ascii="Arial" w:hAnsi="Arial" w:cs="Arial"/>
          <w:sz w:val="22"/>
          <w:szCs w:val="22"/>
        </w:rPr>
      </w:pPr>
    </w:p>
    <w:p w14:paraId="45FBBC0A" w14:textId="77777777" w:rsidR="00F533CB" w:rsidRDefault="00F533CB" w:rsidP="00F533CB">
      <w:pPr>
        <w:pStyle w:val="VnitrniText"/>
        <w:rPr>
          <w:sz w:val="22"/>
          <w:szCs w:val="22"/>
        </w:rPr>
      </w:pPr>
    </w:p>
    <w:p w14:paraId="6569B641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Cena těchto nemovitostí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36 630,00 Kč (slovy: třicet šest tisíc šest set třicet korun českých).</w:t>
      </w:r>
    </w:p>
    <w:p w14:paraId="2381C7A9" w14:textId="77777777" w:rsidR="00022579" w:rsidRDefault="00022579" w:rsidP="00EB6C54">
      <w:pPr>
        <w:pStyle w:val="VnitrniText"/>
        <w:rPr>
          <w:sz w:val="22"/>
          <w:szCs w:val="22"/>
        </w:rPr>
      </w:pPr>
    </w:p>
    <w:p w14:paraId="60316D78" w14:textId="77777777" w:rsidR="00A554DB" w:rsidRPr="00A2149C" w:rsidRDefault="00A554DB" w:rsidP="00EB6C54">
      <w:pPr>
        <w:pStyle w:val="VnitrniText"/>
        <w:rPr>
          <w:sz w:val="22"/>
          <w:szCs w:val="22"/>
        </w:rPr>
      </w:pPr>
    </w:p>
    <w:p w14:paraId="44D57563" w14:textId="77777777"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14:paraId="4C052C62" w14:textId="77777777" w:rsidR="00F533CB" w:rsidRDefault="00F533CB" w:rsidP="00A7101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14:paraId="67B0C43B" w14:textId="77777777" w:rsidR="009365AA" w:rsidRDefault="009365AA" w:rsidP="00A71015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7D848822" w14:textId="77777777"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14:paraId="60678D11" w14:textId="77777777" w:rsidR="004E34F7" w:rsidRDefault="004E34F7" w:rsidP="004E34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10E825DA" w14:textId="77777777" w:rsidR="00C916FA" w:rsidRDefault="00C916FA" w:rsidP="001210FA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BB027D">
        <w:rPr>
          <w:rFonts w:ascii="Arial" w:hAnsi="Arial" w:cs="Arial"/>
          <w:szCs w:val="22"/>
        </w:rPr>
        <w:t xml:space="preserve">Cenový rozdíl ve prospěch SPÚ, tj. rozdíl mezi cenami uvedenými v čl. I. a čl. II. této smlouvy, činí </w:t>
      </w:r>
      <w:r>
        <w:rPr>
          <w:rFonts w:ascii="Arial" w:hAnsi="Arial" w:cs="Arial"/>
          <w:szCs w:val="22"/>
        </w:rPr>
        <w:t>209 070,00 Kč (slovy: dvě stě devět tisíc sedmdesát korun českých).</w:t>
      </w:r>
    </w:p>
    <w:p w14:paraId="3500D42B" w14:textId="77777777" w:rsidR="00CF17C0" w:rsidRDefault="00C916FA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ab/>
      </w:r>
      <w:r w:rsidR="00E74C29">
        <w:rPr>
          <w:rFonts w:ascii="Arial" w:hAnsi="Arial" w:cs="Arial"/>
          <w:color w:val="000000"/>
          <w:szCs w:val="22"/>
        </w:rPr>
        <w:t>Cenový rozdíl</w:t>
      </w:r>
      <w:r w:rsidR="001210FA" w:rsidRPr="00D92F8C">
        <w:rPr>
          <w:rFonts w:ascii="Arial" w:hAnsi="Arial" w:cs="Arial"/>
          <w:color w:val="000000"/>
          <w:szCs w:val="22"/>
        </w:rPr>
        <w:t xml:space="preserve"> ve výši </w:t>
      </w:r>
      <w:r w:rsidR="00205059">
        <w:rPr>
          <w:rFonts w:ascii="Arial" w:hAnsi="Arial" w:cs="Arial"/>
          <w:szCs w:val="22"/>
        </w:rPr>
        <w:t>209 070,00 Kč (slovy: dvě stě devět tisíc sedmdesát korun českých)</w:t>
      </w:r>
      <w:r w:rsidR="001210FA" w:rsidRPr="00D92F8C">
        <w:rPr>
          <w:rFonts w:ascii="Arial" w:hAnsi="Arial" w:cs="Arial"/>
          <w:color w:val="000000"/>
          <w:szCs w:val="22"/>
        </w:rPr>
        <w:t xml:space="preserve"> byl uhrazen před podpisem této </w:t>
      </w:r>
      <w:r w:rsidR="001210FA">
        <w:rPr>
          <w:rFonts w:ascii="Arial" w:hAnsi="Arial" w:cs="Arial"/>
          <w:color w:val="000000"/>
          <w:szCs w:val="22"/>
        </w:rPr>
        <w:t>smlouvy</w:t>
      </w:r>
      <w:r w:rsidR="001210FA" w:rsidRPr="00D92F8C">
        <w:rPr>
          <w:rFonts w:ascii="Arial" w:hAnsi="Arial" w:cs="Arial"/>
          <w:color w:val="000000"/>
          <w:szCs w:val="22"/>
        </w:rPr>
        <w:t xml:space="preserve"> na účet SPÚ, vedený u České národní banky, č. ú. 80012-3723001/0710, variabilní symbol 2002482364.</w:t>
      </w:r>
      <w:r w:rsidR="00C173D3">
        <w:rPr>
          <w:rFonts w:ascii="Arial" w:hAnsi="Arial" w:cs="Arial"/>
          <w:color w:val="000000"/>
          <w:szCs w:val="22"/>
          <w:lang w:val="en-US"/>
        </w:rPr>
        <w:t xml:space="preserve"> </w:t>
      </w:r>
    </w:p>
    <w:p w14:paraId="52886B69" w14:textId="77777777" w:rsidR="009365AA" w:rsidRDefault="009365AA" w:rsidP="001210FA">
      <w:pPr>
        <w:pStyle w:val="Zkladntext"/>
        <w:tabs>
          <w:tab w:val="left" w:pos="284"/>
        </w:tabs>
        <w:rPr>
          <w:szCs w:val="22"/>
          <w:lang w:val="en-US"/>
        </w:rPr>
      </w:pPr>
    </w:p>
    <w:p w14:paraId="7F73FFD3" w14:textId="77777777" w:rsidR="009365AA" w:rsidRPr="00C173D3" w:rsidRDefault="009365AA" w:rsidP="001210FA">
      <w:pPr>
        <w:pStyle w:val="Zkladntext"/>
        <w:tabs>
          <w:tab w:val="left" w:pos="284"/>
        </w:tabs>
        <w:rPr>
          <w:szCs w:val="22"/>
          <w:lang w:val="en-US"/>
        </w:rPr>
      </w:pPr>
    </w:p>
    <w:p w14:paraId="7BD84365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14:paraId="329E685D" w14:textId="77777777" w:rsidR="00011A73" w:rsidRPr="00A2149C" w:rsidRDefault="00011A73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pozemků.</w:t>
      </w:r>
    </w:p>
    <w:p w14:paraId="02167634" w14:textId="77777777" w:rsidR="0037157C" w:rsidRDefault="002709BE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14:paraId="75A16FD6" w14:textId="77777777" w:rsidR="009365AA" w:rsidRDefault="009365AA" w:rsidP="000B0AA7">
      <w:pPr>
        <w:pStyle w:val="VnitrniText"/>
        <w:rPr>
          <w:sz w:val="22"/>
          <w:szCs w:val="22"/>
        </w:rPr>
      </w:pPr>
    </w:p>
    <w:p w14:paraId="3C30B42D" w14:textId="77777777" w:rsidR="00A554DB" w:rsidRPr="00A2149C" w:rsidRDefault="00A554DB" w:rsidP="000B0AA7">
      <w:pPr>
        <w:pStyle w:val="VnitrniText"/>
        <w:rPr>
          <w:sz w:val="22"/>
          <w:szCs w:val="22"/>
        </w:rPr>
      </w:pPr>
    </w:p>
    <w:p w14:paraId="32C16822" w14:textId="77777777" w:rsidR="001D73FD" w:rsidRDefault="001D73FD" w:rsidP="000B0AA7">
      <w:pPr>
        <w:pStyle w:val="VnitrniText"/>
        <w:rPr>
          <w:sz w:val="22"/>
          <w:szCs w:val="22"/>
        </w:rPr>
      </w:pPr>
    </w:p>
    <w:p w14:paraId="40C49F85" w14:textId="77777777"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14:paraId="52288084" w14:textId="1F71A97C" w:rsidR="00C8663B" w:rsidRPr="00A2149C" w:rsidRDefault="0093274E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="00C8663B" w:rsidRPr="00A2149C">
        <w:rPr>
          <w:sz w:val="22"/>
          <w:szCs w:val="22"/>
        </w:rPr>
        <w:t xml:space="preserve">  Užívací vztah k prodávanému pozemku je řešen nájemní smlouvou č. 46N06/64, kterou se Státním pozemkovým úřadem uzavřel SEDUK DUKOVANY, spol. s r.</w:t>
      </w:r>
      <w:r w:rsidR="00FE146D">
        <w:rPr>
          <w:sz w:val="22"/>
          <w:szCs w:val="22"/>
        </w:rPr>
        <w:t xml:space="preserve"> </w:t>
      </w:r>
      <w:r w:rsidR="00C8663B" w:rsidRPr="00A2149C">
        <w:rPr>
          <w:sz w:val="22"/>
          <w:szCs w:val="22"/>
        </w:rPr>
        <w:t>o., jakožto nájemce. S obsahem nájemní smlouvy byl kupující seznámen před podpisem této smlouvy, což stvrzuje svým podpisem.</w:t>
      </w:r>
    </w:p>
    <w:p w14:paraId="35D37637" w14:textId="64189A0F" w:rsidR="007D2608" w:rsidRPr="00A2149C" w:rsidRDefault="00FE146D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</w:t>
      </w:r>
      <w:r w:rsidR="007D2608" w:rsidRPr="00A2149C">
        <w:rPr>
          <w:sz w:val="22"/>
          <w:szCs w:val="22"/>
        </w:rPr>
        <w:t>. Pozemek převáděný z vlastnictví státu do vlastnictví nabyvatele je součástí honitby Fiola Dukovany, jejímž držitelem je Honební společenstvo Fiola Dukovany, a to na základě rozhodnutí, které vydal orgán státní správy myslivosti Okresní úřad v Třebíči dne 5.2.2003, pod čj ZP-160/2003 SSM.</w:t>
      </w:r>
    </w:p>
    <w:p w14:paraId="06C969AA" w14:textId="77777777" w:rsidR="009365AA" w:rsidRDefault="009365AA" w:rsidP="00696D39">
      <w:pPr>
        <w:pStyle w:val="VnitrniText"/>
        <w:ind w:firstLine="0"/>
        <w:rPr>
          <w:b/>
          <w:sz w:val="22"/>
          <w:szCs w:val="22"/>
        </w:rPr>
      </w:pPr>
    </w:p>
    <w:p w14:paraId="366B5C01" w14:textId="4D4C64F2"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4FB56409" w14:textId="2F66A9A5" w:rsidR="00F7224E" w:rsidRDefault="00696D39" w:rsidP="00696D39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F7224E">
        <w:rPr>
          <w:sz w:val="22"/>
          <w:szCs w:val="22"/>
        </w:rPr>
        <w:t>Užívací vztah k převáděné nemovitosti je řešen pachtovní smlouvou č. 1 uzavřenou se Zemědělským družstvem Hrotovice, jakožto nájemcem. S obsahem nájemní smlouvy byl SPÚ seznámen před podpisem této smlouvy, což stvrzuje svým podpisem.</w:t>
      </w:r>
    </w:p>
    <w:p w14:paraId="1BA3087E" w14:textId="36170612" w:rsidR="00696D39" w:rsidRDefault="00F7224E" w:rsidP="0054623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2. Pozem</w:t>
      </w:r>
      <w:r w:rsidR="00FE146D">
        <w:rPr>
          <w:sz w:val="22"/>
          <w:szCs w:val="22"/>
        </w:rPr>
        <w:t>e</w:t>
      </w:r>
      <w:r>
        <w:rPr>
          <w:sz w:val="22"/>
          <w:szCs w:val="22"/>
        </w:rPr>
        <w:t>k nabývan</w:t>
      </w:r>
      <w:r w:rsidR="00FE146D">
        <w:rPr>
          <w:sz w:val="22"/>
          <w:szCs w:val="22"/>
        </w:rPr>
        <w:t>ý</w:t>
      </w:r>
      <w:r>
        <w:rPr>
          <w:sz w:val="22"/>
          <w:szCs w:val="22"/>
        </w:rPr>
        <w:t xml:space="preserve"> státem j</w:t>
      </w:r>
      <w:r w:rsidR="00FE146D">
        <w:rPr>
          <w:sz w:val="22"/>
          <w:szCs w:val="22"/>
        </w:rPr>
        <w:t>e</w:t>
      </w:r>
      <w:r>
        <w:rPr>
          <w:sz w:val="22"/>
          <w:szCs w:val="22"/>
        </w:rPr>
        <w:t xml:space="preserve"> součástí Honitby Dalešice, jejímž držitelem je Honební společenstvo Dalešice.</w:t>
      </w:r>
    </w:p>
    <w:p w14:paraId="1C56D849" w14:textId="77777777" w:rsidR="009365AA" w:rsidRDefault="009365AA" w:rsidP="0054623B">
      <w:pPr>
        <w:pStyle w:val="VnitrniText"/>
        <w:rPr>
          <w:sz w:val="22"/>
          <w:szCs w:val="22"/>
        </w:rPr>
      </w:pPr>
    </w:p>
    <w:p w14:paraId="651BB19C" w14:textId="77777777" w:rsidR="00A554DB" w:rsidRDefault="00A554DB" w:rsidP="0054623B">
      <w:pPr>
        <w:pStyle w:val="VnitrniText"/>
        <w:rPr>
          <w:sz w:val="22"/>
          <w:szCs w:val="22"/>
        </w:rPr>
      </w:pPr>
    </w:p>
    <w:p w14:paraId="5889790D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14:paraId="2CF5D92A" w14:textId="77777777" w:rsidR="00A87FFB" w:rsidRDefault="00A87FFB" w:rsidP="00A87FFB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6E98FA3F" w14:textId="77777777"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144AE39" w14:textId="77777777" w:rsidR="009365AA" w:rsidRDefault="009365AA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6A9FEFF" w14:textId="77777777" w:rsidR="009365AA" w:rsidRDefault="009365AA" w:rsidP="00F359D3">
      <w:pPr>
        <w:pStyle w:val="para"/>
        <w:rPr>
          <w:rFonts w:ascii="Arial" w:hAnsi="Arial" w:cs="Arial"/>
          <w:sz w:val="22"/>
          <w:szCs w:val="22"/>
        </w:rPr>
      </w:pPr>
    </w:p>
    <w:p w14:paraId="7DC5227E" w14:textId="572B640C"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0EC9334A" w14:textId="1F621743" w:rsidR="00A87FFB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</w:t>
      </w:r>
      <w:r w:rsidR="00956B85">
        <w:rPr>
          <w:rFonts w:ascii="Arial" w:hAnsi="Arial" w:cs="Arial"/>
          <w:sz w:val="22"/>
          <w:szCs w:val="22"/>
          <w:lang w:val="en-US"/>
        </w:rPr>
        <w:br/>
      </w:r>
      <w:r>
        <w:rPr>
          <w:rFonts w:ascii="Arial" w:hAnsi="Arial" w:cs="Arial"/>
          <w:sz w:val="22"/>
          <w:szCs w:val="22"/>
          <w:lang w:val="en-US"/>
        </w:rPr>
        <w:t xml:space="preserve">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57C14691" w14:textId="77777777" w:rsidR="00F359D3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CBD1AB8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6DB6C9DA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40E616B9" w14:textId="77777777" w:rsidR="009365AA" w:rsidRDefault="009365AA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BEA99AC" w14:textId="77777777" w:rsidR="00F359D3" w:rsidRPr="00C707C8" w:rsidRDefault="007C3A0B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14:paraId="021634A7" w14:textId="22140393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E50B5">
        <w:rPr>
          <w:rFonts w:ascii="Arial" w:hAnsi="Arial" w:cs="Arial"/>
          <w:sz w:val="22"/>
          <w:szCs w:val="22"/>
        </w:rPr>
        <w:t>obdrží</w:t>
      </w:r>
      <w:proofErr w:type="gramEnd"/>
      <w:r w:rsidRPr="00BE50B5">
        <w:rPr>
          <w:rFonts w:ascii="Arial" w:hAnsi="Arial" w:cs="Arial"/>
          <w:sz w:val="22"/>
          <w:szCs w:val="22"/>
        </w:rPr>
        <w:t xml:space="preserve"> 1 stejnopis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14:paraId="28EEA3FD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3C60A113" w14:textId="77777777" w:rsidR="009365AA" w:rsidRPr="00BE50B5" w:rsidRDefault="009365AA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615F907" w14:textId="136DDE5C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14:paraId="20639073" w14:textId="77777777" w:rsidR="009365AA" w:rsidRPr="00BE50B5" w:rsidRDefault="009365AA" w:rsidP="00F359D3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3FF6365" w14:textId="77777777"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7952270" w14:textId="77777777"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X.</w:t>
      </w:r>
    </w:p>
    <w:p w14:paraId="1F56E933" w14:textId="77777777" w:rsidR="006B73C0" w:rsidRDefault="00415244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14:paraId="492B2CE9" w14:textId="77777777" w:rsidR="009365AA" w:rsidRPr="009D4E32" w:rsidRDefault="009365AA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1252C615" w14:textId="77777777" w:rsidR="00420F01" w:rsidRPr="009D4E32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14:paraId="0C85CDED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0439BCB7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6097420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14:paraId="23B8B995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00B44753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14:paraId="1F20E57D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86D5B20" w14:textId="77777777" w:rsidR="006B73C0" w:rsidRPr="009D4E32" w:rsidRDefault="006B73C0" w:rsidP="00E37537">
      <w:pPr>
        <w:pStyle w:val="VnitrniText"/>
        <w:ind w:firstLine="0"/>
        <w:jc w:val="center"/>
        <w:rPr>
          <w:b/>
          <w:sz w:val="22"/>
          <w:szCs w:val="22"/>
        </w:rPr>
      </w:pPr>
    </w:p>
    <w:p w14:paraId="564DB031" w14:textId="77777777" w:rsidR="00E37537" w:rsidRPr="009D4E32" w:rsidRDefault="00E37537" w:rsidP="00E37537">
      <w:pPr>
        <w:pStyle w:val="VnitrniText"/>
        <w:ind w:firstLine="0"/>
        <w:jc w:val="center"/>
        <w:rPr>
          <w:b/>
          <w:sz w:val="22"/>
          <w:szCs w:val="22"/>
        </w:rPr>
      </w:pPr>
      <w:r w:rsidRPr="009D4E32">
        <w:rPr>
          <w:b/>
          <w:sz w:val="22"/>
          <w:szCs w:val="22"/>
        </w:rPr>
        <w:t>XII.</w:t>
      </w:r>
    </w:p>
    <w:p w14:paraId="7D6D3245" w14:textId="77777777" w:rsidR="00E37537" w:rsidRPr="001627D0" w:rsidRDefault="00E37537" w:rsidP="005F3C42">
      <w:pPr>
        <w:ind w:firstLine="426"/>
        <w:jc w:val="both"/>
        <w:rPr>
          <w:rFonts w:ascii="Arial" w:hAnsi="Arial"/>
          <w:sz w:val="22"/>
          <w:szCs w:val="22"/>
        </w:rPr>
      </w:pPr>
      <w:r w:rsidRPr="001627D0">
        <w:rPr>
          <w:rFonts w:ascii="Arial" w:hAnsi="Arial"/>
          <w:sz w:val="22"/>
          <w:szCs w:val="22"/>
        </w:rPr>
        <w:t>1.</w:t>
      </w:r>
      <w:r w:rsidR="005F3C42">
        <w:rPr>
          <w:rFonts w:ascii="Arial" w:hAnsi="Arial"/>
          <w:sz w:val="22"/>
          <w:szCs w:val="22"/>
        </w:rPr>
        <w:t xml:space="preserve"> </w:t>
      </w:r>
      <w:r w:rsidR="005F3C42" w:rsidRPr="005F3C42">
        <w:rPr>
          <w:rFonts w:ascii="Arial" w:hAnsi="Arial"/>
          <w:sz w:val="22"/>
          <w:szCs w:val="22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0C5DE5E" w14:textId="77777777" w:rsidR="006B73C0" w:rsidRPr="001627D0" w:rsidRDefault="00E37537" w:rsidP="001627D0">
      <w:pPr>
        <w:ind w:firstLine="426"/>
        <w:jc w:val="both"/>
        <w:rPr>
          <w:rFonts w:ascii="Arial" w:hAnsi="Arial"/>
          <w:sz w:val="22"/>
          <w:szCs w:val="22"/>
        </w:rPr>
      </w:pPr>
      <w:r w:rsidRPr="001627D0">
        <w:rPr>
          <w:rFonts w:ascii="Arial" w:hAnsi="Arial"/>
          <w:sz w:val="22"/>
          <w:szCs w:val="22"/>
        </w:rPr>
        <w:t xml:space="preserve">2. </w:t>
      </w:r>
      <w:r w:rsidR="006B73C0" w:rsidRPr="001627D0">
        <w:rPr>
          <w:rFonts w:ascii="Arial" w:hAnsi="Arial"/>
          <w:sz w:val="22"/>
          <w:szCs w:val="22"/>
        </w:rPr>
        <w:t>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nezpřístupní tyto osobní údaje třetím osobám.</w:t>
      </w:r>
    </w:p>
    <w:p w14:paraId="51F090D1" w14:textId="77777777" w:rsidR="006B73C0" w:rsidRDefault="005D64D5" w:rsidP="001627D0">
      <w:pPr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souladu se zákonem č. 110/2019 Sb., o zpracování osobních údajů, a platným</w:t>
      </w:r>
      <w:r>
        <w:rPr>
          <w:rFonts w:cs="Arial"/>
        </w:rPr>
        <w:t xml:space="preserve"> </w:t>
      </w:r>
      <w:r w:rsidR="006B73C0" w:rsidRPr="001627D0">
        <w:rPr>
          <w:rFonts w:ascii="Arial" w:hAnsi="Arial"/>
          <w:sz w:val="22"/>
          <w:szCs w:val="22"/>
        </w:rPr>
        <w:t>nařízením Evropského parlamentu a Rady EU 2016/679 („GDPR“).</w:t>
      </w:r>
    </w:p>
    <w:p w14:paraId="0FA066B8" w14:textId="77777777" w:rsidR="009365AA" w:rsidRPr="001627D0" w:rsidRDefault="009365AA" w:rsidP="001627D0">
      <w:pPr>
        <w:ind w:firstLine="426"/>
        <w:jc w:val="both"/>
        <w:rPr>
          <w:rFonts w:ascii="Arial" w:hAnsi="Arial"/>
          <w:sz w:val="22"/>
          <w:szCs w:val="22"/>
        </w:rPr>
      </w:pPr>
    </w:p>
    <w:p w14:paraId="6A3E8F0F" w14:textId="77777777" w:rsidR="00E37537" w:rsidRPr="009D4E32" w:rsidRDefault="00E37537" w:rsidP="00E37537">
      <w:pPr>
        <w:pStyle w:val="VnitrniText"/>
        <w:rPr>
          <w:sz w:val="22"/>
          <w:szCs w:val="22"/>
        </w:rPr>
      </w:pPr>
    </w:p>
    <w:p w14:paraId="7D03338C" w14:textId="77777777" w:rsidR="00E37537" w:rsidRPr="009D4E32" w:rsidRDefault="00E37537" w:rsidP="00E37537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</w:t>
      </w:r>
      <w:r w:rsidR="007C3A0B">
        <w:rPr>
          <w:rFonts w:ascii="Arial" w:hAnsi="Arial" w:cs="Arial"/>
          <w:sz w:val="22"/>
          <w:szCs w:val="22"/>
        </w:rPr>
        <w:t>II</w:t>
      </w:r>
      <w:r w:rsidRPr="009D4E32">
        <w:rPr>
          <w:rFonts w:ascii="Arial" w:hAnsi="Arial" w:cs="Arial"/>
          <w:sz w:val="22"/>
          <w:szCs w:val="22"/>
        </w:rPr>
        <w:t xml:space="preserve">. </w:t>
      </w:r>
    </w:p>
    <w:p w14:paraId="7EDD80C9" w14:textId="77777777" w:rsidR="0037157C" w:rsidRPr="009D4E32" w:rsidRDefault="00E37537" w:rsidP="001627D0">
      <w:pPr>
        <w:ind w:firstLine="426"/>
        <w:jc w:val="both"/>
        <w:rPr>
          <w:rFonts w:cs="Arial"/>
          <w:sz w:val="22"/>
          <w:szCs w:val="22"/>
        </w:rPr>
      </w:pPr>
      <w:r w:rsidRPr="001627D0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12A293D6" w14:textId="77777777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020E331E" w14:textId="77777777"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14:paraId="75CBA61D" w14:textId="77777777"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54623B" w14:paraId="49F0CEA9" w14:textId="77777777" w:rsidTr="0054623B">
        <w:tc>
          <w:tcPr>
            <w:tcW w:w="4888" w:type="dxa"/>
            <w:shd w:val="clear" w:color="auto" w:fill="auto"/>
            <w:hideMark/>
          </w:tcPr>
          <w:p w14:paraId="20B0AACA" w14:textId="3DC7820A" w:rsidR="004E17F9" w:rsidRPr="0054623B" w:rsidRDefault="00732A4A" w:rsidP="0054623B">
            <w:pPr>
              <w:pStyle w:val="VnitrniText"/>
              <w:ind w:firstLine="0"/>
              <w:rPr>
                <w:sz w:val="22"/>
                <w:szCs w:val="22"/>
              </w:rPr>
            </w:pPr>
            <w:r w:rsidRPr="0054623B">
              <w:rPr>
                <w:sz w:val="22"/>
                <w:szCs w:val="22"/>
              </w:rPr>
              <w:t xml:space="preserve">V Jihlavě dne </w:t>
            </w:r>
            <w:r>
              <w:rPr>
                <w:sz w:val="22"/>
                <w:szCs w:val="22"/>
              </w:rPr>
              <w:t>6. 5. 2024</w:t>
            </w:r>
          </w:p>
        </w:tc>
        <w:tc>
          <w:tcPr>
            <w:tcW w:w="4889" w:type="dxa"/>
            <w:shd w:val="clear" w:color="auto" w:fill="auto"/>
            <w:hideMark/>
          </w:tcPr>
          <w:p w14:paraId="3494C25A" w14:textId="33975C75" w:rsidR="004E17F9" w:rsidRPr="0054623B" w:rsidRDefault="009365AA" w:rsidP="0054623B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54623B">
              <w:rPr>
                <w:sz w:val="22"/>
                <w:szCs w:val="22"/>
              </w:rPr>
              <w:t xml:space="preserve">V Jihlavě dne </w:t>
            </w:r>
            <w:r w:rsidR="00161A9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  <w:r w:rsidR="00161A9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2024</w:t>
            </w:r>
          </w:p>
        </w:tc>
      </w:tr>
    </w:tbl>
    <w:p w14:paraId="36350CAD" w14:textId="77777777"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14:paraId="2C34162D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5438134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4805"/>
      </w:tblGrid>
      <w:tr w:rsidR="004E17F9" w:rsidRPr="0054623B" w14:paraId="0BECF1C4" w14:textId="77777777" w:rsidTr="0054623B">
        <w:tc>
          <w:tcPr>
            <w:tcW w:w="4888" w:type="dxa"/>
            <w:shd w:val="clear" w:color="auto" w:fill="auto"/>
          </w:tcPr>
          <w:p w14:paraId="7417B427" w14:textId="77777777" w:rsidR="004E17F9" w:rsidRDefault="004E17F9" w:rsidP="0054623B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55F34724" w14:textId="77777777" w:rsidR="00956B85" w:rsidRDefault="00956B85" w:rsidP="0054623B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5AA4A8F9" w14:textId="77777777" w:rsidR="00A554DB" w:rsidRDefault="00A554DB" w:rsidP="0054623B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69C0A551" w14:textId="77777777" w:rsidR="009365AA" w:rsidRPr="0054623B" w:rsidRDefault="009365AA" w:rsidP="0054623B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1E93172E" w14:textId="77777777" w:rsidR="004E17F9" w:rsidRPr="0054623B" w:rsidRDefault="004E17F9" w:rsidP="0054623B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54623B" w14:paraId="21B187B0" w14:textId="77777777" w:rsidTr="0054623B">
        <w:tc>
          <w:tcPr>
            <w:tcW w:w="4888" w:type="dxa"/>
            <w:shd w:val="clear" w:color="auto" w:fill="auto"/>
          </w:tcPr>
          <w:p w14:paraId="1C03AC92" w14:textId="3980E46D" w:rsidR="004E17F9" w:rsidRPr="0054623B" w:rsidRDefault="004E17F9" w:rsidP="0054623B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54623B">
              <w:rPr>
                <w:sz w:val="22"/>
                <w:szCs w:val="22"/>
              </w:rPr>
              <w:t>............................................</w:t>
            </w:r>
            <w:r w:rsidR="009365AA">
              <w:rPr>
                <w:sz w:val="22"/>
                <w:szCs w:val="22"/>
              </w:rPr>
              <w:t>....................</w:t>
            </w:r>
          </w:p>
        </w:tc>
        <w:tc>
          <w:tcPr>
            <w:tcW w:w="4889" w:type="dxa"/>
            <w:shd w:val="clear" w:color="auto" w:fill="auto"/>
          </w:tcPr>
          <w:p w14:paraId="540011A3" w14:textId="1DA8075C" w:rsidR="004E17F9" w:rsidRPr="0054623B" w:rsidRDefault="004E17F9" w:rsidP="0054623B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54623B">
              <w:rPr>
                <w:sz w:val="22"/>
                <w:szCs w:val="22"/>
              </w:rPr>
              <w:t>............................................</w:t>
            </w:r>
            <w:r w:rsidR="009365AA">
              <w:rPr>
                <w:sz w:val="22"/>
                <w:szCs w:val="22"/>
              </w:rPr>
              <w:t>..............</w:t>
            </w:r>
          </w:p>
        </w:tc>
      </w:tr>
      <w:tr w:rsidR="004E17F9" w:rsidRPr="0054623B" w14:paraId="50F384FF" w14:textId="77777777" w:rsidTr="0054623B">
        <w:tc>
          <w:tcPr>
            <w:tcW w:w="4888" w:type="dxa"/>
            <w:shd w:val="clear" w:color="auto" w:fill="auto"/>
          </w:tcPr>
          <w:p w14:paraId="32AF2CE0" w14:textId="77777777" w:rsidR="004E17F9" w:rsidRPr="0054623B" w:rsidRDefault="004E17F9" w:rsidP="0054623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4623B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05596139" w14:textId="77777777" w:rsidR="004E17F9" w:rsidRPr="0054623B" w:rsidRDefault="004E17F9" w:rsidP="0054623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4623B">
              <w:rPr>
                <w:rFonts w:ascii="Arial" w:hAnsi="Arial" w:cs="Arial"/>
                <w:sz w:val="22"/>
                <w:szCs w:val="22"/>
              </w:rPr>
              <w:t>Kotounová Renata</w:t>
            </w:r>
          </w:p>
        </w:tc>
      </w:tr>
      <w:tr w:rsidR="004E17F9" w:rsidRPr="0054623B" w14:paraId="0EF56615" w14:textId="77777777" w:rsidTr="0054623B">
        <w:tc>
          <w:tcPr>
            <w:tcW w:w="4888" w:type="dxa"/>
            <w:shd w:val="clear" w:color="auto" w:fill="auto"/>
          </w:tcPr>
          <w:p w14:paraId="29421ACE" w14:textId="77777777" w:rsidR="004E17F9" w:rsidRPr="0054623B" w:rsidRDefault="004E17F9" w:rsidP="0054623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4623B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680B2773" w14:textId="77777777" w:rsidR="004E17F9" w:rsidRPr="0054623B" w:rsidRDefault="004E17F9" w:rsidP="0054623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4623B"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4E17F9" w:rsidRPr="0054623B" w14:paraId="56B99425" w14:textId="77777777" w:rsidTr="0054623B">
        <w:tc>
          <w:tcPr>
            <w:tcW w:w="4888" w:type="dxa"/>
            <w:shd w:val="clear" w:color="auto" w:fill="auto"/>
          </w:tcPr>
          <w:p w14:paraId="7759FE67" w14:textId="77777777" w:rsidR="004E17F9" w:rsidRPr="0054623B" w:rsidRDefault="004E17F9" w:rsidP="0054623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4623B">
              <w:rPr>
                <w:rFonts w:ascii="Arial" w:hAnsi="Arial" w:cs="Arial"/>
                <w:sz w:val="22"/>
                <w:szCs w:val="22"/>
              </w:rPr>
              <w:t>Mgr. Silvie Hawerlandová, LL.M.</w:t>
            </w:r>
          </w:p>
        </w:tc>
        <w:tc>
          <w:tcPr>
            <w:tcW w:w="4889" w:type="dxa"/>
            <w:shd w:val="clear" w:color="auto" w:fill="auto"/>
          </w:tcPr>
          <w:p w14:paraId="5281C042" w14:textId="77777777" w:rsidR="004E17F9" w:rsidRPr="0054623B" w:rsidRDefault="004E17F9" w:rsidP="0054623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7F9" w:rsidRPr="0054623B" w14:paraId="4830551B" w14:textId="77777777" w:rsidTr="0054623B">
        <w:tc>
          <w:tcPr>
            <w:tcW w:w="4888" w:type="dxa"/>
            <w:shd w:val="clear" w:color="auto" w:fill="auto"/>
          </w:tcPr>
          <w:p w14:paraId="2875260F" w14:textId="77777777" w:rsidR="004E17F9" w:rsidRPr="0054623B" w:rsidRDefault="004E17F9" w:rsidP="0054623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3141E664" w14:textId="77777777" w:rsidR="004E17F9" w:rsidRPr="0054623B" w:rsidRDefault="004E17F9" w:rsidP="0054623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D14B" w14:textId="77777777" w:rsidR="004E17F9" w:rsidRDefault="004E17F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A393E2" w14:textId="77777777" w:rsidR="00956B85" w:rsidRDefault="00956B8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D50080" w14:textId="77777777" w:rsidR="00C30209" w:rsidRPr="00D453B2" w:rsidRDefault="00C30209" w:rsidP="00C30209">
      <w:pPr>
        <w:rPr>
          <w:rFonts w:ascii="Arial" w:hAnsi="Arial" w:cs="Arial"/>
          <w:sz w:val="22"/>
          <w:szCs w:val="22"/>
        </w:rPr>
      </w:pPr>
      <w:r w:rsidRPr="00D453B2">
        <w:rPr>
          <w:rFonts w:ascii="Arial" w:hAnsi="Arial" w:cs="Arial"/>
          <w:sz w:val="22"/>
          <w:szCs w:val="22"/>
        </w:rPr>
        <w:t>Za věcnou a formální správnost odpovídá</w:t>
      </w:r>
    </w:p>
    <w:p w14:paraId="4880F11C" w14:textId="77777777" w:rsidR="00C30209" w:rsidRPr="00D453B2" w:rsidRDefault="00C30209" w:rsidP="00C30209">
      <w:pPr>
        <w:rPr>
          <w:rFonts w:ascii="Arial" w:hAnsi="Arial" w:cs="Arial"/>
          <w:sz w:val="22"/>
          <w:szCs w:val="22"/>
        </w:rPr>
      </w:pPr>
      <w:r w:rsidRPr="00D453B2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15AEAB5F" w14:textId="77777777" w:rsidR="00C30209" w:rsidRPr="00D453B2" w:rsidRDefault="00C30209" w:rsidP="00C30209">
      <w:pPr>
        <w:rPr>
          <w:rFonts w:ascii="Arial" w:hAnsi="Arial" w:cs="Arial"/>
          <w:sz w:val="22"/>
          <w:szCs w:val="22"/>
        </w:rPr>
      </w:pPr>
    </w:p>
    <w:p w14:paraId="68F11A13" w14:textId="77777777" w:rsidR="00C30209" w:rsidRPr="00D453B2" w:rsidRDefault="00C30209" w:rsidP="00C30209">
      <w:pPr>
        <w:rPr>
          <w:rFonts w:ascii="Arial" w:hAnsi="Arial" w:cs="Arial"/>
          <w:sz w:val="22"/>
          <w:szCs w:val="22"/>
        </w:rPr>
      </w:pPr>
      <w:r w:rsidRPr="00D453B2">
        <w:rPr>
          <w:rFonts w:ascii="Arial" w:hAnsi="Arial" w:cs="Arial"/>
          <w:sz w:val="22"/>
          <w:szCs w:val="22"/>
        </w:rPr>
        <w:t>Ing. Alena Procházková</w:t>
      </w:r>
    </w:p>
    <w:p w14:paraId="04823E72" w14:textId="77777777" w:rsidR="00C30209" w:rsidRPr="00D453B2" w:rsidRDefault="00C30209" w:rsidP="00C30209">
      <w:pPr>
        <w:rPr>
          <w:rFonts w:ascii="Arial" w:hAnsi="Arial" w:cs="Arial"/>
          <w:sz w:val="22"/>
          <w:szCs w:val="22"/>
        </w:rPr>
      </w:pPr>
    </w:p>
    <w:p w14:paraId="13A25257" w14:textId="77777777" w:rsidR="00C30209" w:rsidRPr="00D453B2" w:rsidRDefault="00C30209" w:rsidP="00C30209">
      <w:pPr>
        <w:jc w:val="both"/>
        <w:rPr>
          <w:rFonts w:ascii="Arial" w:hAnsi="Arial" w:cs="Arial"/>
          <w:sz w:val="22"/>
          <w:szCs w:val="22"/>
        </w:rPr>
      </w:pPr>
      <w:r w:rsidRPr="00D453B2">
        <w:rPr>
          <w:rFonts w:ascii="Arial" w:hAnsi="Arial" w:cs="Arial"/>
          <w:sz w:val="22"/>
          <w:szCs w:val="22"/>
        </w:rPr>
        <w:t>.......................................</w:t>
      </w:r>
    </w:p>
    <w:p w14:paraId="553D8C8D" w14:textId="77777777" w:rsidR="00C30209" w:rsidRPr="00D453B2" w:rsidRDefault="00C30209" w:rsidP="00C3020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545D8DC" w14:textId="77777777" w:rsidR="00C30209" w:rsidRDefault="00C30209" w:rsidP="00C3020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39D4F61" w14:textId="77777777" w:rsidR="00C30209" w:rsidRPr="00D453B2" w:rsidRDefault="00C30209" w:rsidP="00C30209">
      <w:pPr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453B2">
        <w:rPr>
          <w:rFonts w:ascii="Arial" w:hAnsi="Arial" w:cs="Arial"/>
          <w:sz w:val="22"/>
          <w:szCs w:val="22"/>
        </w:rPr>
        <w:t xml:space="preserve">Za správnost: </w:t>
      </w:r>
      <w:r w:rsidRPr="00D453B2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54FB25D0" w14:textId="77777777" w:rsidR="00C30209" w:rsidRPr="00D453B2" w:rsidRDefault="00C30209" w:rsidP="00C30209">
      <w:pPr>
        <w:jc w:val="both"/>
        <w:rPr>
          <w:rFonts w:ascii="Arial" w:hAnsi="Arial" w:cs="Arial"/>
          <w:sz w:val="22"/>
          <w:szCs w:val="22"/>
        </w:rPr>
      </w:pPr>
    </w:p>
    <w:p w14:paraId="41E673C7" w14:textId="77777777" w:rsidR="00C30209" w:rsidRPr="00D453B2" w:rsidRDefault="00C30209" w:rsidP="00C30209">
      <w:pPr>
        <w:jc w:val="both"/>
        <w:rPr>
          <w:rFonts w:ascii="Arial" w:hAnsi="Arial" w:cs="Arial"/>
          <w:sz w:val="22"/>
          <w:szCs w:val="22"/>
        </w:rPr>
      </w:pPr>
      <w:r w:rsidRPr="00D453B2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10053182" w14:textId="77777777" w:rsidR="00962C7F" w:rsidRDefault="00962C7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1AA0F9" w14:textId="77777777" w:rsidR="00962C7F" w:rsidRDefault="00962C7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6F8D74" w14:textId="77777777" w:rsidR="00962C7F" w:rsidRPr="004E17F9" w:rsidRDefault="00962C7F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92CD9D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09E6CFB0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7ADC73B6" w14:textId="77777777" w:rsidR="00956B85" w:rsidRPr="00D453B2" w:rsidRDefault="00956B85" w:rsidP="00956B85">
      <w:pPr>
        <w:jc w:val="both"/>
        <w:rPr>
          <w:rFonts w:ascii="Arial" w:hAnsi="Arial" w:cs="Arial"/>
          <w:sz w:val="20"/>
          <w:szCs w:val="20"/>
        </w:rPr>
      </w:pPr>
      <w:r w:rsidRPr="00D453B2">
        <w:rPr>
          <w:rFonts w:ascii="Arial" w:hAnsi="Arial" w:cs="Arial"/>
          <w:sz w:val="20"/>
          <w:szCs w:val="20"/>
        </w:rPr>
        <w:t>Tato smlouva byla uveřejněna v Registru</w:t>
      </w:r>
    </w:p>
    <w:p w14:paraId="764FF4BD" w14:textId="77777777" w:rsidR="00956B85" w:rsidRPr="00D453B2" w:rsidRDefault="00956B85" w:rsidP="00956B85">
      <w:pPr>
        <w:jc w:val="both"/>
        <w:rPr>
          <w:rFonts w:ascii="Arial" w:hAnsi="Arial" w:cs="Arial"/>
          <w:sz w:val="20"/>
          <w:szCs w:val="20"/>
        </w:rPr>
      </w:pPr>
      <w:r w:rsidRPr="00D453B2">
        <w:rPr>
          <w:rFonts w:ascii="Arial" w:hAnsi="Arial" w:cs="Arial"/>
          <w:sz w:val="20"/>
          <w:szCs w:val="20"/>
        </w:rPr>
        <w:t>smluv, vedeném dle zákona č. 340/2015 Sb.,</w:t>
      </w:r>
    </w:p>
    <w:p w14:paraId="746CFEF4" w14:textId="77777777" w:rsidR="00956B85" w:rsidRPr="00D453B2" w:rsidRDefault="00956B85" w:rsidP="00956B85">
      <w:pPr>
        <w:jc w:val="both"/>
        <w:rPr>
          <w:rFonts w:ascii="Arial" w:hAnsi="Arial" w:cs="Arial"/>
          <w:sz w:val="20"/>
          <w:szCs w:val="20"/>
        </w:rPr>
      </w:pPr>
      <w:r w:rsidRPr="00D453B2">
        <w:rPr>
          <w:rFonts w:ascii="Arial" w:hAnsi="Arial" w:cs="Arial"/>
          <w:sz w:val="20"/>
          <w:szCs w:val="20"/>
        </w:rPr>
        <w:t>o registru smluv.</w:t>
      </w:r>
    </w:p>
    <w:p w14:paraId="147DC011" w14:textId="77777777" w:rsidR="00956B85" w:rsidRPr="00D453B2" w:rsidRDefault="00956B85" w:rsidP="00956B85">
      <w:pPr>
        <w:jc w:val="both"/>
        <w:rPr>
          <w:rFonts w:ascii="Arial" w:hAnsi="Arial" w:cs="Arial"/>
          <w:sz w:val="20"/>
          <w:szCs w:val="20"/>
        </w:rPr>
      </w:pPr>
      <w:r w:rsidRPr="00D453B2">
        <w:rPr>
          <w:rFonts w:ascii="Arial" w:hAnsi="Arial" w:cs="Arial"/>
          <w:sz w:val="20"/>
          <w:szCs w:val="20"/>
        </w:rPr>
        <w:t>Datum registrace ………………………….</w:t>
      </w:r>
    </w:p>
    <w:p w14:paraId="373E1588" w14:textId="77777777" w:rsidR="00956B85" w:rsidRPr="00D453B2" w:rsidRDefault="00956B85" w:rsidP="00956B85">
      <w:pPr>
        <w:jc w:val="both"/>
        <w:rPr>
          <w:rFonts w:ascii="Arial" w:hAnsi="Arial" w:cs="Arial"/>
          <w:i/>
          <w:sz w:val="20"/>
          <w:szCs w:val="20"/>
        </w:rPr>
      </w:pPr>
    </w:p>
    <w:p w14:paraId="63CCD593" w14:textId="77777777" w:rsidR="00956B85" w:rsidRPr="00D453B2" w:rsidRDefault="00956B85" w:rsidP="00956B85">
      <w:pPr>
        <w:jc w:val="both"/>
        <w:rPr>
          <w:rFonts w:ascii="Arial" w:hAnsi="Arial" w:cs="Arial"/>
          <w:sz w:val="20"/>
          <w:szCs w:val="20"/>
        </w:rPr>
      </w:pPr>
      <w:r w:rsidRPr="00D453B2">
        <w:rPr>
          <w:rFonts w:ascii="Arial" w:hAnsi="Arial" w:cs="Arial"/>
          <w:sz w:val="20"/>
          <w:szCs w:val="20"/>
        </w:rPr>
        <w:t>ID smlouvy …………………………………</w:t>
      </w:r>
    </w:p>
    <w:p w14:paraId="442A5A12" w14:textId="77777777" w:rsidR="00956B85" w:rsidRPr="00D453B2" w:rsidRDefault="00956B85" w:rsidP="00956B8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7CE2D12" w14:textId="77777777" w:rsidR="00956B85" w:rsidRPr="00D453B2" w:rsidRDefault="00956B85" w:rsidP="00956B85">
      <w:pPr>
        <w:jc w:val="both"/>
        <w:rPr>
          <w:rFonts w:ascii="Arial" w:hAnsi="Arial" w:cs="Arial"/>
          <w:sz w:val="20"/>
          <w:szCs w:val="20"/>
        </w:rPr>
      </w:pPr>
      <w:r w:rsidRPr="00D453B2">
        <w:rPr>
          <w:rFonts w:ascii="Arial" w:hAnsi="Arial" w:cs="Arial"/>
          <w:sz w:val="20"/>
          <w:szCs w:val="20"/>
        </w:rPr>
        <w:t>ID verze …………………………………….</w:t>
      </w:r>
    </w:p>
    <w:p w14:paraId="2BA3DEC9" w14:textId="77777777" w:rsidR="00956B85" w:rsidRPr="00D453B2" w:rsidRDefault="00956B85" w:rsidP="00956B85">
      <w:pPr>
        <w:jc w:val="both"/>
        <w:rPr>
          <w:rFonts w:ascii="Arial" w:hAnsi="Arial" w:cs="Arial"/>
          <w:sz w:val="20"/>
          <w:szCs w:val="20"/>
        </w:rPr>
      </w:pPr>
    </w:p>
    <w:p w14:paraId="48A6974A" w14:textId="77777777" w:rsidR="00956B85" w:rsidRPr="00D453B2" w:rsidRDefault="00956B85" w:rsidP="00956B85">
      <w:pPr>
        <w:jc w:val="both"/>
        <w:rPr>
          <w:rFonts w:ascii="Arial" w:hAnsi="Arial" w:cs="Arial"/>
          <w:sz w:val="20"/>
          <w:szCs w:val="20"/>
        </w:rPr>
      </w:pPr>
      <w:r w:rsidRPr="00D453B2">
        <w:rPr>
          <w:rFonts w:ascii="Arial" w:hAnsi="Arial" w:cs="Arial"/>
          <w:sz w:val="20"/>
          <w:szCs w:val="20"/>
        </w:rPr>
        <w:t>Registraci provedl: Ing. Miroslava Jelínková</w:t>
      </w:r>
    </w:p>
    <w:p w14:paraId="3A06DCA8" w14:textId="77777777" w:rsidR="00956B85" w:rsidRPr="00D453B2" w:rsidRDefault="00956B85" w:rsidP="00956B85">
      <w:pPr>
        <w:jc w:val="both"/>
        <w:rPr>
          <w:rFonts w:ascii="Arial" w:hAnsi="Arial" w:cs="Arial"/>
          <w:sz w:val="20"/>
          <w:szCs w:val="20"/>
        </w:rPr>
      </w:pPr>
    </w:p>
    <w:p w14:paraId="344BECA7" w14:textId="77777777" w:rsidR="00956B85" w:rsidRPr="00D453B2" w:rsidRDefault="00956B85" w:rsidP="00956B85">
      <w:pPr>
        <w:jc w:val="both"/>
        <w:rPr>
          <w:rFonts w:ascii="Arial" w:hAnsi="Arial" w:cs="Arial"/>
          <w:sz w:val="20"/>
          <w:szCs w:val="20"/>
        </w:rPr>
      </w:pPr>
      <w:r w:rsidRPr="00D453B2">
        <w:rPr>
          <w:rFonts w:ascii="Arial" w:hAnsi="Arial" w:cs="Arial"/>
          <w:sz w:val="20"/>
          <w:szCs w:val="20"/>
        </w:rPr>
        <w:t>V Jihlavě dne …………</w:t>
      </w:r>
      <w:proofErr w:type="gramStart"/>
      <w:r w:rsidRPr="00D453B2">
        <w:rPr>
          <w:rFonts w:ascii="Arial" w:hAnsi="Arial" w:cs="Arial"/>
          <w:sz w:val="20"/>
          <w:szCs w:val="20"/>
        </w:rPr>
        <w:t>…….</w:t>
      </w:r>
      <w:proofErr w:type="gramEnd"/>
      <w:r w:rsidRPr="00D453B2">
        <w:rPr>
          <w:rFonts w:ascii="Arial" w:hAnsi="Arial" w:cs="Arial"/>
          <w:sz w:val="20"/>
          <w:szCs w:val="20"/>
        </w:rPr>
        <w:t>.</w:t>
      </w:r>
      <w:r w:rsidRPr="00D453B2">
        <w:rPr>
          <w:rFonts w:ascii="Arial" w:hAnsi="Arial" w:cs="Arial"/>
          <w:sz w:val="20"/>
          <w:szCs w:val="20"/>
        </w:rPr>
        <w:tab/>
      </w:r>
      <w:r w:rsidRPr="00D453B2">
        <w:rPr>
          <w:rFonts w:ascii="Arial" w:hAnsi="Arial" w:cs="Arial"/>
          <w:sz w:val="20"/>
          <w:szCs w:val="20"/>
        </w:rPr>
        <w:tab/>
      </w:r>
      <w:r w:rsidRPr="00D453B2">
        <w:rPr>
          <w:rFonts w:ascii="Arial" w:hAnsi="Arial" w:cs="Arial"/>
          <w:sz w:val="20"/>
          <w:szCs w:val="20"/>
        </w:rPr>
        <w:tab/>
      </w:r>
      <w:r w:rsidRPr="00D453B2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5FC2916A" w14:textId="77777777" w:rsidR="00956B85" w:rsidRPr="00D453B2" w:rsidRDefault="00956B85" w:rsidP="00956B85">
      <w:pPr>
        <w:jc w:val="both"/>
        <w:rPr>
          <w:rFonts w:ascii="Arial" w:hAnsi="Arial" w:cs="Arial"/>
          <w:sz w:val="20"/>
          <w:szCs w:val="20"/>
        </w:rPr>
      </w:pPr>
      <w:r w:rsidRPr="00D453B2">
        <w:rPr>
          <w:rFonts w:ascii="Arial" w:hAnsi="Arial" w:cs="Arial"/>
          <w:sz w:val="20"/>
          <w:szCs w:val="20"/>
        </w:rPr>
        <w:tab/>
      </w:r>
      <w:r w:rsidRPr="00D453B2">
        <w:rPr>
          <w:rFonts w:ascii="Arial" w:hAnsi="Arial" w:cs="Arial"/>
          <w:sz w:val="20"/>
          <w:szCs w:val="20"/>
        </w:rPr>
        <w:tab/>
      </w:r>
      <w:r w:rsidRPr="00D453B2">
        <w:rPr>
          <w:rFonts w:ascii="Arial" w:hAnsi="Arial" w:cs="Arial"/>
          <w:sz w:val="20"/>
          <w:szCs w:val="20"/>
        </w:rPr>
        <w:tab/>
      </w:r>
      <w:r w:rsidRPr="00D453B2">
        <w:rPr>
          <w:rFonts w:ascii="Arial" w:hAnsi="Arial" w:cs="Arial"/>
          <w:sz w:val="20"/>
          <w:szCs w:val="20"/>
        </w:rPr>
        <w:tab/>
        <w:t xml:space="preserve">  </w:t>
      </w:r>
      <w:r w:rsidRPr="00D453B2">
        <w:rPr>
          <w:rFonts w:ascii="Arial" w:hAnsi="Arial" w:cs="Arial"/>
          <w:sz w:val="20"/>
          <w:szCs w:val="20"/>
        </w:rPr>
        <w:tab/>
      </w:r>
      <w:r w:rsidRPr="00D453B2">
        <w:rPr>
          <w:rFonts w:ascii="Arial" w:hAnsi="Arial" w:cs="Arial"/>
          <w:sz w:val="20"/>
          <w:szCs w:val="20"/>
        </w:rPr>
        <w:tab/>
      </w:r>
      <w:r w:rsidRPr="00D453B2">
        <w:rPr>
          <w:rFonts w:ascii="Arial" w:hAnsi="Arial" w:cs="Arial"/>
          <w:sz w:val="20"/>
          <w:szCs w:val="20"/>
        </w:rPr>
        <w:tab/>
        <w:t>podpis odpovědného zaměstnance</w:t>
      </w:r>
    </w:p>
    <w:p w14:paraId="46518C0A" w14:textId="77777777" w:rsidR="00956B85" w:rsidRPr="00D453B2" w:rsidRDefault="00956B85" w:rsidP="00956B85">
      <w:pPr>
        <w:rPr>
          <w:rFonts w:ascii="Arial" w:hAnsi="Arial" w:cs="Arial"/>
          <w:sz w:val="20"/>
          <w:szCs w:val="20"/>
        </w:rPr>
      </w:pPr>
    </w:p>
    <w:p w14:paraId="41763120" w14:textId="77777777" w:rsidR="00956B85" w:rsidRPr="00D453B2" w:rsidRDefault="00956B85" w:rsidP="00956B85">
      <w:pPr>
        <w:rPr>
          <w:rFonts w:ascii="Arial" w:hAnsi="Arial" w:cs="Arial"/>
          <w:sz w:val="20"/>
          <w:szCs w:val="20"/>
        </w:rPr>
      </w:pPr>
    </w:p>
    <w:p w14:paraId="36DE9E2D" w14:textId="77777777" w:rsidR="007C2D30" w:rsidRPr="00A2149C" w:rsidRDefault="007C2D30" w:rsidP="00956B85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F3CD" w14:textId="77777777" w:rsidR="009419B0" w:rsidRDefault="009419B0">
      <w:r>
        <w:separator/>
      </w:r>
    </w:p>
  </w:endnote>
  <w:endnote w:type="continuationSeparator" w:id="0">
    <w:p w14:paraId="4E0FDF02" w14:textId="77777777" w:rsidR="009419B0" w:rsidRDefault="0094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20BE" w14:textId="77777777" w:rsidR="0054623B" w:rsidRDefault="0054623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1C9E9B1" w14:textId="77777777" w:rsidR="0054623B" w:rsidRDefault="005462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F92D" w14:textId="77777777" w:rsidR="009419B0" w:rsidRDefault="009419B0">
      <w:r>
        <w:separator/>
      </w:r>
    </w:p>
  </w:footnote>
  <w:footnote w:type="continuationSeparator" w:id="0">
    <w:p w14:paraId="2DF1C252" w14:textId="77777777" w:rsidR="009419B0" w:rsidRDefault="0094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62097085">
    <w:abstractNumId w:val="0"/>
  </w:num>
  <w:num w:numId="2" w16cid:durableId="403375004">
    <w:abstractNumId w:val="1"/>
  </w:num>
  <w:num w:numId="3" w16cid:durableId="364446741">
    <w:abstractNumId w:val="2"/>
  </w:num>
  <w:num w:numId="4" w16cid:durableId="1531456701">
    <w:abstractNumId w:val="3"/>
  </w:num>
  <w:num w:numId="5" w16cid:durableId="371731227">
    <w:abstractNumId w:val="4"/>
  </w:num>
  <w:num w:numId="6" w16cid:durableId="1483933807">
    <w:abstractNumId w:val="5"/>
  </w:num>
  <w:num w:numId="7" w16cid:durableId="11961901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568980">
    <w:abstractNumId w:val="9"/>
  </w:num>
  <w:num w:numId="9" w16cid:durableId="794300820">
    <w:abstractNumId w:val="6"/>
  </w:num>
  <w:num w:numId="10" w16cid:durableId="199245056">
    <w:abstractNumId w:val="8"/>
  </w:num>
  <w:num w:numId="11" w16cid:durableId="1786196189">
    <w:abstractNumId w:val="10"/>
  </w:num>
  <w:num w:numId="12" w16cid:durableId="1326863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7975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255AF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6F17"/>
    <w:rsid w:val="00140462"/>
    <w:rsid w:val="00143674"/>
    <w:rsid w:val="00161A9C"/>
    <w:rsid w:val="001627D0"/>
    <w:rsid w:val="00170A4E"/>
    <w:rsid w:val="00181A52"/>
    <w:rsid w:val="0018318A"/>
    <w:rsid w:val="00190EA1"/>
    <w:rsid w:val="0019777F"/>
    <w:rsid w:val="001A00D9"/>
    <w:rsid w:val="001A2AD4"/>
    <w:rsid w:val="001C0D55"/>
    <w:rsid w:val="001C387A"/>
    <w:rsid w:val="001C6B2B"/>
    <w:rsid w:val="001D73FD"/>
    <w:rsid w:val="001E1CF7"/>
    <w:rsid w:val="001F08A0"/>
    <w:rsid w:val="002029BF"/>
    <w:rsid w:val="00205059"/>
    <w:rsid w:val="00206BEA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7582B"/>
    <w:rsid w:val="002809F9"/>
    <w:rsid w:val="002913BD"/>
    <w:rsid w:val="00293BF9"/>
    <w:rsid w:val="0029466F"/>
    <w:rsid w:val="002A74C8"/>
    <w:rsid w:val="002B1AFF"/>
    <w:rsid w:val="002C0E97"/>
    <w:rsid w:val="002C3BC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112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406B9"/>
    <w:rsid w:val="004431AE"/>
    <w:rsid w:val="004450C8"/>
    <w:rsid w:val="00451572"/>
    <w:rsid w:val="00464535"/>
    <w:rsid w:val="00464CCB"/>
    <w:rsid w:val="00482DE7"/>
    <w:rsid w:val="004A078C"/>
    <w:rsid w:val="004A3F22"/>
    <w:rsid w:val="004A5163"/>
    <w:rsid w:val="004A5A92"/>
    <w:rsid w:val="004B128A"/>
    <w:rsid w:val="004B3E67"/>
    <w:rsid w:val="004E11C1"/>
    <w:rsid w:val="004E17F9"/>
    <w:rsid w:val="004E34F7"/>
    <w:rsid w:val="004E368B"/>
    <w:rsid w:val="004E7224"/>
    <w:rsid w:val="005211F0"/>
    <w:rsid w:val="00526280"/>
    <w:rsid w:val="00544B46"/>
    <w:rsid w:val="0054623B"/>
    <w:rsid w:val="00546D18"/>
    <w:rsid w:val="00551FFB"/>
    <w:rsid w:val="00556316"/>
    <w:rsid w:val="00565DF2"/>
    <w:rsid w:val="00576EE6"/>
    <w:rsid w:val="005824AD"/>
    <w:rsid w:val="00583F66"/>
    <w:rsid w:val="00586188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686"/>
    <w:rsid w:val="00676CFF"/>
    <w:rsid w:val="006856AD"/>
    <w:rsid w:val="00696D39"/>
    <w:rsid w:val="006A6C71"/>
    <w:rsid w:val="006B51FD"/>
    <w:rsid w:val="006B73C0"/>
    <w:rsid w:val="006C38F1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659D"/>
    <w:rsid w:val="00722843"/>
    <w:rsid w:val="00722C9B"/>
    <w:rsid w:val="00727228"/>
    <w:rsid w:val="00732A4A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B24AE"/>
    <w:rsid w:val="007C2D30"/>
    <w:rsid w:val="007C3A0B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3274E"/>
    <w:rsid w:val="009365AA"/>
    <w:rsid w:val="009419B0"/>
    <w:rsid w:val="009518A8"/>
    <w:rsid w:val="00956B85"/>
    <w:rsid w:val="009579A9"/>
    <w:rsid w:val="009603E5"/>
    <w:rsid w:val="00961005"/>
    <w:rsid w:val="00962C7F"/>
    <w:rsid w:val="00970C02"/>
    <w:rsid w:val="00970EE4"/>
    <w:rsid w:val="00971DFB"/>
    <w:rsid w:val="0097674A"/>
    <w:rsid w:val="00990206"/>
    <w:rsid w:val="009A30E2"/>
    <w:rsid w:val="009B300A"/>
    <w:rsid w:val="009B57EA"/>
    <w:rsid w:val="009B6D6E"/>
    <w:rsid w:val="009C2C86"/>
    <w:rsid w:val="009C6A18"/>
    <w:rsid w:val="009D0DDC"/>
    <w:rsid w:val="009D1A88"/>
    <w:rsid w:val="009D2E86"/>
    <w:rsid w:val="009D2F14"/>
    <w:rsid w:val="009D4580"/>
    <w:rsid w:val="009D4E32"/>
    <w:rsid w:val="009E2AED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554D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0883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33C7"/>
    <w:rsid w:val="00C05330"/>
    <w:rsid w:val="00C10AEE"/>
    <w:rsid w:val="00C16B2F"/>
    <w:rsid w:val="00C173D3"/>
    <w:rsid w:val="00C27EC4"/>
    <w:rsid w:val="00C30209"/>
    <w:rsid w:val="00C31774"/>
    <w:rsid w:val="00C36E49"/>
    <w:rsid w:val="00C37A15"/>
    <w:rsid w:val="00C5272C"/>
    <w:rsid w:val="00C6727E"/>
    <w:rsid w:val="00C707C8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A19FB"/>
    <w:rsid w:val="00EB0B9B"/>
    <w:rsid w:val="00EB1964"/>
    <w:rsid w:val="00EB6C54"/>
    <w:rsid w:val="00EC467B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7FF5"/>
    <w:rsid w:val="00FB09B6"/>
    <w:rsid w:val="00FB6E4E"/>
    <w:rsid w:val="00F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941CD"/>
  <w14:defaultImageDpi w14:val="0"/>
  <w15:docId w15:val="{9A4C4631-06A8-47E0-98DE-6F7C1383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uiPriority w:val="99"/>
    <w:rsid w:val="00C916F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4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4623B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5462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4623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1350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Jelínková Miroslava Ing.</dc:creator>
  <cp:keywords/>
  <dc:description/>
  <cp:lastModifiedBy>Jelínková Miroslava Ing.</cp:lastModifiedBy>
  <cp:revision>5</cp:revision>
  <cp:lastPrinted>2024-04-05T12:34:00Z</cp:lastPrinted>
  <dcterms:created xsi:type="dcterms:W3CDTF">2024-05-07T11:47:00Z</dcterms:created>
  <dcterms:modified xsi:type="dcterms:W3CDTF">2024-05-07T11:49:00Z</dcterms:modified>
</cp:coreProperties>
</file>