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25E144F6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A92473">
              <w:t>550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5B2F2340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A92473">
              <w:rPr>
                <w:rFonts w:cs="Arial"/>
                <w:color w:val="231F20"/>
                <w:szCs w:val="20"/>
              </w:rPr>
              <w:t>6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A92473">
              <w:rPr>
                <w:rFonts w:cs="Arial"/>
                <w:color w:val="231F20"/>
                <w:szCs w:val="20"/>
              </w:rPr>
              <w:t>5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48B89D56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A92473">
              <w:rPr>
                <w:rFonts w:cs="Arial"/>
                <w:color w:val="231F20"/>
                <w:szCs w:val="20"/>
              </w:rPr>
              <w:t>29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BD0235">
              <w:rPr>
                <w:rFonts w:cs="Arial"/>
                <w:color w:val="231F20"/>
                <w:szCs w:val="20"/>
              </w:rPr>
              <w:t>5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74E5ADD6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431D84D4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4FCC86A3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b/>
                <w:sz w:val="24"/>
                <w:lang w:eastAsia="en-US"/>
              </w:rPr>
              <w:t xml:space="preserve">realizaci požadavku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  <w:t>č. 3</w:t>
            </w:r>
            <w:r w:rsidR="00A92473">
              <w:rPr>
                <w:rFonts w:ascii="Calibri" w:eastAsia="Calibri" w:hAnsi="Calibri"/>
                <w:b/>
                <w:sz w:val="24"/>
                <w:lang w:eastAsia="en-US"/>
              </w:rPr>
              <w:t>96</w:t>
            </w:r>
            <w:r w:rsidR="00AC500B" w:rsidRPr="00AC500B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="00A92473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A92473" w:rsidRPr="00A92473">
              <w:rPr>
                <w:rFonts w:ascii="Calibri" w:eastAsia="Calibri" w:hAnsi="Calibri"/>
                <w:b/>
                <w:sz w:val="24"/>
                <w:lang w:eastAsia="en-US"/>
              </w:rPr>
              <w:t>Realizace úprav nového typu MZ "Podklady pro závěrečné vyhodnocení akce" pro</w:t>
            </w:r>
            <w:r w:rsidR="004F0C44">
              <w:rPr>
                <w:rFonts w:ascii="Calibri" w:eastAsia="Calibri" w:hAnsi="Calibri"/>
                <w:b/>
                <w:sz w:val="24"/>
                <w:lang w:eastAsia="en-US"/>
              </w:rPr>
              <w:t> </w:t>
            </w:r>
            <w:r w:rsidR="00A92473" w:rsidRPr="00A92473">
              <w:rPr>
                <w:rFonts w:ascii="Calibri" w:eastAsia="Calibri" w:hAnsi="Calibri"/>
                <w:b/>
                <w:sz w:val="24"/>
                <w:lang w:eastAsia="en-US"/>
              </w:rPr>
              <w:t>výzvu 2182 a realizace úprav formuláře ZVA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3B504E3F" w:rsidR="00C10F5C" w:rsidRDefault="00C10F5C" w:rsidP="00C10F5C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sz w:val="24"/>
                <w:lang w:eastAsia="en-US"/>
              </w:rPr>
              <w:t xml:space="preserve">Realizaci požadavku 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>č. 3</w:t>
            </w:r>
            <w:r w:rsidR="00A92473">
              <w:rPr>
                <w:rFonts w:ascii="Calibri" w:eastAsia="Calibri" w:hAnsi="Calibri"/>
                <w:sz w:val="24"/>
                <w:lang w:eastAsia="en-US"/>
              </w:rPr>
              <w:t>96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 – </w:t>
            </w:r>
            <w:r w:rsidR="00A92473" w:rsidRPr="00A92473">
              <w:rPr>
                <w:rFonts w:ascii="Calibri" w:eastAsia="Calibri" w:hAnsi="Calibri"/>
                <w:sz w:val="24"/>
                <w:lang w:eastAsia="en-US"/>
              </w:rPr>
              <w:t>Realizace úprav nového typu MZ "Podklady pro závěrečné vyhodnocení akce" pro výzvu 2182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="00A92473" w:rsidRPr="00A92473">
              <w:rPr>
                <w:rFonts w:ascii="Calibri" w:eastAsia="Calibri" w:hAnsi="Calibri"/>
                <w:sz w:val="24"/>
                <w:lang w:eastAsia="en-US"/>
              </w:rPr>
              <w:t>realizace úprav formuláře ZVA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ze dne </w:t>
            </w:r>
            <w:r w:rsidR="00A92473">
              <w:rPr>
                <w:rFonts w:ascii="Calibri" w:eastAsia="Calibri" w:hAnsi="Calibri"/>
                <w:sz w:val="24"/>
                <w:lang w:eastAsia="en-US"/>
              </w:rPr>
              <w:t>19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A92473">
              <w:rPr>
                <w:rFonts w:ascii="Calibri" w:eastAsia="Calibri" w:hAnsi="Calibri"/>
                <w:sz w:val="24"/>
                <w:lang w:eastAsia="en-US"/>
              </w:rPr>
              <w:t>4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4AF38FF2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813DB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656C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Objednávané plnění je považováno </w:t>
            </w:r>
            <w:r w:rsidRPr="00182B1C">
              <w:rPr>
                <w:rFonts w:asciiTheme="minorHAnsi" w:hAnsiTheme="minorHAnsi" w:cstheme="minorHAnsi"/>
                <w:sz w:val="24"/>
              </w:rPr>
              <w:lastRenderedPageBreak/>
              <w:t>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t>Objednávku prosím potvrďte na uvedenou kontaktní osobu.</w:t>
            </w:r>
          </w:p>
          <w:p w14:paraId="2417E01E" w14:textId="77777777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5F9451D7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A92473">
              <w:rPr>
                <w:rFonts w:ascii="Calibri" w:eastAsia="Calibri" w:hAnsi="Calibri"/>
                <w:sz w:val="24"/>
                <w:lang w:eastAsia="en-US"/>
              </w:rPr>
              <w:t>29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FB2B5E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731E31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4337BE8E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A92473">
              <w:rPr>
                <w:rFonts w:ascii="Calibri" w:eastAsia="Calibri" w:hAnsi="Calibri"/>
                <w:sz w:val="24"/>
                <w:lang w:eastAsia="en-US"/>
              </w:rPr>
              <w:t>12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A92473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>00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11BD418F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A92473">
              <w:rPr>
                <w:rFonts w:ascii="Calibri" w:eastAsia="Calibri" w:hAnsi="Calibri"/>
                <w:b/>
                <w:sz w:val="24"/>
                <w:lang w:eastAsia="en-US"/>
              </w:rPr>
              <w:t>19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A92473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75777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704A"/>
    <w:rsid w:val="00054E9B"/>
    <w:rsid w:val="00072D56"/>
    <w:rsid w:val="00096BF6"/>
    <w:rsid w:val="00097A41"/>
    <w:rsid w:val="000A0E3F"/>
    <w:rsid w:val="000B5D93"/>
    <w:rsid w:val="000D0304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F439C"/>
    <w:rsid w:val="00206F75"/>
    <w:rsid w:val="002272A7"/>
    <w:rsid w:val="00230CF6"/>
    <w:rsid w:val="002512D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6EC0"/>
    <w:rsid w:val="003F75E2"/>
    <w:rsid w:val="00414102"/>
    <w:rsid w:val="0042448E"/>
    <w:rsid w:val="00431DCC"/>
    <w:rsid w:val="0044656C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E43B4"/>
    <w:rsid w:val="00616A7F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863A5"/>
    <w:rsid w:val="008A1A9B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33E47"/>
    <w:rsid w:val="00A44A3E"/>
    <w:rsid w:val="00A83106"/>
    <w:rsid w:val="00A92473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B5166"/>
    <w:rsid w:val="00BD0235"/>
    <w:rsid w:val="00BF3CFE"/>
    <w:rsid w:val="00C10F5C"/>
    <w:rsid w:val="00C23466"/>
    <w:rsid w:val="00C30721"/>
    <w:rsid w:val="00C46073"/>
    <w:rsid w:val="00C7188E"/>
    <w:rsid w:val="00CA52F2"/>
    <w:rsid w:val="00CB1E22"/>
    <w:rsid w:val="00CD6A59"/>
    <w:rsid w:val="00D0164F"/>
    <w:rsid w:val="00D265E1"/>
    <w:rsid w:val="00D31824"/>
    <w:rsid w:val="00D50895"/>
    <w:rsid w:val="00D668A6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8C7"/>
    <w:rsid w:val="00FB2B5E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269</TotalTime>
  <Pages>2</Pages>
  <Words>380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42</cp:revision>
  <cp:lastPrinted>2020-11-10T12:46:00Z</cp:lastPrinted>
  <dcterms:created xsi:type="dcterms:W3CDTF">2022-01-28T08:56:00Z</dcterms:created>
  <dcterms:modified xsi:type="dcterms:W3CDTF">2024-05-13T08:53:00Z</dcterms:modified>
</cp:coreProperties>
</file>