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04A7" w14:textId="77777777" w:rsidR="00DB72CB" w:rsidRDefault="00DB72CB">
      <w:pPr>
        <w:pStyle w:val="Nadpis1"/>
        <w:rPr>
          <w:rFonts w:ascii="Arial" w:hAnsi="Arial" w:cs="Arial"/>
          <w:sz w:val="24"/>
        </w:rPr>
      </w:pPr>
    </w:p>
    <w:p w14:paraId="51EE648A" w14:textId="77777777" w:rsidR="00DB72CB" w:rsidRDefault="00BB4633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SMLOUVA O POSKYTOVÁNÍ SLUŽEB</w:t>
      </w:r>
    </w:p>
    <w:p w14:paraId="4193F54C" w14:textId="77777777" w:rsidR="00DB72CB" w:rsidRDefault="00BB4633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1746 odst. 2 a násl. zákona č. 89/2012 Sb., občanský zákoník </w:t>
      </w:r>
    </w:p>
    <w:p w14:paraId="6436456A" w14:textId="77777777" w:rsidR="00DB72CB" w:rsidRDefault="00BB46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“)</w:t>
      </w:r>
    </w:p>
    <w:p w14:paraId="1111E76D" w14:textId="77777777" w:rsidR="00DB72CB" w:rsidRDefault="00DB72CB">
      <w:pPr>
        <w:jc w:val="center"/>
        <w:rPr>
          <w:rFonts w:ascii="Arial" w:hAnsi="Arial" w:cs="Arial"/>
          <w:sz w:val="22"/>
          <w:szCs w:val="22"/>
        </w:rPr>
      </w:pPr>
    </w:p>
    <w:p w14:paraId="76E7F3FF" w14:textId="77777777" w:rsidR="00DB72CB" w:rsidRDefault="00BB46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</w:t>
      </w:r>
    </w:p>
    <w:p w14:paraId="3B886EB4" w14:textId="77777777" w:rsidR="00DB72CB" w:rsidRDefault="00BB46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C0BCCF9" w14:textId="77777777" w:rsidR="00DB72CB" w:rsidRDefault="00BB46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Smlouvy Objednatele: 3/24/4056/012</w:t>
      </w:r>
    </w:p>
    <w:p w14:paraId="6BC367A3" w14:textId="77777777" w:rsidR="00DB72CB" w:rsidRDefault="00BB46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26BC9BB" w14:textId="77777777" w:rsidR="00DB72CB" w:rsidRDefault="00BB46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3C26EBF7" w14:textId="77777777" w:rsidR="00DB72CB" w:rsidRDefault="00BB46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C374530" w14:textId="77777777" w:rsidR="00DB72CB" w:rsidRDefault="00BB46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</w:t>
      </w:r>
    </w:p>
    <w:p w14:paraId="2F660FD7" w14:textId="77777777" w:rsidR="00DB72CB" w:rsidRDefault="00BB4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Objednatel: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Technická správa komunikací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hl. m. Prahy, a.s.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797A76EE" w14:textId="77777777" w:rsidR="00DB72CB" w:rsidRDefault="00BB4633">
      <w:pPr>
        <w:pStyle w:val="Zhlav"/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>Veletržní 1623/24, 170 00 Praha 7 - Holešovice</w:t>
      </w:r>
      <w:r>
        <w:rPr>
          <w:rFonts w:ascii="Arial" w:hAnsi="Arial" w:cs="Arial"/>
          <w:b/>
          <w:sz w:val="22"/>
          <w:szCs w:val="22"/>
        </w:rPr>
        <w:tab/>
      </w:r>
    </w:p>
    <w:p w14:paraId="6A3181C5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IČO: 03447286</w:t>
      </w:r>
    </w:p>
    <w:p w14:paraId="084C3F68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DIČ: CZ03447286</w:t>
      </w:r>
    </w:p>
    <w:p w14:paraId="70292E47" w14:textId="77777777" w:rsidR="00DB72CB" w:rsidRDefault="00BB4633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zapsaná v obchodním rejstříku vedeném Městským soudem v Praze, </w:t>
      </w:r>
      <w:proofErr w:type="spellStart"/>
      <w:r>
        <w:rPr>
          <w:rFonts w:ascii="Arial" w:hAnsi="Arial" w:cs="Arial"/>
          <w:sz w:val="22"/>
          <w:szCs w:val="22"/>
        </w:rPr>
        <w:t>spis.zn</w:t>
      </w:r>
      <w:proofErr w:type="spellEnd"/>
      <w:r>
        <w:rPr>
          <w:rFonts w:ascii="Arial" w:hAnsi="Arial" w:cs="Arial"/>
          <w:sz w:val="22"/>
          <w:szCs w:val="22"/>
        </w:rPr>
        <w:t>. B 20059</w:t>
      </w:r>
    </w:p>
    <w:p w14:paraId="76E14E27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 PPF banka a.s.</w:t>
      </w:r>
    </w:p>
    <w:p w14:paraId="3C8031D1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 2023100003/6000</w:t>
      </w:r>
    </w:p>
    <w:p w14:paraId="1D03FE50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datová schránka: mivq4t3</w:t>
      </w:r>
    </w:p>
    <w:p w14:paraId="3D3FFF4E" w14:textId="77777777" w:rsidR="00DB72CB" w:rsidRDefault="00DB72CB">
      <w:pPr>
        <w:tabs>
          <w:tab w:val="left" w:pos="851"/>
          <w:tab w:val="left" w:pos="1080"/>
          <w:tab w:val="left" w:pos="1260"/>
        </w:tabs>
        <w:ind w:left="2977" w:hanging="2977"/>
        <w:jc w:val="both"/>
        <w:rPr>
          <w:rFonts w:ascii="Arial" w:hAnsi="Arial" w:cs="Arial"/>
          <w:sz w:val="22"/>
          <w:szCs w:val="22"/>
        </w:rPr>
      </w:pPr>
    </w:p>
    <w:p w14:paraId="5B322EAC" w14:textId="77777777" w:rsidR="00DB72CB" w:rsidRDefault="00BB4633">
      <w:pPr>
        <w:pStyle w:val="RLdajeosmluvnstran"/>
        <w:spacing w:line="276" w:lineRule="auto"/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Při podpisu Smlouvy a veškerých jejích dodatků jsou oprávněni zastupovat Objednatele dva členové představenstva společně, z nichž nejméně jeden musí být </w:t>
      </w:r>
      <w:r>
        <w:rPr>
          <w:rFonts w:ascii="Arial" w:hAnsi="Arial" w:cs="Arial"/>
          <w:szCs w:val="22"/>
        </w:rPr>
        <w:t>předsedou, nebo místopředsedou představenstva.</w:t>
      </w:r>
    </w:p>
    <w:p w14:paraId="2F35666F" w14:textId="77777777" w:rsidR="00DB72CB" w:rsidRDefault="00BB46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 nebo „</w:t>
      </w:r>
      <w:r>
        <w:rPr>
          <w:rFonts w:ascii="Arial" w:hAnsi="Arial" w:cs="Arial"/>
          <w:b/>
          <w:bCs/>
          <w:sz w:val="22"/>
          <w:szCs w:val="22"/>
        </w:rPr>
        <w:t>TSK</w:t>
      </w:r>
      <w:r>
        <w:rPr>
          <w:rFonts w:ascii="Arial" w:hAnsi="Arial" w:cs="Arial"/>
          <w:sz w:val="22"/>
          <w:szCs w:val="22"/>
        </w:rPr>
        <w:t>“)</w:t>
      </w:r>
    </w:p>
    <w:p w14:paraId="2EA78405" w14:textId="77777777" w:rsidR="00DB72CB" w:rsidRDefault="00BB463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B808988" w14:textId="77777777" w:rsidR="00DB72CB" w:rsidRDefault="00BB46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2.  </w:t>
      </w:r>
      <w:r>
        <w:rPr>
          <w:rFonts w:ascii="Arial" w:hAnsi="Arial" w:cs="Arial"/>
          <w:b/>
          <w:bCs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MIRA expert s.r.o.</w:t>
      </w:r>
    </w:p>
    <w:p w14:paraId="3D291ED1" w14:textId="77777777" w:rsidR="00DB72CB" w:rsidRDefault="00BB4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Sídlo: Na Vrchách 585, Libčice nad Vltavou, 252 66</w:t>
      </w:r>
    </w:p>
    <w:p w14:paraId="6D900DDE" w14:textId="77777777" w:rsidR="00DB72CB" w:rsidRDefault="00BB4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IČO: 01634305</w:t>
      </w:r>
    </w:p>
    <w:p w14:paraId="4A70E49A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>CZ01634305</w:t>
      </w:r>
    </w:p>
    <w:p w14:paraId="67FEB199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Zapsán: v obchodním rejstříku vedeném, Městským soudem v Praze </w:t>
      </w:r>
      <w:proofErr w:type="spellStart"/>
      <w:r>
        <w:rPr>
          <w:rFonts w:ascii="Arial" w:hAnsi="Arial" w:cs="Arial"/>
          <w:sz w:val="22"/>
          <w:szCs w:val="22"/>
        </w:rPr>
        <w:t>sp.zn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0F029A1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C 209452</w:t>
      </w:r>
    </w:p>
    <w:p w14:paraId="0879C050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 Banka CREDITAS a.s.</w:t>
      </w:r>
    </w:p>
    <w:p w14:paraId="41D360BB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: 100325080/2250</w:t>
      </w:r>
    </w:p>
    <w:p w14:paraId="6532AB17" w14:textId="77777777" w:rsidR="00DB72CB" w:rsidRDefault="00BB463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datová schránka: pq5use9</w:t>
      </w:r>
    </w:p>
    <w:p w14:paraId="63DA844B" w14:textId="77777777" w:rsidR="00DB72CB" w:rsidRDefault="00BB4633">
      <w:pPr>
        <w:ind w:left="1416" w:firstLin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 Bc. Miroslav MATYÁŠ, MBA, LL.M., jednatel</w:t>
      </w:r>
    </w:p>
    <w:p w14:paraId="51122383" w14:textId="1BE3A4CF" w:rsidR="00DB72CB" w:rsidRDefault="00BB4633">
      <w:pPr>
        <w:ind w:left="1416" w:firstLin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pro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fakturaci:xxxxxxxxxxxx</w:t>
      </w:r>
      <w:proofErr w:type="spellEnd"/>
      <w:proofErr w:type="gramEnd"/>
    </w:p>
    <w:p w14:paraId="3FE93281" w14:textId="77777777" w:rsidR="00DB72CB" w:rsidRDefault="00DB72CB">
      <w:pPr>
        <w:ind w:left="1416" w:firstLine="144"/>
        <w:rPr>
          <w:rFonts w:ascii="Arial" w:hAnsi="Arial" w:cs="Arial"/>
          <w:b/>
          <w:sz w:val="22"/>
          <w:szCs w:val="22"/>
        </w:rPr>
      </w:pPr>
    </w:p>
    <w:p w14:paraId="70435780" w14:textId="77777777" w:rsidR="00DB72CB" w:rsidRDefault="00BB4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„</w:t>
      </w:r>
      <w:r>
        <w:rPr>
          <w:rFonts w:ascii="Arial" w:hAnsi="Arial" w:cs="Arial"/>
          <w:b/>
          <w:bCs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“)                           </w:t>
      </w:r>
    </w:p>
    <w:p w14:paraId="6280C521" w14:textId="77777777" w:rsidR="00DB72CB" w:rsidRDefault="00DB72CB">
      <w:pPr>
        <w:rPr>
          <w:rFonts w:ascii="Arial" w:hAnsi="Arial" w:cs="Arial"/>
          <w:sz w:val="22"/>
          <w:szCs w:val="22"/>
        </w:rPr>
      </w:pPr>
    </w:p>
    <w:p w14:paraId="0117781B" w14:textId="77777777" w:rsidR="00DB72CB" w:rsidRDefault="00BB4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Poskytovatel společně dále též jako „smluvní strany“)</w:t>
      </w:r>
    </w:p>
    <w:p w14:paraId="7C67539C" w14:textId="77777777" w:rsidR="00DB72CB" w:rsidRDefault="00DB72CB">
      <w:pPr>
        <w:rPr>
          <w:rFonts w:ascii="Arial" w:hAnsi="Arial" w:cs="Arial"/>
          <w:sz w:val="22"/>
          <w:szCs w:val="22"/>
        </w:rPr>
      </w:pPr>
    </w:p>
    <w:p w14:paraId="22FF8388" w14:textId="77777777" w:rsidR="00DB72CB" w:rsidRDefault="00DB72CB">
      <w:pPr>
        <w:rPr>
          <w:rFonts w:ascii="Arial" w:hAnsi="Arial" w:cs="Arial"/>
          <w:sz w:val="22"/>
          <w:szCs w:val="22"/>
        </w:rPr>
      </w:pPr>
    </w:p>
    <w:p w14:paraId="3F65C129" w14:textId="77777777" w:rsidR="00DB72CB" w:rsidRDefault="00BB463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58043774"/>
      <w:r>
        <w:rPr>
          <w:rFonts w:ascii="Arial" w:hAnsi="Arial" w:cs="Arial"/>
          <w:b/>
          <w:bCs/>
          <w:sz w:val="22"/>
          <w:szCs w:val="22"/>
        </w:rPr>
        <w:t>„Obsluha, údržba, čištění pítek a fontán a jejich provoz</w:t>
      </w:r>
      <w:bookmarkEnd w:id="0"/>
      <w:r>
        <w:rPr>
          <w:rFonts w:ascii="Arial" w:hAnsi="Arial" w:cs="Arial"/>
          <w:b/>
          <w:bCs/>
          <w:sz w:val="22"/>
          <w:szCs w:val="22"/>
        </w:rPr>
        <w:t>“</w:t>
      </w:r>
    </w:p>
    <w:p w14:paraId="3DB02A0C" w14:textId="77777777" w:rsidR="00DB72CB" w:rsidRDefault="00DB72CB">
      <w:pPr>
        <w:jc w:val="center"/>
        <w:rPr>
          <w:rFonts w:ascii="Arial" w:hAnsi="Arial" w:cs="Arial"/>
          <w:sz w:val="22"/>
          <w:szCs w:val="22"/>
        </w:rPr>
      </w:pPr>
    </w:p>
    <w:p w14:paraId="2A49D445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6D612099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plnění</w:t>
      </w:r>
    </w:p>
    <w:p w14:paraId="422C7D00" w14:textId="77777777" w:rsidR="00DB72CB" w:rsidRDefault="00BB4633">
      <w:pPr>
        <w:pStyle w:val="Nadpis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 </w:t>
      </w:r>
    </w:p>
    <w:p w14:paraId="3FC446BC" w14:textId="77777777" w:rsidR="00DB72CB" w:rsidRDefault="00BB4633">
      <w:pPr>
        <w:pStyle w:val="Odstavecseseznamem"/>
        <w:numPr>
          <w:ilvl w:val="0"/>
          <w:numId w:val="6"/>
        </w:num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plnění dle této Smlouvy je</w:t>
      </w:r>
      <w:r>
        <w:t xml:space="preserve"> </w:t>
      </w:r>
      <w:r>
        <w:rPr>
          <w:rFonts w:ascii="Arial" w:hAnsi="Arial" w:cs="Arial"/>
          <w:sz w:val="22"/>
          <w:szCs w:val="22"/>
        </w:rPr>
        <w:t>obsluha, údržba, čištění a provoz pítek a fontán a dalších speciálních objektů v Praze (dále jen „</w:t>
      </w:r>
      <w:r>
        <w:rPr>
          <w:rFonts w:ascii="Arial" w:hAnsi="Arial" w:cs="Arial"/>
          <w:b/>
          <w:bCs/>
          <w:sz w:val="22"/>
          <w:szCs w:val="22"/>
        </w:rPr>
        <w:t>Předmět plnění</w:t>
      </w:r>
      <w:r>
        <w:rPr>
          <w:rFonts w:ascii="Arial" w:hAnsi="Arial" w:cs="Arial"/>
          <w:sz w:val="22"/>
          <w:szCs w:val="22"/>
        </w:rPr>
        <w:t>“ nebo „</w:t>
      </w:r>
      <w:r>
        <w:rPr>
          <w:rFonts w:ascii="Arial" w:hAnsi="Arial" w:cs="Arial"/>
          <w:b/>
          <w:bCs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>“). Podrobný popis Předmětu plnění vyplývá ze Soupisu stavebních prací, dodávek a služeb prováděných při údržbě a obsluze fontán a pítek, který je uveden v příloze č. 1 této Smlouvy.</w:t>
      </w:r>
    </w:p>
    <w:p w14:paraId="67DA7D0D" w14:textId="77777777" w:rsidR="00DB72CB" w:rsidRDefault="00DB72CB">
      <w:pPr>
        <w:pStyle w:val="Odstavecseseznamem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43FC44FF" w14:textId="77777777" w:rsidR="00DB72CB" w:rsidRDefault="00BB4633">
      <w:pPr>
        <w:pStyle w:val="Odstavecseseznamem"/>
        <w:spacing w:line="360" w:lineRule="auto"/>
        <w:ind w:left="142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Podrobná specifikace Předmětu plnění je uvedena v Příloze č. 3 této Smlouvy. </w:t>
      </w:r>
    </w:p>
    <w:p w14:paraId="3FEFCC58" w14:textId="77777777" w:rsidR="00DB72CB" w:rsidRDefault="00BB4633">
      <w:pPr>
        <w:pStyle w:val="Odstavecseseznamem"/>
        <w:numPr>
          <w:ilvl w:val="0"/>
          <w:numId w:val="6"/>
        </w:numPr>
        <w:spacing w:after="160" w:line="252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Poskytovatel se touto Smlouvou zavazuje na svůj náklad a </w:t>
      </w:r>
      <w:r>
        <w:rPr>
          <w:rFonts w:ascii="Arial" w:hAnsi="Arial" w:cs="Arial"/>
          <w:sz w:val="22"/>
          <w:szCs w:val="22"/>
          <w:lang w:eastAsia="en-US"/>
        </w:rPr>
        <w:t>nebezpečí pro Objednatele poskytovat služby a Výstupy služeb specifikované v odst. 5 níže a Objednatel se zavazuje hradit Poskytovateli za poskytování služeb a Výstupy služeb odměnu.</w:t>
      </w:r>
    </w:p>
    <w:p w14:paraId="6D7F2069" w14:textId="77777777" w:rsidR="00DB72CB" w:rsidRDefault="00DB72CB">
      <w:pPr>
        <w:pStyle w:val="Odstavecseseznamem"/>
        <w:spacing w:after="160" w:line="252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0B512F" w14:textId="77777777" w:rsidR="00DB72CB" w:rsidRDefault="00BB4633">
      <w:pPr>
        <w:pStyle w:val="Odstavecseseznamem"/>
        <w:numPr>
          <w:ilvl w:val="0"/>
          <w:numId w:val="6"/>
        </w:numPr>
        <w:spacing w:after="160" w:line="252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Služby budou poskytovány průběžně dle potřeb Objednatele, a to na základě jeho dílčích pokynů.</w:t>
      </w:r>
    </w:p>
    <w:p w14:paraId="6A36476C" w14:textId="77777777" w:rsidR="00DB72CB" w:rsidRDefault="00DB72CB">
      <w:pPr>
        <w:pStyle w:val="Odstavecseseznamem"/>
        <w:spacing w:after="160" w:line="252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5EE1C9" w14:textId="77777777" w:rsidR="00DB72CB" w:rsidRDefault="00BB4633">
      <w:pPr>
        <w:pStyle w:val="Odstavecseseznamem"/>
        <w:numPr>
          <w:ilvl w:val="0"/>
          <w:numId w:val="6"/>
        </w:numPr>
        <w:spacing w:after="160" w:line="252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Poskytovatel prohlašuje, že je odborníkem v oboru předmětu Smlouvy s potřebnými širokými zkušenostmi a know-how </w:t>
      </w:r>
      <w:r>
        <w:rPr>
          <w:rFonts w:ascii="Arial" w:hAnsi="Arial" w:cs="Arial"/>
          <w:sz w:val="22"/>
          <w:szCs w:val="22"/>
          <w:lang w:eastAsia="en-US"/>
        </w:rPr>
        <w:t>v této oblasti.</w:t>
      </w:r>
    </w:p>
    <w:p w14:paraId="3608B6E9" w14:textId="77777777" w:rsidR="00DB72CB" w:rsidRDefault="00DB72CB">
      <w:pPr>
        <w:pStyle w:val="Odstavecseseznamem"/>
        <w:spacing w:after="160" w:line="252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5DC8C9" w14:textId="77777777" w:rsidR="00DB72CB" w:rsidRDefault="00BB46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každém ukončení měsíce bude Poskytovatelem předán pracovníkovi, resp. zaměstnanci Objednatele předávací protokol s informacemi o aktuálním stavu jednotlivých zařízení, provedených servisních zásazích a o dalších požadavcích na opravy (dále jen „</w:t>
      </w:r>
      <w:r>
        <w:rPr>
          <w:rFonts w:ascii="Arial" w:hAnsi="Arial" w:cs="Arial"/>
          <w:b/>
          <w:bCs/>
          <w:sz w:val="22"/>
          <w:szCs w:val="22"/>
        </w:rPr>
        <w:t>Výstup služeb</w:t>
      </w:r>
      <w:r>
        <w:rPr>
          <w:rFonts w:ascii="Arial" w:hAnsi="Arial" w:cs="Arial"/>
          <w:sz w:val="22"/>
          <w:szCs w:val="22"/>
        </w:rPr>
        <w:t>“). Součástí Výstupu služeb bude aktualizovaná *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 xml:space="preserve"> tabulka se stavem vodoměrů a fotodokumentace stavu vodoměrů.</w:t>
      </w:r>
    </w:p>
    <w:p w14:paraId="33EC8D14" w14:textId="77777777" w:rsidR="00DB72CB" w:rsidRDefault="00DB72C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4ED0BBD" w14:textId="77777777" w:rsidR="00DB72CB" w:rsidRDefault="00BB46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nakládat s Výstupem služeb dle svých provozních potřeb. Předáním Výstupu služeb uděluje Poskytovatel Objednateli souhlas k jeho dalšímu využití bez jakýchkoliv omezení, Výstup služeb přechází do vlastnictví Objednatele. </w:t>
      </w:r>
    </w:p>
    <w:p w14:paraId="64E81279" w14:textId="77777777" w:rsidR="00DB72CB" w:rsidRDefault="00DB72CB">
      <w:pPr>
        <w:pStyle w:val="Odstavecseseznamem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6198A5E" w14:textId="77777777" w:rsidR="00DB72CB" w:rsidRDefault="00DB72CB">
      <w:pPr>
        <w:pStyle w:val="Nadpis2"/>
        <w:rPr>
          <w:rFonts w:ascii="Arial" w:hAnsi="Arial" w:cs="Arial"/>
          <w:sz w:val="22"/>
          <w:szCs w:val="22"/>
        </w:rPr>
      </w:pPr>
    </w:p>
    <w:p w14:paraId="0CDE0CE5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DA17160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a místo plnění </w:t>
      </w:r>
    </w:p>
    <w:p w14:paraId="758754F3" w14:textId="77777777" w:rsidR="00DB72CB" w:rsidRDefault="00BB4633">
      <w:pPr>
        <w:pStyle w:val="Nadpis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3D2EFC0" w14:textId="77777777" w:rsidR="00DB72CB" w:rsidRDefault="00BB46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 plnění služeb: bezprostředně po uveřejnění této Smlouvy v registru smluv.</w:t>
      </w:r>
      <w:r>
        <w:rPr>
          <w:rFonts w:ascii="Arial" w:hAnsi="Arial" w:cs="Arial"/>
          <w:sz w:val="22"/>
          <w:szCs w:val="22"/>
        </w:rPr>
        <w:tab/>
      </w:r>
    </w:p>
    <w:p w14:paraId="2E449429" w14:textId="77777777" w:rsidR="00DB72CB" w:rsidRDefault="00BB463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dokončení: 30.4.2029      </w:t>
      </w:r>
    </w:p>
    <w:p w14:paraId="17F4A298" w14:textId="77777777" w:rsidR="00DB72CB" w:rsidRDefault="00BB463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1F0E4F74" w14:textId="77777777" w:rsidR="00DB72CB" w:rsidRDefault="00BB4633">
      <w:pPr>
        <w:pStyle w:val="Odstavecseseznamem"/>
        <w:numPr>
          <w:ilvl w:val="0"/>
          <w:numId w:val="9"/>
        </w:num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Pítka, fontány a další objekty, jichž se </w:t>
      </w:r>
      <w:r>
        <w:rPr>
          <w:rFonts w:ascii="Arial" w:hAnsi="Arial" w:cs="Arial"/>
          <w:sz w:val="22"/>
          <w:szCs w:val="22"/>
        </w:rPr>
        <w:t>poskytování služeb dle této Smlouvy týká, se nacházejí na území hlavního města Prahy. Přesná specifikace jednotlivých míst plnění je uvedena v Příloze č. 2 této Smlouvy.</w:t>
      </w:r>
    </w:p>
    <w:p w14:paraId="030ACB65" w14:textId="77777777" w:rsidR="00DB72CB" w:rsidRDefault="00DB72C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0298249" w14:textId="77777777" w:rsidR="00DB72CB" w:rsidRDefault="00DB72CB">
      <w:pPr>
        <w:pStyle w:val="Nadpis2"/>
        <w:rPr>
          <w:rFonts w:ascii="Arial" w:hAnsi="Arial" w:cs="Arial"/>
          <w:sz w:val="22"/>
          <w:szCs w:val="22"/>
        </w:rPr>
      </w:pPr>
    </w:p>
    <w:p w14:paraId="637804E2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0E604532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</w:p>
    <w:p w14:paraId="1E4B42A4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8485F40" w14:textId="77777777" w:rsidR="00DB72CB" w:rsidRDefault="00BB46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za poskytování služeb v rozsahu čl. II. této Smlouvy se sjednává dohodou smluvních stran následovně:</w:t>
      </w:r>
    </w:p>
    <w:p w14:paraId="1B7AF3A4" w14:textId="77777777" w:rsidR="00DB72CB" w:rsidRDefault="00DB72C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6E1A8CD" w14:textId="77777777" w:rsidR="00DB72CB" w:rsidRDefault="00BB4633">
      <w:pPr>
        <w:pStyle w:val="Odstavecseseznamem"/>
        <w:ind w:left="360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4 997 460,- Kč bez DPH</w:t>
      </w:r>
    </w:p>
    <w:p w14:paraId="2A15B297" w14:textId="77777777" w:rsidR="00DB72CB" w:rsidRDefault="00DB72C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D7116D6" w14:textId="77777777" w:rsidR="00DB72CB" w:rsidRDefault="00BB4633">
      <w:pPr>
        <w:pStyle w:val="Odstavecseseznamem"/>
        <w:ind w:left="360"/>
        <w:jc w:val="both"/>
      </w:pPr>
      <w:r>
        <w:rPr>
          <w:rFonts w:ascii="Arial" w:hAnsi="Arial" w:cs="Arial"/>
          <w:sz w:val="22"/>
          <w:szCs w:val="22"/>
        </w:rPr>
        <w:t>Cena bude účtována v souladu s Přílohou č. 1 dle jednotlivých položek.</w:t>
      </w:r>
    </w:p>
    <w:p w14:paraId="1685CA44" w14:textId="77777777" w:rsidR="00DB72CB" w:rsidRDefault="00DB72C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5AD40DC" w14:textId="77777777" w:rsidR="00DB72CB" w:rsidRDefault="00BB4633">
      <w:pPr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Cena je stanovena pevnou cenou, jako cena maximální a nejvýše přípustná, zahrnující všechny náklady Poskytovatele související s kompletním poskytnutím sjednaných služeb dle čl. II. odst. 1.  </w:t>
      </w:r>
    </w:p>
    <w:p w14:paraId="029E0D92" w14:textId="77777777" w:rsidR="00DB72CB" w:rsidRDefault="00BB4633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      </w:t>
      </w:r>
    </w:p>
    <w:p w14:paraId="047B3EC2" w14:textId="77777777" w:rsidR="00DB72CB" w:rsidRDefault="00BB46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maximální cena může být změněna pouze písemnou dohodou obou smluvních stran formou dodatku k této Smlouvě. DPH se uplatní ve výši dle právní úpravy platné ke dni uskutečnění zdanitelného plnění.</w:t>
      </w:r>
    </w:p>
    <w:p w14:paraId="07234C1C" w14:textId="77777777" w:rsidR="00DB72CB" w:rsidRDefault="00BB4633">
      <w:r>
        <w:br w:type="page"/>
      </w:r>
    </w:p>
    <w:p w14:paraId="702B780B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V.</w:t>
      </w:r>
    </w:p>
    <w:p w14:paraId="4EA9438C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Platební podmínky</w:t>
      </w:r>
    </w:p>
    <w:p w14:paraId="4E91270D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1940BB8" w14:textId="77777777" w:rsidR="00DB72CB" w:rsidRDefault="00BB463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uvedená v čl. IV. odst. 1. je splatná na základě dílčích faktur vystavovaných vždy po uplynutí kalendářního měsíce, v němž byly služby poskytovány. </w:t>
      </w:r>
      <w:r>
        <w:rPr>
          <w:rFonts w:ascii="Arial" w:hAnsi="Arial" w:cs="Arial"/>
          <w:sz w:val="22"/>
          <w:szCs w:val="22"/>
        </w:rPr>
        <w:t>Podkladem pro platbu bude výkaz plnění podepsaný oběma smluvními stranami, v němž Objednatel uvede, zda byly služby poskytnuty bez výhrad, případně uvede své výhrady. Výkaz plnění podepsaný oběma smluvními stranami je nedílnou součástí každé faktury.</w:t>
      </w:r>
    </w:p>
    <w:p w14:paraId="17925E33" w14:textId="77777777" w:rsidR="00DB72CB" w:rsidRDefault="00DB72CB">
      <w:pPr>
        <w:pStyle w:val="inz1rove"/>
        <w:numPr>
          <w:ilvl w:val="0"/>
          <w:numId w:val="0"/>
        </w:numPr>
        <w:spacing w:after="0"/>
        <w:ind w:left="360"/>
        <w:rPr>
          <w:rFonts w:cs="Arial"/>
          <w:sz w:val="22"/>
          <w:szCs w:val="22"/>
        </w:rPr>
      </w:pPr>
    </w:p>
    <w:p w14:paraId="65348186" w14:textId="77777777" w:rsidR="00DB72CB" w:rsidRDefault="00BB4633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>Veškeré faktury musejí obsahovat náležitosti daňového dokladu dle zákona č. 235/2004 Sb., o dani z přidané hodnoty, ve znění pozdějších předpisů a náležitosti dle § 435 Občanského zákoníku a obsahovat přílohy ve Smlouvě uvedené. V případě, že daňové doklady nebudou mít odpovídající náležitosti, je Objednatel oprávněn zaslat je ve lhůtě splatnosti zpět k doplnění; splatnost takovéto vrácené faktury v takovém případě nenastává a lhůta splatnosti počíná běžet poté, co bude doručena faktura náležitě doplněná č</w:t>
      </w:r>
      <w:r>
        <w:rPr>
          <w:rFonts w:ascii="Arial" w:hAnsi="Arial" w:cs="Arial"/>
          <w:sz w:val="22"/>
          <w:szCs w:val="22"/>
        </w:rPr>
        <w:t>i opravená.</w:t>
      </w:r>
    </w:p>
    <w:p w14:paraId="2A59D7F5" w14:textId="06677ABC" w:rsidR="00DB72CB" w:rsidRDefault="00BB4633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souhlasí s použitím faktur vystavených na základě Smlouvy výhradně v elektronické podobě (faktura má elektronickou podobu tehdy, pokud je vystavena a obdržena elektronicky) - dále jen „</w:t>
      </w:r>
      <w:r>
        <w:rPr>
          <w:rFonts w:ascii="Arial" w:hAnsi="Arial" w:cs="Arial"/>
          <w:b/>
          <w:bCs/>
          <w:sz w:val="22"/>
          <w:szCs w:val="22"/>
        </w:rPr>
        <w:t>Elektronická faktura</w:t>
      </w:r>
      <w:r>
        <w:rPr>
          <w:rFonts w:ascii="Arial" w:hAnsi="Arial" w:cs="Arial"/>
          <w:sz w:val="22"/>
          <w:szCs w:val="22"/>
        </w:rPr>
        <w:t xml:space="preserve">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11">
        <w:proofErr w:type="spellStart"/>
        <w:r>
          <w:t>xxxxxxxxxx</w:t>
        </w:r>
        <w:proofErr w:type="spellEnd"/>
      </w:hyperlink>
      <w:r>
        <w:rPr>
          <w:rFonts w:ascii="Arial" w:hAnsi="Arial" w:cs="Arial"/>
          <w:sz w:val="22"/>
          <w:szCs w:val="22"/>
        </w:rPr>
        <w:t>. Zaslání Elektronické faktury Poskytovatelem na jinou e-mailovou adresu,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</w:t>
      </w:r>
      <w:r>
        <w:rPr>
          <w:rFonts w:ascii="Arial" w:hAnsi="Arial" w:cs="Arial"/>
          <w:sz w:val="22"/>
          <w:szCs w:val="22"/>
        </w:rPr>
        <w:t xml:space="preserve">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>
        <w:rPr>
          <w:rFonts w:ascii="Arial" w:hAnsi="Arial" w:cs="Arial"/>
          <w:sz w:val="22"/>
          <w:szCs w:val="22"/>
        </w:rPr>
        <w:t>DOCx</w:t>
      </w:r>
      <w:proofErr w:type="spellEnd"/>
      <w:r>
        <w:rPr>
          <w:rFonts w:ascii="Arial" w:hAnsi="Arial" w:cs="Arial"/>
          <w:sz w:val="22"/>
          <w:szCs w:val="22"/>
        </w:rPr>
        <w:t xml:space="preserve">, XLS, </w:t>
      </w:r>
      <w:proofErr w:type="spellStart"/>
      <w:r>
        <w:rPr>
          <w:rFonts w:ascii="Arial" w:hAnsi="Arial" w:cs="Arial"/>
          <w:sz w:val="22"/>
          <w:szCs w:val="22"/>
        </w:rPr>
        <w:t>XLSx</w:t>
      </w:r>
      <w:proofErr w:type="spellEnd"/>
      <w:r>
        <w:rPr>
          <w:rFonts w:ascii="Arial" w:hAnsi="Arial" w:cs="Arial"/>
          <w:sz w:val="22"/>
          <w:szCs w:val="22"/>
        </w:rPr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 podpisu, ve znění pozdě</w:t>
      </w:r>
      <w:r>
        <w:rPr>
          <w:rFonts w:ascii="Arial" w:hAnsi="Arial" w:cs="Arial"/>
          <w:sz w:val="22"/>
          <w:szCs w:val="22"/>
        </w:rPr>
        <w:t>jších předpisů, kvalifikovaný certifikát musí být vydán jedním z Ministerstvem vnitra ČR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</w:t>
      </w:r>
      <w:r>
        <w:rPr>
          <w:rFonts w:ascii="Arial" w:hAnsi="Arial" w:cs="Arial"/>
          <w:sz w:val="22"/>
          <w:szCs w:val="22"/>
        </w:rPr>
        <w:t>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ceny.</w:t>
      </w:r>
    </w:p>
    <w:p w14:paraId="53BEA985" w14:textId="77777777" w:rsidR="00DB72CB" w:rsidRDefault="00BB4633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je stanovena na 30 dní od prokazatelného doručení faktury Objednateli. Připadne-li termín splatnosti na den, který není pracovním dnem, posouvá se termín splatnosti na nejbližší následující pracovní den. Ke splnění dluhu Objednatele dojde odepsáním částky z účtu Objednatele ve prospěch účtu Poskytovatele.</w:t>
      </w:r>
    </w:p>
    <w:p w14:paraId="547A3326" w14:textId="77777777" w:rsidR="00DB72CB" w:rsidRDefault="00DB72CB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F091EDB" w14:textId="77777777" w:rsidR="00DB72CB" w:rsidRDefault="00DB72CB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BF1A088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14:paraId="0FA86DAE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Poskytovatele</w:t>
      </w:r>
    </w:p>
    <w:p w14:paraId="4B8471BE" w14:textId="77777777" w:rsidR="00DB72CB" w:rsidRDefault="00BB4633">
      <w:pPr>
        <w:snapToGrid w:val="0"/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  Poskytovatel se zavazuje, že činnosti a výkony, ke kterým se touto Smlouvou zavázal, bude vykonávat </w:t>
      </w:r>
      <w:r>
        <w:rPr>
          <w:rFonts w:ascii="Arial" w:hAnsi="Arial" w:cs="Arial"/>
          <w:sz w:val="22"/>
          <w:szCs w:val="22"/>
          <w:lang w:eastAsia="en-US"/>
        </w:rPr>
        <w:t xml:space="preserve">v souladu s příslušnými obecně závaznými právními předpisy, závaznými pokyny Objednatele, </w:t>
      </w:r>
      <w:r>
        <w:rPr>
          <w:rFonts w:ascii="Arial" w:hAnsi="Arial" w:cs="Arial"/>
          <w:sz w:val="22"/>
          <w:szCs w:val="22"/>
        </w:rPr>
        <w:t xml:space="preserve">s nejvyšší možnou odbornou péčí, ve stanovených termínech a kvalitě, a že zvolí </w:t>
      </w:r>
      <w:r>
        <w:rPr>
          <w:rFonts w:ascii="Arial" w:hAnsi="Arial" w:cs="Arial"/>
          <w:sz w:val="22"/>
          <w:szCs w:val="22"/>
        </w:rPr>
        <w:lastRenderedPageBreak/>
        <w:t>nejúčinnější a ekonomicky nejvýhodnější způsob jejich zabezpečení. Poskytovatel je povinen při plnění povinností vyplývajících z této Smlouvy sledovat a chránit oprávněné zájmy Objednatele.</w:t>
      </w:r>
    </w:p>
    <w:p w14:paraId="330C7571" w14:textId="77777777" w:rsidR="00DB72CB" w:rsidRDefault="00BB4633">
      <w:pPr>
        <w:snapToGrid w:val="0"/>
        <w:spacing w:before="120"/>
        <w:ind w:left="360" w:hanging="36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Poskytovatel </w:t>
      </w:r>
      <w:r>
        <w:rPr>
          <w:rStyle w:val="normaltextrun"/>
          <w:rFonts w:ascii="Arial" w:hAnsi="Arial" w:cs="Arial"/>
          <w:sz w:val="22"/>
          <w:szCs w:val="22"/>
        </w:rPr>
        <w:t>je povinen nejpozději v den uzavření této Smlouvy mít zřízeno pojištění pro případ odpovědnosti za škodu způsobenou v souvislosti s poskytováním služeb Objednateli nebo třetí osobě na pojistnou částku ve výši nejméně 1 mil. Kč. Uzavřením Smlouvy se Poskytovatel též zavazuje, že pojištění bude ve stejném nebo větším rozsahu udržovat po celou dobu trvání této Smlouvy.</w:t>
      </w:r>
    </w:p>
    <w:p w14:paraId="00024DB7" w14:textId="77777777" w:rsidR="00DB72CB" w:rsidRDefault="00BB4633">
      <w:pPr>
        <w:snapToGrid w:val="0"/>
        <w:spacing w:before="120"/>
        <w:ind w:left="360" w:hanging="36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3.  Poskytovatel se zavazuje na výzvu Objednatele předložit certifikát/doklad o trvání pojištění odpovědnosti za škodu, a to nejpozději do deseti (10) pracovních dnů od doručení takové výzvy Poskytovateli. Objednatel je oprávněn zaslat takovou výzvu po celou dobu trvání Smlouvy, a to i opakovaně.</w:t>
      </w:r>
    </w:p>
    <w:p w14:paraId="736C1AE7" w14:textId="77777777" w:rsidR="00DB72CB" w:rsidRDefault="00DB72CB">
      <w:pPr>
        <w:snapToGrid w:val="0"/>
        <w:spacing w:before="12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550FD51" w14:textId="77777777" w:rsidR="00DB72CB" w:rsidRDefault="00DB72CB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F12D554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08EED9A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Smlouvy</w:t>
      </w:r>
    </w:p>
    <w:p w14:paraId="363E10FA" w14:textId="77777777" w:rsidR="00DB72CB" w:rsidRDefault="00BB4633">
      <w:r>
        <w:rPr>
          <w:rFonts w:ascii="Arial" w:hAnsi="Arial" w:cs="Arial"/>
          <w:sz w:val="22"/>
          <w:szCs w:val="22"/>
        </w:rPr>
        <w:t xml:space="preserve">Tato Smlouva bude ukončena dle čl. III. odst. 2. Smlouvy. </w:t>
      </w:r>
    </w:p>
    <w:p w14:paraId="061E0D2F" w14:textId="77777777" w:rsidR="00DB72CB" w:rsidRDefault="00DB72CB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9EC66B1" w14:textId="77777777" w:rsidR="00DB72CB" w:rsidRDefault="00DB72CB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0D2C6AFF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7C11722E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Odpovědnost a povinnost k náhradě škody</w:t>
      </w:r>
    </w:p>
    <w:p w14:paraId="44563BBB" w14:textId="77777777" w:rsidR="00DB72CB" w:rsidRDefault="00BB4633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   Poskytovatel odpovídá za odborné, poctivé a pečlivé prováděné činností v rozsahu daném touto Smlouvou a příslušnými obecně závaznými předpisy. Pokud k plnění této Smlouvy použije jiné osoby </w:t>
      </w:r>
      <w:r>
        <w:rPr>
          <w:rFonts w:ascii="Arial" w:hAnsi="Arial" w:cs="Arial"/>
          <w:sz w:val="22"/>
          <w:szCs w:val="22"/>
        </w:rPr>
        <w:t xml:space="preserve">(poddodavatele), odpovídá tak, jako by činnost prováděl sám.  Seznam poddodavatelů je uveden v příloze Smlouvy.  Ke změně poddodavatele je Poskytovatel oprávněn na základě předchozího písemného souhlasu Objednatele. Seznam poddodavatelů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4 Smlouvy.</w:t>
      </w:r>
    </w:p>
    <w:p w14:paraId="3B3E59DD" w14:textId="77777777" w:rsidR="00DB72CB" w:rsidRDefault="00BB4633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Poskytovatel je povinen nahradit Objednateli jakoukoliv škodu či nemajetkovou újmu, způsobenou v souvislosti s poskytováním služeb dle této Smlouvy, a to i tehdy, byla-li škoda či újma způsobena zaměstnancem Poskytovatele či jinou osobou, prostřednictvím které Poskytovatel poskytoval plnění dle této Smlouvy Objednateli.</w:t>
      </w:r>
    </w:p>
    <w:p w14:paraId="620A4076" w14:textId="77777777" w:rsidR="00DB72CB" w:rsidRDefault="00BB4633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Poskytovatel se povinnosti k náhradě škody zprostí, prokáže-li, že vzniku škody nemohl zabránit ani při vynaložení veškerého úsilí, které na něm bylo možné požadovat.</w:t>
      </w:r>
    </w:p>
    <w:p w14:paraId="3E57CC27" w14:textId="77777777" w:rsidR="00DB72CB" w:rsidRDefault="00DB72CB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</w:p>
    <w:p w14:paraId="493FD37A" w14:textId="77777777" w:rsidR="00DB72CB" w:rsidRDefault="00DB72CB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</w:p>
    <w:p w14:paraId="30A0CAF5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14:paraId="2396F877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sankce</w:t>
      </w:r>
    </w:p>
    <w:p w14:paraId="71C6B070" w14:textId="77777777" w:rsidR="00DB72CB" w:rsidRDefault="00BB4633">
      <w:pPr>
        <w:snapToGrid w:val="0"/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Smluvní strany sjednávají smluvní pokutu za nesplnění jakékoliv povinnosti Poskytovatele dle této Smlouvy ve výši 0,3 % z celkové ceny dle čl. IV. odst. 1 Smlouvy za každý jednotlivý případ porušení povinnosti.</w:t>
      </w:r>
    </w:p>
    <w:p w14:paraId="6E6BB644" w14:textId="77777777" w:rsidR="00DB72CB" w:rsidRDefault="00BB4633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Smluvní pokuta je splatná do 30 dnů po doručení výzvy oprávněné smluvní strany druhé smluvní straně k její úhradě. Výzva musí vždy obsahovat popis a časové určení události, která v souladu s uzavřenou smlouvou zakládá právo účtovat smluvní pokutu. Smluvní strany sjednávají právo Objednatele provést jednostranný zápočet vzájemných pohledávek, a to i v případě pohledávky nejisté nebo neurčité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1987 odst. 2 Občanského zákoníku.</w:t>
      </w:r>
    </w:p>
    <w:p w14:paraId="353C3907" w14:textId="77777777" w:rsidR="00DB72CB" w:rsidRDefault="00BB4633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Úhradou smluvní pokuty není dotčeno právo Objednatele na náhradu škody způsobené porušením povinností, na které se smluvní pokuta vztahuje, a to v plné výši, ani povinnost smluvní strany splnit povinnost zajištěnou smluvní pokutou.</w:t>
      </w:r>
    </w:p>
    <w:p w14:paraId="626491CA" w14:textId="77777777" w:rsidR="00DB72CB" w:rsidRDefault="00BB4633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 případě prodlení Objednatele s úhradou faktury má Poskytovatel právo účtovat úrok z prodlení v zákonné výši z dlužné částky za každý den prodlení.</w:t>
      </w:r>
    </w:p>
    <w:p w14:paraId="4739E0D4" w14:textId="77777777" w:rsidR="00DB72CB" w:rsidRDefault="00DB72CB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1272F4D1" w14:textId="77777777" w:rsidR="00DB72CB" w:rsidRDefault="00BB4633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</w:p>
    <w:p w14:paraId="5F26BA8F" w14:textId="77777777" w:rsidR="00DB72CB" w:rsidRDefault="00BB4633">
      <w:pPr>
        <w:ind w:left="426" w:hanging="4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Souhrnná smluvní doložka</w:t>
      </w:r>
    </w:p>
    <w:p w14:paraId="6BCFE879" w14:textId="77777777" w:rsidR="00DB72CB" w:rsidRDefault="00BB4633">
      <w:pPr>
        <w:pStyle w:val="Clanek11"/>
        <w:keepLines w:val="0"/>
        <w:numPr>
          <w:ilvl w:val="0"/>
          <w:numId w:val="12"/>
        </w:numPr>
        <w:ind w:left="426" w:hanging="426"/>
        <w:outlineLvl w:val="9"/>
      </w:pPr>
      <w:r>
        <w:t xml:space="preserve">Poskytovatel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 nulové toleranci korupčního jednání a celkovému dodržování zásad slušnosti, poctivosti a dobrých mravů.    </w:t>
      </w:r>
    </w:p>
    <w:p w14:paraId="221652B5" w14:textId="77777777" w:rsidR="00DB72CB" w:rsidRDefault="00BB4633">
      <w:pPr>
        <w:pStyle w:val="Clanek11"/>
        <w:keepLines w:val="0"/>
        <w:numPr>
          <w:ilvl w:val="0"/>
          <w:numId w:val="13"/>
        </w:numPr>
        <w:ind w:left="426" w:hanging="426"/>
        <w:outlineLvl w:val="9"/>
      </w:pPr>
      <w:r>
        <w:t xml:space="preserve">Poskytovatel bere dále výslovně na vědomí, že Souhrnná smluvní doložka obsahuje i jiné povinnosti nad rámec odst. 1 výše, a to zejména z oblasti absence mezinárodních a národních sankcí, nebo zamezování střetu zájmů ve smyslu zákona č. 159/2006 Sb. Poskytovatel se zavazuje tyto povinnosti dodržovat.    </w:t>
      </w:r>
    </w:p>
    <w:p w14:paraId="4D6FC132" w14:textId="77777777" w:rsidR="00DB72CB" w:rsidRDefault="00BB4633">
      <w:pPr>
        <w:pStyle w:val="Clanek11"/>
        <w:keepLines w:val="0"/>
        <w:numPr>
          <w:ilvl w:val="0"/>
          <w:numId w:val="14"/>
        </w:numPr>
        <w:ind w:left="426" w:hanging="426"/>
        <w:outlineLvl w:val="9"/>
      </w:pPr>
      <w:r>
        <w:t xml:space="preserve">Poskytovatel výslovně prohlašuje, že si je vědom kontrolních i sankčních oprávnění TSK vyplývajících ze všech částí Souhrnné smluvní doložky, a že s nimi souhlasí; a v případě, že proti němu budu uplatněny, se zavazuje je akceptovat.    </w:t>
      </w:r>
    </w:p>
    <w:p w14:paraId="53537407" w14:textId="77777777" w:rsidR="00DB72CB" w:rsidRDefault="00BB4633">
      <w:pPr>
        <w:pStyle w:val="Clanek11"/>
        <w:keepLines w:val="0"/>
        <w:numPr>
          <w:ilvl w:val="0"/>
          <w:numId w:val="15"/>
        </w:numPr>
        <w:ind w:left="426" w:hanging="426"/>
        <w:outlineLvl w:val="9"/>
      </w:pPr>
      <w:r>
        <w:t xml:space="preserve">Podrobně jsou práva a povinnosti smluvních stran rozvedeny v příloze č. 5 Souhrnná smluvní doložka, která </w:t>
      </w:r>
      <w:proofErr w:type="gramStart"/>
      <w:r>
        <w:t>tvoří</w:t>
      </w:r>
      <w:proofErr w:type="gramEnd"/>
      <w:r>
        <w:t xml:space="preserve"> nedílnou součást Smlouvy. </w:t>
      </w:r>
    </w:p>
    <w:p w14:paraId="43971AB7" w14:textId="77777777" w:rsidR="00DB72CB" w:rsidRDefault="00DB72CB">
      <w:pPr>
        <w:pStyle w:val="Nadpis2"/>
        <w:rPr>
          <w:rFonts w:ascii="Arial" w:hAnsi="Arial" w:cs="Arial"/>
          <w:sz w:val="22"/>
          <w:szCs w:val="22"/>
        </w:rPr>
      </w:pPr>
    </w:p>
    <w:p w14:paraId="16E8C715" w14:textId="77777777" w:rsidR="00DB72CB" w:rsidRDefault="00DB72CB">
      <w:pPr>
        <w:pStyle w:val="Nadpis2"/>
        <w:rPr>
          <w:rFonts w:ascii="Arial" w:hAnsi="Arial" w:cs="Arial"/>
          <w:sz w:val="22"/>
          <w:szCs w:val="22"/>
        </w:rPr>
      </w:pPr>
    </w:p>
    <w:p w14:paraId="7B2A39FB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1DFF4BB8" w14:textId="77777777" w:rsidR="00DB72CB" w:rsidRDefault="00BB4633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14:paraId="66089D4B" w14:textId="77777777" w:rsidR="00DB72CB" w:rsidRDefault="00BB4633">
      <w:pPr>
        <w:pStyle w:val="Odstavecseseznamem"/>
        <w:numPr>
          <w:ilvl w:val="0"/>
          <w:numId w:val="4"/>
        </w:numPr>
        <w:spacing w:before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Objednatele, odpovědná za převzetí předmětu plnění: </w:t>
      </w:r>
    </w:p>
    <w:p w14:paraId="73874313" w14:textId="5853C4CD" w:rsidR="00DB72CB" w:rsidRDefault="00BB4633">
      <w:pPr>
        <w:pStyle w:val="Odstavecseseznamem"/>
        <w:spacing w:before="120" w:line="240" w:lineRule="atLeast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e-mail, tel.: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 xml:space="preserve">; +420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         </w:t>
      </w:r>
    </w:p>
    <w:p w14:paraId="27252145" w14:textId="77777777" w:rsidR="00DB72CB" w:rsidRDefault="00BB4633">
      <w:pPr>
        <w:pStyle w:val="Odstavecseseznamem"/>
        <w:spacing w:before="120" w:line="240" w:lineRule="atLeast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Poskytovatele, odpovědná za provedení předmětu plnění: </w:t>
      </w:r>
    </w:p>
    <w:p w14:paraId="567A2729" w14:textId="251B0ADE" w:rsidR="00DB72CB" w:rsidRDefault="00BB4633">
      <w:pPr>
        <w:pStyle w:val="Odstavecseseznamem"/>
        <w:spacing w:before="120" w:line="240" w:lineRule="atLeast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e-mail, tel.: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tel.: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proofErr w:type="gramEnd"/>
    </w:p>
    <w:p w14:paraId="273D3A98" w14:textId="77777777" w:rsidR="00DB72CB" w:rsidRDefault="00BB4633">
      <w:pPr>
        <w:pStyle w:val="Odstavecseseznamem"/>
        <w:numPr>
          <w:ilvl w:val="0"/>
          <w:numId w:val="4"/>
        </w:numPr>
        <w:spacing w:before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této Smlouvy mohou být realizovány pouze formou písemných dodatků podepsaných oprávněnými zástupci obou smluvních stran.</w:t>
      </w:r>
    </w:p>
    <w:p w14:paraId="72FDA5DE" w14:textId="77777777" w:rsidR="00DB72CB" w:rsidRDefault="00BB4633">
      <w:pPr>
        <w:pStyle w:val="Odstavecseseznamem"/>
        <w:numPr>
          <w:ilvl w:val="0"/>
          <w:numId w:val="4"/>
        </w:numPr>
        <w:spacing w:before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Otázky touto Smlouvou neupravené se budou řídit příslušnými ustanoveními Občanského zákoníku.</w:t>
      </w:r>
    </w:p>
    <w:p w14:paraId="07D12EE3" w14:textId="77777777" w:rsidR="00DB72CB" w:rsidRDefault="00BB4633">
      <w:pPr>
        <w:pStyle w:val="Odstavecseseznamem"/>
        <w:numPr>
          <w:ilvl w:val="0"/>
          <w:numId w:val="4"/>
        </w:numPr>
        <w:spacing w:before="120"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sepsána ve čtyřech vyhotoveních, z nichž každé má platnost originálu. Každá ze smluvních stran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po 2 vyhotoveních.  V případě, že je Smlouva uzavírána elektronicky za využití uznávaných elektronických podpisů, </w:t>
      </w:r>
      <w:proofErr w:type="gramStart"/>
      <w:r>
        <w:rPr>
          <w:rFonts w:ascii="Arial" w:hAnsi="Arial" w:cs="Arial"/>
          <w:sz w:val="22"/>
          <w:szCs w:val="22"/>
        </w:rPr>
        <w:t>postačí</w:t>
      </w:r>
      <w:proofErr w:type="gramEnd"/>
      <w:r>
        <w:rPr>
          <w:rFonts w:ascii="Arial" w:hAnsi="Arial" w:cs="Arial"/>
          <w:sz w:val="22"/>
          <w:szCs w:val="22"/>
        </w:rPr>
        <w:t xml:space="preserve"> jedno vyhotovení Smlouvy, na kterém jsou zaznamenány uznávané elektronické podpisy zástupců smluvních stran.</w:t>
      </w:r>
    </w:p>
    <w:p w14:paraId="7F006A0A" w14:textId="77777777" w:rsidR="00DB72CB" w:rsidRDefault="00BB4633">
      <w:pPr>
        <w:pStyle w:val="Odstavecseseznamem"/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uveřejnění v registru smluv. </w:t>
      </w:r>
    </w:p>
    <w:p w14:paraId="4DF10EF2" w14:textId="77777777" w:rsidR="00DB72CB" w:rsidRDefault="00BB4633">
      <w:pPr>
        <w:pStyle w:val="Odstavecseseznamem"/>
        <w:numPr>
          <w:ilvl w:val="0"/>
          <w:numId w:val="4"/>
        </w:numPr>
        <w:tabs>
          <w:tab w:val="left" w:pos="2502"/>
        </w:tabs>
        <w:spacing w:before="120" w:line="240" w:lineRule="atLeast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strany prohlašují, že skutečnosti uvedené v této Smlouvě nepovažují za obchodní tajemství ve smyslu § </w:t>
      </w:r>
      <w:r>
        <w:rPr>
          <w:rFonts w:ascii="Arial" w:hAnsi="Arial" w:cs="Arial"/>
          <w:bCs/>
          <w:sz w:val="22"/>
          <w:szCs w:val="22"/>
        </w:rPr>
        <w:t>504 Občanského zákoníku a udělují svolení k jejich užití a zveřejnění bez stanovení jakýchkoli dalších podmínek</w:t>
      </w:r>
      <w:r>
        <w:rPr>
          <w:rFonts w:ascii="Arial" w:hAnsi="Arial" w:cs="Arial"/>
          <w:sz w:val="22"/>
          <w:szCs w:val="22"/>
        </w:rPr>
        <w:t>.</w:t>
      </w:r>
    </w:p>
    <w:p w14:paraId="33D749EF" w14:textId="77777777" w:rsidR="00DB72CB" w:rsidRDefault="00BB4633">
      <w:pPr>
        <w:pStyle w:val="Odstavecseseznamem"/>
        <w:numPr>
          <w:ilvl w:val="0"/>
          <w:numId w:val="4"/>
        </w:numPr>
        <w:tabs>
          <w:tab w:val="left" w:pos="2502"/>
        </w:tabs>
        <w:spacing w:before="120" w:line="240" w:lineRule="atLeast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výslovně sjednávají, že uveřejnění této Smlouvy v registru smluv dle zákona                              č.340/2015 Sb., o zvláštních podmínkách účinnosti některých smluv, uveřejňování těchto smluv a o registru smluv (zákon o registru smluv), zajistí Objednatel.</w:t>
      </w:r>
    </w:p>
    <w:p w14:paraId="653C1E81" w14:textId="77777777" w:rsidR="00DB72CB" w:rsidRDefault="00DB72CB">
      <w:pPr>
        <w:pStyle w:val="Odstavecseseznamem"/>
        <w:tabs>
          <w:tab w:val="left" w:pos="2502"/>
        </w:tabs>
        <w:spacing w:before="120" w:line="240" w:lineRule="atLeast"/>
        <w:ind w:left="35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4E6B1C0B" w14:textId="77777777" w:rsidR="00DB72CB" w:rsidRDefault="00BB463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7E1FC263" w14:textId="77777777" w:rsidR="00DB72CB" w:rsidRDefault="00BB4633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Cenová nabídka – Soupis prací prováděných při údržbě a obsluze fontán a pítek</w:t>
      </w:r>
    </w:p>
    <w:p w14:paraId="23713B7D" w14:textId="77777777" w:rsidR="00DB72CB" w:rsidRDefault="00BB4633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Specifikace míst plnění veřejné zakázky </w:t>
      </w:r>
    </w:p>
    <w:p w14:paraId="4A03F710" w14:textId="77777777" w:rsidR="00DB72CB" w:rsidRDefault="00BB4633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Podrobná specifikace předmětu plnění</w:t>
      </w:r>
    </w:p>
    <w:p w14:paraId="1529F3B0" w14:textId="77777777" w:rsidR="00DB72CB" w:rsidRDefault="00BB4633">
      <w:pPr>
        <w:pStyle w:val="Odstavecseseznamem"/>
        <w:numPr>
          <w:ilvl w:val="0"/>
          <w:numId w:val="7"/>
        </w:numPr>
        <w:spacing w:before="12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poddodavatelů –</w:t>
      </w:r>
      <w:r>
        <w:rPr>
          <w:rStyle w:val="normaltextrun"/>
          <w:rFonts w:ascii="Arial" w:hAnsi="Arial" w:cs="Arial"/>
          <w:sz w:val="22"/>
          <w:szCs w:val="22"/>
        </w:rPr>
        <w:t xml:space="preserve"> neužije se</w:t>
      </w:r>
    </w:p>
    <w:p w14:paraId="0576565F" w14:textId="77777777" w:rsidR="00DB72CB" w:rsidRDefault="00BB4633">
      <w:pPr>
        <w:pStyle w:val="Odstavecseseznamem"/>
        <w:numPr>
          <w:ilvl w:val="0"/>
          <w:numId w:val="7"/>
        </w:numPr>
        <w:spacing w:before="12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Souhrnná smluvní doložka</w:t>
      </w:r>
    </w:p>
    <w:p w14:paraId="27DC2D2A" w14:textId="77777777" w:rsidR="00DB72CB" w:rsidRDefault="00DB72CB">
      <w:pPr>
        <w:jc w:val="both"/>
        <w:rPr>
          <w:rFonts w:ascii="Arial" w:hAnsi="Arial" w:cs="Arial"/>
          <w:sz w:val="22"/>
          <w:szCs w:val="22"/>
        </w:rPr>
      </w:pPr>
    </w:p>
    <w:p w14:paraId="44BD7601" w14:textId="0673870E" w:rsidR="00DB72CB" w:rsidRDefault="00BB46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</w:t>
      </w:r>
      <w:proofErr w:type="gramStart"/>
      <w:r>
        <w:rPr>
          <w:rFonts w:ascii="Arial" w:hAnsi="Arial" w:cs="Arial"/>
          <w:sz w:val="22"/>
          <w:szCs w:val="22"/>
        </w:rPr>
        <w:t>dne  13.5.2024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Praze dne        </w:t>
      </w:r>
    </w:p>
    <w:p w14:paraId="3364E4B9" w14:textId="77777777" w:rsidR="00DB72CB" w:rsidRDefault="00DB72CB">
      <w:pPr>
        <w:ind w:left="283"/>
        <w:rPr>
          <w:rFonts w:ascii="Arial" w:hAnsi="Arial" w:cs="Arial"/>
          <w:sz w:val="22"/>
          <w:szCs w:val="22"/>
        </w:rPr>
      </w:pPr>
    </w:p>
    <w:p w14:paraId="40A75750" w14:textId="77777777" w:rsidR="00DB72CB" w:rsidRDefault="00DB72CB">
      <w:pPr>
        <w:ind w:left="283"/>
        <w:rPr>
          <w:rFonts w:ascii="Arial" w:hAnsi="Arial" w:cs="Arial"/>
          <w:sz w:val="22"/>
          <w:szCs w:val="22"/>
        </w:rPr>
      </w:pPr>
    </w:p>
    <w:p w14:paraId="6ECD6430" w14:textId="77777777" w:rsidR="00DB72CB" w:rsidRDefault="00DB72CB">
      <w:pPr>
        <w:rPr>
          <w:rFonts w:ascii="Arial" w:hAnsi="Arial" w:cs="Arial"/>
          <w:sz w:val="22"/>
          <w:szCs w:val="22"/>
        </w:rPr>
      </w:pPr>
    </w:p>
    <w:p w14:paraId="58897441" w14:textId="5F24162C" w:rsidR="00DB72CB" w:rsidRDefault="00BB4633">
      <w:pPr>
        <w:keepNext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Objednatele:   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 Poskytovatele:</w:t>
      </w:r>
    </w:p>
    <w:p w14:paraId="2C3DD454" w14:textId="77777777" w:rsidR="00DB72CB" w:rsidRDefault="00DB72CB">
      <w:pPr>
        <w:rPr>
          <w:rFonts w:ascii="Arial" w:hAnsi="Arial" w:cs="Arial"/>
          <w:b/>
          <w:sz w:val="22"/>
          <w:szCs w:val="22"/>
        </w:rPr>
      </w:pPr>
    </w:p>
    <w:p w14:paraId="5B0777E0" w14:textId="77777777" w:rsidR="00DB72CB" w:rsidRDefault="00BB4633">
      <w:pPr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Technická správa komunikací hl. m. Prahy, a.s.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bCs/>
        </w:rPr>
        <w:t xml:space="preserve">       </w:t>
      </w:r>
      <w:r>
        <w:rPr>
          <w:bCs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MIRA expert s.r.o.</w:t>
      </w:r>
    </w:p>
    <w:p w14:paraId="488EB2A7" w14:textId="77777777" w:rsidR="00DB72CB" w:rsidRDefault="00DB72CB">
      <w:pPr>
        <w:keepNext/>
        <w:spacing w:before="120"/>
        <w:rPr>
          <w:rFonts w:ascii="Arial" w:hAnsi="Arial" w:cs="Arial"/>
          <w:b/>
          <w:sz w:val="22"/>
          <w:szCs w:val="22"/>
        </w:rPr>
      </w:pPr>
    </w:p>
    <w:p w14:paraId="25688830" w14:textId="77777777" w:rsidR="00DB72CB" w:rsidRDefault="00BB4633">
      <w:pPr>
        <w:ind w:lef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63D52E9" w14:textId="77777777" w:rsidR="00DB72CB" w:rsidRDefault="00DB72CB">
      <w:pPr>
        <w:ind w:left="283"/>
        <w:rPr>
          <w:rFonts w:ascii="Arial" w:hAnsi="Arial" w:cs="Arial"/>
          <w:b/>
          <w:sz w:val="22"/>
          <w:szCs w:val="22"/>
        </w:rPr>
      </w:pPr>
    </w:p>
    <w:p w14:paraId="69A27455" w14:textId="77777777" w:rsidR="00DB72CB" w:rsidRDefault="00DB72CB">
      <w:pPr>
        <w:rPr>
          <w:rFonts w:ascii="Arial" w:hAnsi="Arial" w:cs="Arial"/>
          <w:bCs/>
          <w:sz w:val="22"/>
          <w:szCs w:val="22"/>
        </w:rPr>
      </w:pPr>
    </w:p>
    <w:p w14:paraId="1855C9DB" w14:textId="77777777" w:rsidR="00DB72CB" w:rsidRDefault="00DB72CB">
      <w:pPr>
        <w:rPr>
          <w:rFonts w:ascii="Arial" w:hAnsi="Arial" w:cs="Arial"/>
          <w:bCs/>
          <w:sz w:val="22"/>
          <w:szCs w:val="22"/>
        </w:rPr>
      </w:pPr>
    </w:p>
    <w:p w14:paraId="2E2D9C65" w14:textId="77777777" w:rsidR="00DB72CB" w:rsidRDefault="00BB46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……………………………….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……………………………….  </w:t>
      </w:r>
    </w:p>
    <w:p w14:paraId="26D58D42" w14:textId="77777777" w:rsidR="00DB72CB" w:rsidRDefault="00BB46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Ing. Josef Richtr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Bc. Miroslav MATYÁŠ, MBA, LL.M.</w:t>
      </w:r>
    </w:p>
    <w:p w14:paraId="6998EA27" w14:textId="77777777" w:rsidR="00DB72CB" w:rsidRDefault="00BB46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místopředseda představenstva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jednatel</w:t>
      </w:r>
    </w:p>
    <w:p w14:paraId="2A5BB775" w14:textId="77777777" w:rsidR="00DB72CB" w:rsidRDefault="00BB4633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1B99BC74" w14:textId="77777777" w:rsidR="00DB72CB" w:rsidRDefault="00DB72C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73DF6369" w14:textId="77777777" w:rsidR="00DB72CB" w:rsidRDefault="00DB72C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5BF5B8F7" w14:textId="77777777" w:rsidR="00DB72CB" w:rsidRDefault="00DB72C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7CC5C573" w14:textId="77777777" w:rsidR="00DB72CB" w:rsidRDefault="00DB72C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4A34D84B" w14:textId="77777777" w:rsidR="00DB72CB" w:rsidRDefault="00BB46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685A977A" w14:textId="77777777" w:rsidR="00DB72CB" w:rsidRDefault="00BB4633">
      <w:pPr>
        <w:widowControl w:val="0"/>
        <w:rPr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……………………………….   </w:t>
      </w:r>
    </w:p>
    <w:p w14:paraId="7672022D" w14:textId="77777777" w:rsidR="00DB72CB" w:rsidRDefault="00BB4633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PhDr. Filip Hájek    </w:t>
      </w:r>
    </w:p>
    <w:p w14:paraId="0ECA76E8" w14:textId="77777777" w:rsidR="00DB72CB" w:rsidRDefault="00BB46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místopředseda představenstva                  </w:t>
      </w:r>
    </w:p>
    <w:sectPr w:rsidR="00DB72CB">
      <w:footerReference w:type="even" r:id="rId12"/>
      <w:footerReference w:type="default" r:id="rId13"/>
      <w:footerReference w:type="first" r:id="rId14"/>
      <w:pgSz w:w="11906" w:h="16838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331E" w14:textId="77777777" w:rsidR="00BB4633" w:rsidRDefault="00BB4633">
      <w:r>
        <w:separator/>
      </w:r>
    </w:p>
  </w:endnote>
  <w:endnote w:type="continuationSeparator" w:id="0">
    <w:p w14:paraId="4B884B99" w14:textId="77777777" w:rsidR="00BB4633" w:rsidRDefault="00BB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EB9A" w14:textId="77777777" w:rsidR="00DB72CB" w:rsidRDefault="00DB7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4311" w14:textId="77777777" w:rsidR="00DB72CB" w:rsidRDefault="00BB4633">
    <w:pPr>
      <w:pStyle w:val="Zpat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9074" w14:textId="77777777" w:rsidR="00DB72CB" w:rsidRDefault="00BB4633">
    <w:pPr>
      <w:pStyle w:val="Zpat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4DD1" w14:textId="77777777" w:rsidR="00BB4633" w:rsidRDefault="00BB4633">
      <w:r>
        <w:separator/>
      </w:r>
    </w:p>
  </w:footnote>
  <w:footnote w:type="continuationSeparator" w:id="0">
    <w:p w14:paraId="6C3E43C8" w14:textId="77777777" w:rsidR="00BB4633" w:rsidRDefault="00BB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221"/>
    <w:multiLevelType w:val="multilevel"/>
    <w:tmpl w:val="F6F6DF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855AFC"/>
    <w:multiLevelType w:val="multilevel"/>
    <w:tmpl w:val="92E60B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7A7AC1"/>
    <w:multiLevelType w:val="multilevel"/>
    <w:tmpl w:val="3B14CC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873380"/>
    <w:multiLevelType w:val="multilevel"/>
    <w:tmpl w:val="CE4A9CF8"/>
    <w:lvl w:ilvl="0">
      <w:start w:val="1"/>
      <w:numFmt w:val="none"/>
      <w:pStyle w:val="inz1rove"/>
      <w:suff w:val="nothing"/>
      <w:lvlText w:val="20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07C4060"/>
    <w:multiLevelType w:val="multilevel"/>
    <w:tmpl w:val="A9AEE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5D4312"/>
    <w:multiLevelType w:val="multilevel"/>
    <w:tmpl w:val="7CEABE7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43695DB3"/>
    <w:multiLevelType w:val="multilevel"/>
    <w:tmpl w:val="B8E22D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44490A"/>
    <w:multiLevelType w:val="multilevel"/>
    <w:tmpl w:val="B24ECD00"/>
    <w:lvl w:ilvl="0">
      <w:start w:val="1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8" w15:restartNumberingAfterBreak="0">
    <w:nsid w:val="47747D07"/>
    <w:multiLevelType w:val="multilevel"/>
    <w:tmpl w:val="A9A2538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9F342D"/>
    <w:multiLevelType w:val="multilevel"/>
    <w:tmpl w:val="B236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0" w15:restartNumberingAfterBreak="0">
    <w:nsid w:val="77A660F6"/>
    <w:multiLevelType w:val="multilevel"/>
    <w:tmpl w:val="2DC097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011717949">
    <w:abstractNumId w:val="3"/>
  </w:num>
  <w:num w:numId="2" w16cid:durableId="978263273">
    <w:abstractNumId w:val="9"/>
  </w:num>
  <w:num w:numId="3" w16cid:durableId="1305618910">
    <w:abstractNumId w:val="7"/>
  </w:num>
  <w:num w:numId="4" w16cid:durableId="249855390">
    <w:abstractNumId w:val="8"/>
  </w:num>
  <w:num w:numId="5" w16cid:durableId="2016378651">
    <w:abstractNumId w:val="0"/>
  </w:num>
  <w:num w:numId="6" w16cid:durableId="1301572305">
    <w:abstractNumId w:val="6"/>
  </w:num>
  <w:num w:numId="7" w16cid:durableId="395323975">
    <w:abstractNumId w:val="1"/>
  </w:num>
  <w:num w:numId="8" w16cid:durableId="2137867465">
    <w:abstractNumId w:val="5"/>
  </w:num>
  <w:num w:numId="9" w16cid:durableId="1246960677">
    <w:abstractNumId w:val="2"/>
  </w:num>
  <w:num w:numId="10" w16cid:durableId="1605309926">
    <w:abstractNumId w:val="10"/>
  </w:num>
  <w:num w:numId="11" w16cid:durableId="49966547">
    <w:abstractNumId w:val="4"/>
  </w:num>
  <w:num w:numId="12" w16cid:durableId="1574701190">
    <w:abstractNumId w:val="10"/>
    <w:lvlOverride w:ilvl="0">
      <w:startOverride w:val="1"/>
    </w:lvlOverride>
  </w:num>
  <w:num w:numId="13" w16cid:durableId="1519150433">
    <w:abstractNumId w:val="10"/>
  </w:num>
  <w:num w:numId="14" w16cid:durableId="1272782292">
    <w:abstractNumId w:val="10"/>
  </w:num>
  <w:num w:numId="15" w16cid:durableId="2111856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CB"/>
    <w:rsid w:val="00BB4633"/>
    <w:rsid w:val="00D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EACF"/>
  <w15:docId w15:val="{B7884996-148C-4C81-9335-B4AFCD2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6B65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4B544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4B5442"/>
    <w:rPr>
      <w:rFonts w:asciiTheme="minorHAnsi" w:eastAsiaTheme="minorEastAsia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locked/>
    <w:rsid w:val="00AA3EED"/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4B5442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qFormat/>
    <w:locked/>
    <w:rsid w:val="00E97471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4B5442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4B5442"/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4B5442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locked/>
    <w:rsid w:val="00577BFA"/>
    <w:rPr>
      <w:rFonts w:ascii="Arial" w:hAnsi="Arial"/>
    </w:rPr>
  </w:style>
  <w:style w:type="character" w:customStyle="1" w:styleId="ZpatChar">
    <w:name w:val="Zápatí Char"/>
    <w:basedOn w:val="Standardnpsmoodstavce"/>
    <w:link w:val="Zpat"/>
    <w:qFormat/>
    <w:locked/>
    <w:rsid w:val="00AA3EED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qFormat/>
    <w:rsid w:val="00D03963"/>
    <w:rPr>
      <w:sz w:val="24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qFormat/>
    <w:locked/>
    <w:rsid w:val="00D844AF"/>
    <w:rPr>
      <w:rFonts w:ascii="Courier New" w:hAnsi="Courier New" w:cs="Times New Roman"/>
    </w:rPr>
  </w:style>
  <w:style w:type="character" w:customStyle="1" w:styleId="Textodst1slChar">
    <w:name w:val="Text odst.1čísl Char"/>
    <w:link w:val="Textodst1sl"/>
    <w:uiPriority w:val="99"/>
    <w:qFormat/>
    <w:locked/>
    <w:rsid w:val="00983F5C"/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/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qFormat/>
    <w:rsid w:val="006923EA"/>
    <w:rPr>
      <w:sz w:val="20"/>
      <w:szCs w:val="20"/>
    </w:rPr>
  </w:style>
  <w:style w:type="character" w:styleId="Odkaznakoment">
    <w:name w:val="annotation reference"/>
    <w:semiHidden/>
    <w:unhideWhenUsed/>
    <w:qFormat/>
    <w:rsid w:val="006923EA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100BD"/>
    <w:rPr>
      <w:b/>
      <w:bCs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AA42E9"/>
    <w:rPr>
      <w:sz w:val="20"/>
      <w:szCs w:val="20"/>
    </w:rPr>
  </w:style>
  <w:style w:type="character" w:styleId="Siln">
    <w:name w:val="Strong"/>
    <w:basedOn w:val="Standardnpsmoodstavce"/>
    <w:qFormat/>
    <w:locked/>
    <w:rsid w:val="00336E58"/>
    <w:rPr>
      <w:b/>
      <w:bCs/>
    </w:rPr>
  </w:style>
  <w:style w:type="character" w:customStyle="1" w:styleId="nowrap">
    <w:name w:val="nowrap"/>
    <w:basedOn w:val="Standardnpsmoodstavce"/>
    <w:qFormat/>
    <w:rsid w:val="00E7752D"/>
  </w:style>
  <w:style w:type="character" w:customStyle="1" w:styleId="normaltextrun">
    <w:name w:val="normaltextrun"/>
    <w:basedOn w:val="Standardnpsmoodstavce"/>
    <w:qFormat/>
    <w:rsid w:val="00630F23"/>
  </w:style>
  <w:style w:type="character" w:customStyle="1" w:styleId="Clanek11Char">
    <w:name w:val="Clanek 1.1 Char"/>
    <w:link w:val="Clanek11"/>
    <w:qFormat/>
    <w:rsid w:val="00630F23"/>
    <w:rPr>
      <w:rFonts w:ascii="Arial" w:eastAsia="SimSun" w:hAnsi="Arial" w:cs="Arial"/>
      <w:bCs/>
      <w:iCs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6533CD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B65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BC3422"/>
    <w:pPr>
      <w:ind w:left="284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BC3422"/>
    <w:pPr>
      <w:snapToGrid w:val="0"/>
      <w:spacing w:before="120"/>
      <w:ind w:left="480"/>
    </w:pPr>
    <w:rPr>
      <w:szCs w:val="20"/>
    </w:rPr>
  </w:style>
  <w:style w:type="paragraph" w:styleId="Zkladntext2">
    <w:name w:val="Body Text 2"/>
    <w:basedOn w:val="Normln"/>
    <w:link w:val="Zkladntext2Char"/>
    <w:uiPriority w:val="99"/>
    <w:qFormat/>
    <w:rsid w:val="00BC3422"/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uiPriority w:val="99"/>
    <w:qFormat/>
    <w:rsid w:val="00BC3422"/>
    <w:pPr>
      <w:jc w:val="both"/>
    </w:pPr>
    <w:rPr>
      <w:rFonts w:ascii="Arial" w:hAnsi="Arial"/>
      <w:sz w:val="20"/>
      <w:szCs w:val="20"/>
    </w:rPr>
  </w:style>
  <w:style w:type="paragraph" w:customStyle="1" w:styleId="inz1rove">
    <w:name w:val="inz 1.úroveň"/>
    <w:basedOn w:val="Zpat"/>
    <w:uiPriority w:val="99"/>
    <w:qFormat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BC3422"/>
    <w:pPr>
      <w:tabs>
        <w:tab w:val="center" w:pos="4536"/>
        <w:tab w:val="right" w:pos="9072"/>
      </w:tabs>
    </w:pPr>
  </w:style>
  <w:style w:type="paragraph" w:customStyle="1" w:styleId="inz3rove">
    <w:name w:val="inz 3. úroveň"/>
    <w:basedOn w:val="Zpat"/>
    <w:autoRedefine/>
    <w:uiPriority w:val="99"/>
    <w:qFormat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qFormat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qFormat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qFormat/>
    <w:rsid w:val="00EB3128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qFormat/>
    <w:rsid w:val="00D844AF"/>
    <w:rPr>
      <w:rFonts w:ascii="Courier New" w:hAnsi="Courier New"/>
      <w:sz w:val="20"/>
      <w:szCs w:val="20"/>
    </w:rPr>
  </w:style>
  <w:style w:type="paragraph" w:customStyle="1" w:styleId="Nzevlnku">
    <w:name w:val="Název článku"/>
    <w:basedOn w:val="slolnku"/>
    <w:next w:val="Textodst1sl"/>
    <w:uiPriority w:val="99"/>
    <w:qFormat/>
    <w:rsid w:val="00983F5C"/>
    <w:pPr>
      <w:numPr>
        <w:numId w:val="0"/>
      </w:numPr>
      <w:tabs>
        <w:tab w:val="clear" w:pos="284"/>
        <w:tab w:val="clear" w:pos="1701"/>
        <w:tab w:val="left" w:pos="0"/>
      </w:tabs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qFormat/>
    <w:rsid w:val="00983F5C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qFormat/>
    <w:rsid w:val="00983F5C"/>
    <w:pPr>
      <w:numPr>
        <w:ilvl w:val="1"/>
        <w:numId w:val="3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qFormat/>
    <w:rsid w:val="00983F5C"/>
    <w:pPr>
      <w:tabs>
        <w:tab w:val="clear" w:pos="0"/>
        <w:tab w:val="clear" w:pos="284"/>
        <w:tab w:val="left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83F5C"/>
    <w:pPr>
      <w:tabs>
        <w:tab w:val="left" w:pos="2880"/>
      </w:tabs>
      <w:spacing w:before="0"/>
      <w:ind w:left="2880" w:hanging="360"/>
      <w:outlineLvl w:val="3"/>
    </w:pPr>
  </w:style>
  <w:style w:type="paragraph" w:styleId="Textkomente">
    <w:name w:val="annotation text"/>
    <w:basedOn w:val="Normln"/>
    <w:link w:val="TextkomenteChar"/>
    <w:unhideWhenUsed/>
    <w:qFormat/>
    <w:rsid w:val="006923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100BD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paragraph" w:styleId="Revize">
    <w:name w:val="Revision"/>
    <w:uiPriority w:val="99"/>
    <w:semiHidden/>
    <w:qFormat/>
    <w:rsid w:val="0099331B"/>
    <w:rPr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630F23"/>
    <w:pPr>
      <w:keepLines/>
      <w:tabs>
        <w:tab w:val="left" w:pos="709"/>
      </w:tabs>
      <w:spacing w:before="120" w:after="120"/>
      <w:ind w:left="709" w:hanging="709"/>
      <w:jc w:val="both"/>
    </w:pPr>
    <w:rPr>
      <w:rFonts w:ascii="Arial" w:eastAsia="SimSun" w:hAnsi="Arial" w:cs="Arial"/>
      <w:b w:val="0"/>
      <w:bCs/>
      <w:iCs/>
      <w:sz w:val="22"/>
      <w:szCs w:val="28"/>
      <w:lang w:eastAsia="en-US"/>
    </w:rPr>
  </w:style>
  <w:style w:type="paragraph" w:customStyle="1" w:styleId="RLdajeosmluvnstran">
    <w:name w:val="RL Údaje o smluvní straně"/>
    <w:basedOn w:val="Normln"/>
    <w:qFormat/>
    <w:rsid w:val="008D66C3"/>
    <w:pPr>
      <w:spacing w:after="120" w:line="280" w:lineRule="exact"/>
      <w:ind w:left="1843" w:hanging="720"/>
      <w:jc w:val="center"/>
    </w:pPr>
    <w:rPr>
      <w:rFonts w:ascii="Calibri" w:hAnsi="Calibri"/>
      <w:sz w:val="22"/>
      <w:lang w:eastAsia="en-US"/>
    </w:rPr>
  </w:style>
  <w:style w:type="paragraph" w:customStyle="1" w:styleId="Claneka">
    <w:name w:val="Clanek (a)"/>
    <w:basedOn w:val="Normln"/>
    <w:qFormat/>
    <w:rsid w:val="005566D9"/>
    <w:pPr>
      <w:keepNext/>
      <w:tabs>
        <w:tab w:val="left" w:pos="360"/>
        <w:tab w:val="left" w:pos="1276"/>
      </w:tabs>
      <w:spacing w:before="100" w:after="100"/>
      <w:ind w:left="1276" w:hanging="709"/>
      <w:jc w:val="both"/>
    </w:pPr>
    <w:rPr>
      <w:bCs/>
      <w:sz w:val="18"/>
    </w:rPr>
  </w:style>
  <w:style w:type="paragraph" w:customStyle="1" w:styleId="Claneki">
    <w:name w:val="Clanek (i)"/>
    <w:basedOn w:val="Normln"/>
    <w:qFormat/>
    <w:rsid w:val="005566D9"/>
    <w:pPr>
      <w:keepNext/>
      <w:tabs>
        <w:tab w:val="left" w:pos="1701"/>
      </w:tabs>
      <w:spacing w:before="100" w:after="100"/>
      <w:ind w:left="1701" w:hanging="425"/>
      <w:jc w:val="both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A2B0433AC443A35C76BB9242DAB6" ma:contentTypeVersion="6" ma:contentTypeDescription="Create a new document." ma:contentTypeScope="" ma:versionID="09a685c31444b6f5b7c40318b58a0ed0">
  <xsd:schema xmlns:xsd="http://www.w3.org/2001/XMLSchema" xmlns:xs="http://www.w3.org/2001/XMLSchema" xmlns:p="http://schemas.microsoft.com/office/2006/metadata/properties" xmlns:ns2="aa569996-c515-4866-94b3-43eaebb50461" xmlns:ns3="e5444dfa-6276-4981-b5cc-88c15062a137" targetNamespace="http://schemas.microsoft.com/office/2006/metadata/properties" ma:root="true" ma:fieldsID="4e03cf3059b6fcadcbdd268677597ba9" ns2:_="" ns3:_="">
    <xsd:import namespace="aa569996-c515-4866-94b3-43eaebb50461"/>
    <xsd:import namespace="e5444dfa-6276-4981-b5cc-88c15062a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69996-c515-4866-94b3-43eaebb50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4dfa-6276-4981-b5cc-88c15062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B0771-93E6-4E21-B638-6DFBB1D1E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D4536-1F44-4EAD-A764-791EA9C76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779895-8FD5-46AD-8138-2D6A67C6C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69996-c515-4866-94b3-43eaebb50461"/>
    <ds:schemaRef ds:uri="e5444dfa-6276-4981-b5cc-88c15062a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99AAA-88D1-43E9-BB5D-DB6F7BD4D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2118</Words>
  <Characters>12499</Characters>
  <Application>Microsoft Office Word</Application>
  <DocSecurity>0</DocSecurity>
  <Lines>104</Lines>
  <Paragraphs>29</Paragraphs>
  <ScaleCrop>false</ScaleCrop>
  <Company>TSK-Praha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chaloupka</dc:creator>
  <dc:description/>
  <cp:lastModifiedBy>Všetečková Tereza</cp:lastModifiedBy>
  <cp:revision>2</cp:revision>
  <cp:lastPrinted>2018-06-25T08:03:00Z</cp:lastPrinted>
  <dcterms:created xsi:type="dcterms:W3CDTF">2024-05-13T08:03:00Z</dcterms:created>
  <dcterms:modified xsi:type="dcterms:W3CDTF">2024-05-13T08:03:00Z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0x0101001D1DA2B0433AC443A35C76BB9242DAB6</vt:lpwstr>
  </property>
</Properties>
</file>