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672A4" w:rsidRDefault="00333042" w:rsidP="008672A4">
      <w:pPr>
        <w:pStyle w:val="RLNzevsmlouvy"/>
        <w:spacing w:before="0" w:after="0"/>
        <w:rPr>
          <w:sz w:val="24"/>
          <w:szCs w:val="24"/>
        </w:rPr>
      </w:pPr>
      <w:bookmarkStart w:id="0" w:name="OLE_LINK1"/>
      <w:bookmarkStart w:id="1" w:name="OLE_LINK2"/>
    </w:p>
    <w:p w14:paraId="2E2E395D" w14:textId="66A10082" w:rsidR="000F2A45" w:rsidRPr="00040C60" w:rsidRDefault="005A0BDA" w:rsidP="00040C60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  <w:r w:rsidR="008158DC" w:rsidRPr="00040C60">
        <w:rPr>
          <w:spacing w:val="0"/>
          <w:kern w:val="0"/>
          <w:sz w:val="24"/>
          <w:szCs w:val="24"/>
        </w:rPr>
        <w:t>k</w:t>
      </w:r>
      <w:r w:rsidR="00040C60" w:rsidRPr="00040C60">
        <w:rPr>
          <w:spacing w:val="0"/>
          <w:kern w:val="0"/>
          <w:sz w:val="24"/>
          <w:szCs w:val="24"/>
        </w:rPr>
        <w:t xml:space="preserve"> dílčí smlouvě </w:t>
      </w:r>
      <w:r w:rsidR="004C4ABF">
        <w:rPr>
          <w:spacing w:val="0"/>
          <w:kern w:val="0"/>
          <w:sz w:val="24"/>
          <w:szCs w:val="24"/>
        </w:rPr>
        <w:t>č</w:t>
      </w:r>
      <w:r w:rsidR="00040C60" w:rsidRPr="00040C60">
        <w:rPr>
          <w:spacing w:val="0"/>
          <w:kern w:val="0"/>
          <w:sz w:val="24"/>
          <w:szCs w:val="24"/>
        </w:rPr>
        <w:t xml:space="preserve">. 1 o poskytování služeb </w:t>
      </w:r>
    </w:p>
    <w:p w14:paraId="6F61B7C1" w14:textId="77777777" w:rsidR="00004EF0" w:rsidRPr="00333042" w:rsidRDefault="00004EF0" w:rsidP="00004EF0">
      <w:pPr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BADDC86" w14:textId="77777777" w:rsidR="008672A4" w:rsidRDefault="008672A4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145F0CCB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721E0ADF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>se sídlem: Na poříčním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27696D62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>IČO: 00551023</w:t>
      </w:r>
    </w:p>
    <w:p w14:paraId="32674B0E" w14:textId="00BD7C8B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005F837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>bankovní spojení: Česká národní banka</w:t>
      </w:r>
    </w:p>
    <w:p w14:paraId="72C699F9" w14:textId="6B44259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>č. účtu: 19-2229001/0710</w:t>
      </w:r>
    </w:p>
    <w:p w14:paraId="7E953188" w14:textId="30629BEF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>ID datové schránky: sc9aavg</w:t>
      </w:r>
    </w:p>
    <w:p w14:paraId="555B4584" w14:textId="57F21ED2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2359264" w14:textId="77777777" w:rsidR="00040C60" w:rsidRPr="00040C60" w:rsidRDefault="00040C60" w:rsidP="00040C60">
      <w:pPr>
        <w:pStyle w:val="Default"/>
        <w:spacing w:line="280" w:lineRule="atLeast"/>
        <w:rPr>
          <w:b/>
          <w:bCs/>
          <w:sz w:val="20"/>
          <w:szCs w:val="20"/>
        </w:rPr>
      </w:pPr>
      <w:r w:rsidRPr="00040C60">
        <w:rPr>
          <w:b/>
          <w:bCs/>
          <w:sz w:val="20"/>
          <w:szCs w:val="20"/>
        </w:rPr>
        <w:t xml:space="preserve">Konsorcium </w:t>
      </w:r>
      <w:proofErr w:type="spellStart"/>
      <w:r w:rsidRPr="00040C60">
        <w:rPr>
          <w:b/>
          <w:bCs/>
          <w:sz w:val="20"/>
          <w:szCs w:val="20"/>
        </w:rPr>
        <w:t>Tekies</w:t>
      </w:r>
      <w:proofErr w:type="spellEnd"/>
      <w:r w:rsidRPr="00040C60">
        <w:rPr>
          <w:b/>
          <w:bCs/>
          <w:sz w:val="20"/>
          <w:szCs w:val="20"/>
        </w:rPr>
        <w:t xml:space="preserve"> a COPS</w:t>
      </w:r>
    </w:p>
    <w:p w14:paraId="5C3DA9C5" w14:textId="5D9C6C87" w:rsidR="00040C60" w:rsidRPr="00040C60" w:rsidRDefault="00040C60" w:rsidP="00B43013">
      <w:pPr>
        <w:pStyle w:val="Default"/>
        <w:spacing w:before="120" w:line="280" w:lineRule="atLeast"/>
        <w:rPr>
          <w:b/>
          <w:bCs/>
          <w:sz w:val="20"/>
          <w:szCs w:val="20"/>
        </w:rPr>
      </w:pPr>
      <w:bookmarkStart w:id="2" w:name="_Hlk138757753"/>
      <w:proofErr w:type="spellStart"/>
      <w:r w:rsidRPr="00040C60">
        <w:rPr>
          <w:b/>
          <w:bCs/>
          <w:sz w:val="20"/>
          <w:szCs w:val="20"/>
        </w:rPr>
        <w:t>Tekies</w:t>
      </w:r>
      <w:proofErr w:type="spellEnd"/>
      <w:r w:rsidRPr="00040C60">
        <w:rPr>
          <w:b/>
          <w:bCs/>
          <w:sz w:val="20"/>
          <w:szCs w:val="20"/>
        </w:rPr>
        <w:t xml:space="preserve"> s.r.o.</w:t>
      </w:r>
      <w:bookmarkEnd w:id="2"/>
    </w:p>
    <w:p w14:paraId="44A6C130" w14:textId="16B7C0EE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 w:rsidR="009335DC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 xml:space="preserve">U </w:t>
      </w:r>
      <w:proofErr w:type="spellStart"/>
      <w:r w:rsidRPr="00022068">
        <w:rPr>
          <w:sz w:val="20"/>
          <w:szCs w:val="20"/>
        </w:rPr>
        <w:t>Nikolajky</w:t>
      </w:r>
      <w:proofErr w:type="spellEnd"/>
      <w:r w:rsidRPr="00022068">
        <w:rPr>
          <w:sz w:val="20"/>
          <w:szCs w:val="20"/>
        </w:rPr>
        <w:t xml:space="preserve"> 1097/3, 150 00</w:t>
      </w:r>
      <w:r w:rsidRPr="00040C60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>Praha 5 - Smíchov</w:t>
      </w:r>
    </w:p>
    <w:p w14:paraId="4C4E1804" w14:textId="227123A2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 w:rsidR="009335DC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07241127</w:t>
      </w:r>
    </w:p>
    <w:p w14:paraId="6AFC3987" w14:textId="6970C807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 w:rsidR="009335DC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CZ07241127</w:t>
      </w:r>
    </w:p>
    <w:p w14:paraId="6937D558" w14:textId="44CF0E56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bankovní spojení: </w:t>
      </w:r>
      <w:r w:rsidR="009335DC" w:rsidRPr="009335DC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E0080FD" w14:textId="4FDF67FD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č. účtu:</w:t>
      </w:r>
      <w:r w:rsidR="009335DC">
        <w:rPr>
          <w:sz w:val="20"/>
          <w:szCs w:val="20"/>
        </w:rPr>
        <w:t xml:space="preserve"> </w:t>
      </w:r>
      <w:r w:rsidR="009335DC" w:rsidRPr="009335DC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4613298" w14:textId="7E2078C0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 w:rsidR="00337445">
        <w:rPr>
          <w:sz w:val="20"/>
          <w:szCs w:val="20"/>
        </w:rPr>
        <w:t xml:space="preserve"> Ing. </w:t>
      </w:r>
      <w:r>
        <w:rPr>
          <w:sz w:val="20"/>
          <w:szCs w:val="20"/>
        </w:rPr>
        <w:t>Pavl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 xml:space="preserve"> Wimmer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>, jednatel</w:t>
      </w:r>
      <w:r w:rsidR="002A1368">
        <w:rPr>
          <w:sz w:val="20"/>
          <w:szCs w:val="20"/>
        </w:rPr>
        <w:t>em společnosti</w:t>
      </w:r>
    </w:p>
    <w:p w14:paraId="6FDEAC09" w14:textId="77777777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zapsaný v 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297415</w:t>
      </w:r>
    </w:p>
    <w:p w14:paraId="4C7AC5A9" w14:textId="77777777" w:rsidR="00040C60" w:rsidRPr="00040C60" w:rsidRDefault="00040C60" w:rsidP="00B43013">
      <w:pPr>
        <w:pStyle w:val="Default"/>
        <w:spacing w:before="12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a</w:t>
      </w:r>
    </w:p>
    <w:p w14:paraId="1CFDCFEB" w14:textId="6AC009A4" w:rsidR="00040C60" w:rsidRPr="00040C60" w:rsidRDefault="00040C60" w:rsidP="00B43013">
      <w:pPr>
        <w:pStyle w:val="Default"/>
        <w:spacing w:before="120" w:line="280" w:lineRule="atLeast"/>
        <w:rPr>
          <w:b/>
          <w:bCs/>
          <w:sz w:val="20"/>
          <w:szCs w:val="20"/>
        </w:rPr>
      </w:pPr>
      <w:bookmarkStart w:id="3" w:name="_Hlk138757758"/>
      <w:proofErr w:type="spellStart"/>
      <w:r w:rsidRPr="00040C60">
        <w:rPr>
          <w:b/>
          <w:bCs/>
          <w:sz w:val="20"/>
          <w:szCs w:val="20"/>
        </w:rPr>
        <w:t>Financial</w:t>
      </w:r>
      <w:proofErr w:type="spellEnd"/>
      <w:r w:rsidRPr="00040C60">
        <w:rPr>
          <w:b/>
          <w:bCs/>
          <w:sz w:val="20"/>
          <w:szCs w:val="20"/>
        </w:rPr>
        <w:t xml:space="preserve"> Systems s.r.o.</w:t>
      </w:r>
      <w:bookmarkEnd w:id="3"/>
    </w:p>
    <w:p w14:paraId="501E36F2" w14:textId="09B242C2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 w:rsidR="009335DC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Krakovská 1392/7, 110 00 Praha 1 – Nové Město</w:t>
      </w:r>
    </w:p>
    <w:p w14:paraId="322ED42E" w14:textId="48A538F0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 w:rsidR="009335DC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62913883</w:t>
      </w:r>
    </w:p>
    <w:p w14:paraId="498EC2A0" w14:textId="05863BD6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 w:rsidR="009335DC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CZ62913883</w:t>
      </w:r>
    </w:p>
    <w:p w14:paraId="04CD4CC5" w14:textId="493E20B3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bankovní spojení: </w:t>
      </w:r>
      <w:r w:rsidR="009335DC" w:rsidRPr="009335DC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306D078" w14:textId="3E3F1F1D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 w:rsidR="00337445">
        <w:rPr>
          <w:sz w:val="20"/>
          <w:szCs w:val="20"/>
        </w:rPr>
        <w:t xml:space="preserve"> </w:t>
      </w:r>
      <w:r w:rsidRPr="00040C60">
        <w:rPr>
          <w:sz w:val="20"/>
          <w:szCs w:val="20"/>
        </w:rPr>
        <w:t>Ondře</w:t>
      </w:r>
      <w:r w:rsidR="002A1368">
        <w:rPr>
          <w:sz w:val="20"/>
          <w:szCs w:val="20"/>
        </w:rPr>
        <w:t>jem</w:t>
      </w:r>
      <w:r w:rsidRPr="00040C60">
        <w:rPr>
          <w:sz w:val="20"/>
          <w:szCs w:val="20"/>
        </w:rPr>
        <w:t xml:space="preserve"> Dvořák</w:t>
      </w:r>
      <w:r w:rsidR="002A1368">
        <w:rPr>
          <w:sz w:val="20"/>
          <w:szCs w:val="20"/>
        </w:rPr>
        <w:t>em</w:t>
      </w:r>
      <w:r w:rsidRPr="00040C60">
        <w:rPr>
          <w:sz w:val="20"/>
          <w:szCs w:val="20"/>
        </w:rPr>
        <w:t>, Ph.D., jednatel</w:t>
      </w:r>
      <w:r w:rsidR="002A1368">
        <w:rPr>
          <w:sz w:val="20"/>
          <w:szCs w:val="20"/>
        </w:rPr>
        <w:t>em společnosti</w:t>
      </w:r>
    </w:p>
    <w:p w14:paraId="4778808F" w14:textId="77777777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zapsaný v 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35327</w:t>
      </w:r>
    </w:p>
    <w:p w14:paraId="1D9853B6" w14:textId="1668121A" w:rsidR="00607561" w:rsidRPr="00040C60" w:rsidRDefault="00607561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40C60">
      <w:pPr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2C1C5EE" w14:textId="579AB541" w:rsidR="004C4ABF" w:rsidRDefault="009B50EF" w:rsidP="008672A4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1 o poskytování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40C60">
        <w:rPr>
          <w:rFonts w:cs="Arial"/>
          <w:szCs w:val="22"/>
          <w:lang w:eastAsia="en-US"/>
        </w:rPr>
        <w:t>28</w:t>
      </w:r>
      <w:r w:rsidRPr="00333042">
        <w:rPr>
          <w:rFonts w:cs="Arial"/>
          <w:szCs w:val="22"/>
          <w:lang w:eastAsia="en-US"/>
        </w:rPr>
        <w:t>.</w:t>
      </w:r>
      <w:r w:rsidR="00B43013">
        <w:rPr>
          <w:rFonts w:cs="Arial"/>
          <w:szCs w:val="22"/>
          <w:lang w:eastAsia="en-US"/>
        </w:rPr>
        <w:t> </w:t>
      </w:r>
      <w:r w:rsidR="00040C60">
        <w:rPr>
          <w:rFonts w:cs="Arial"/>
          <w:szCs w:val="22"/>
          <w:lang w:eastAsia="en-US"/>
        </w:rPr>
        <w:t>11</w:t>
      </w:r>
      <w:r w:rsidRPr="00333042">
        <w:rPr>
          <w:rFonts w:cs="Arial"/>
          <w:szCs w:val="22"/>
          <w:lang w:eastAsia="en-US"/>
        </w:rPr>
        <w:t>. 2023 v souladu s ustanovením § 1746 odst. 2 zákona č. 89/2012 Sb., občanský zákoník</w:t>
      </w:r>
      <w:r w:rsidR="004C4ABF">
        <w:rPr>
          <w:rFonts w:cs="Arial"/>
          <w:szCs w:val="22"/>
          <w:lang w:eastAsia="en-US"/>
        </w:rPr>
        <w:t xml:space="preserve">, </w:t>
      </w:r>
      <w:r w:rsidRPr="00333042">
        <w:rPr>
          <w:rFonts w:cs="Arial"/>
          <w:szCs w:val="22"/>
          <w:lang w:eastAsia="en-US"/>
        </w:rPr>
        <w:t>ve</w:t>
      </w:r>
      <w:r w:rsidR="00F16110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</w:t>
      </w:r>
      <w:r w:rsidR="004C4ABF">
        <w:rPr>
          <w:rFonts w:cs="Arial"/>
          <w:szCs w:val="22"/>
          <w:lang w:eastAsia="en-US"/>
        </w:rPr>
        <w:t xml:space="preserve"> </w:t>
      </w:r>
      <w:r w:rsidR="004C4ABF" w:rsidRPr="00333042">
        <w:rPr>
          <w:rFonts w:cs="Arial"/>
          <w:szCs w:val="22"/>
          <w:lang w:eastAsia="en-US"/>
        </w:rPr>
        <w:t>(dále jen „</w:t>
      </w:r>
      <w:r w:rsidR="004C4ABF" w:rsidRPr="00333042">
        <w:rPr>
          <w:rFonts w:cs="Arial"/>
          <w:b/>
          <w:szCs w:val="22"/>
          <w:lang w:eastAsia="en-US"/>
        </w:rPr>
        <w:t>občanský zákoník</w:t>
      </w:r>
      <w:r w:rsidR="004C4ABF" w:rsidRPr="004C4ABF">
        <w:rPr>
          <w:rFonts w:cs="Arial"/>
          <w:bCs/>
          <w:szCs w:val="22"/>
          <w:lang w:eastAsia="en-US"/>
        </w:rPr>
        <w:t>“)</w:t>
      </w:r>
      <w:r w:rsidRPr="004C4ABF">
        <w:rPr>
          <w:rFonts w:cs="Arial"/>
          <w:bCs/>
          <w:szCs w:val="22"/>
          <w:lang w:eastAsia="en-US"/>
        </w:rPr>
        <w:t xml:space="preserve"> </w:t>
      </w:r>
    </w:p>
    <w:p w14:paraId="76D7A1EB" w14:textId="46591685" w:rsidR="009B50EF" w:rsidRDefault="009B50EF" w:rsidP="008672A4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>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č.1</w:t>
      </w:r>
      <w:r w:rsidRPr="00333042">
        <w:rPr>
          <w:rFonts w:cs="Arial"/>
          <w:szCs w:val="22"/>
          <w:lang w:eastAsia="en-US"/>
        </w:rPr>
        <w:t>“)</w:t>
      </w:r>
    </w:p>
    <w:p w14:paraId="64C9F84E" w14:textId="77777777" w:rsidR="008672A4" w:rsidRPr="00333042" w:rsidRDefault="008672A4" w:rsidP="008672A4">
      <w:pPr>
        <w:spacing w:after="0" w:line="280" w:lineRule="atLeast"/>
        <w:jc w:val="center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33022B5D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40C60">
        <w:rPr>
          <w:rFonts w:cs="Arial"/>
          <w:szCs w:val="22"/>
          <w:lang w:val="cs-CZ" w:eastAsia="en-US"/>
        </w:rPr>
        <w:t>28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val="cs-CZ" w:eastAsia="en-US"/>
        </w:rPr>
        <w:t>11</w:t>
      </w:r>
      <w:r w:rsidR="004B71D4" w:rsidRPr="00333042">
        <w:rPr>
          <w:rFonts w:cs="Arial"/>
          <w:szCs w:val="22"/>
          <w:lang w:eastAsia="en-US"/>
        </w:rPr>
        <w:t xml:space="preserve">. 2023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1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1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FF776F">
        <w:rPr>
          <w:rFonts w:cs="Arial"/>
          <w:szCs w:val="22"/>
          <w:lang w:val="cs-CZ" w:eastAsia="en-US"/>
        </w:rPr>
        <w:t>Minitendru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FF776F" w:rsidRPr="00F9198F">
        <w:rPr>
          <w:i/>
          <w:iCs/>
        </w:rPr>
        <w:t>Poskytování implementačních služeb k</w:t>
      </w:r>
      <w:r w:rsidR="00501E99">
        <w:rPr>
          <w:i/>
          <w:iCs/>
          <w:lang w:val="cs-CZ"/>
        </w:rPr>
        <w:t> </w:t>
      </w:r>
      <w:r w:rsidR="00FF776F" w:rsidRPr="00F9198F">
        <w:rPr>
          <w:i/>
          <w:iCs/>
        </w:rPr>
        <w:t>Jednotné Frontě (M-01)</w:t>
      </w:r>
      <w:r w:rsidR="00FF776F">
        <w:rPr>
          <w:i/>
          <w:iCs/>
          <w:lang w:val="cs-CZ"/>
        </w:rPr>
        <w:t>“</w:t>
      </w:r>
      <w:r w:rsidR="00A76B56">
        <w:rPr>
          <w:rFonts w:cs="Arial"/>
          <w:szCs w:val="22"/>
          <w:lang w:val="cs-CZ" w:eastAsia="en-US"/>
        </w:rPr>
        <w:t xml:space="preserve">.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1 </w:t>
      </w:r>
      <w:r w:rsidR="00A76B56" w:rsidRPr="00407C33">
        <w:rPr>
          <w:rFonts w:cs="Arial"/>
          <w:szCs w:val="20"/>
        </w:rPr>
        <w:t xml:space="preserve">zavazuje poskytnout plnění </w:t>
      </w:r>
      <w:r w:rsidR="00A76B56">
        <w:rPr>
          <w:rFonts w:cs="Arial"/>
          <w:szCs w:val="20"/>
        </w:rPr>
        <w:t xml:space="preserve">spočívající v zajištění </w:t>
      </w:r>
      <w:r w:rsidR="00A76B56" w:rsidRPr="00511241">
        <w:rPr>
          <w:rFonts w:cs="Arial"/>
          <w:szCs w:val="20"/>
        </w:rPr>
        <w:t>kapacit IT odborníků pro realizaci implementačních služeb spočívajících ve</w:t>
      </w:r>
      <w:r w:rsidR="00501E99">
        <w:rPr>
          <w:rFonts w:cs="Arial"/>
          <w:szCs w:val="20"/>
          <w:lang w:val="cs-CZ"/>
        </w:rPr>
        <w:t> </w:t>
      </w:r>
      <w:r w:rsidR="00A76B56" w:rsidRPr="00511241">
        <w:rPr>
          <w:rFonts w:cs="Arial"/>
          <w:szCs w:val="20"/>
        </w:rPr>
        <w:t>vývoji procesních systémů pro Ú</w:t>
      </w:r>
      <w:r w:rsidR="00A76B56">
        <w:rPr>
          <w:rFonts w:cs="Arial"/>
          <w:szCs w:val="20"/>
        </w:rPr>
        <w:t>řady práce</w:t>
      </w:r>
      <w:r w:rsidR="00A76B56" w:rsidRPr="00511241">
        <w:rPr>
          <w:rFonts w:cs="Arial"/>
          <w:szCs w:val="20"/>
        </w:rPr>
        <w:t xml:space="preserve"> </w:t>
      </w:r>
      <w:r w:rsidR="00FF776F">
        <w:rPr>
          <w:lang w:val="cs-CZ"/>
        </w:rPr>
        <w:t>(dále jen „</w:t>
      </w:r>
      <w:r w:rsidR="00FF776F" w:rsidRPr="00F9198F">
        <w:rPr>
          <w:b/>
          <w:bCs/>
          <w:lang w:val="cs-CZ"/>
        </w:rPr>
        <w:t>ÚP</w:t>
      </w:r>
      <w:r w:rsidR="00FF776F">
        <w:rPr>
          <w:lang w:val="cs-CZ"/>
        </w:rPr>
        <w:t xml:space="preserve">“) </w:t>
      </w:r>
      <w:r w:rsidR="00A76B56" w:rsidRPr="00511241">
        <w:rPr>
          <w:rFonts w:cs="Arial"/>
          <w:szCs w:val="20"/>
        </w:rPr>
        <w:t xml:space="preserve">a jednotného rozhraní pro přidělování úkolů tzv. Jednotná </w:t>
      </w:r>
      <w:r w:rsidR="00A76B56">
        <w:rPr>
          <w:rFonts w:cs="Arial"/>
          <w:szCs w:val="20"/>
        </w:rPr>
        <w:t>Fronta</w:t>
      </w:r>
      <w:r w:rsidR="00A76B56" w:rsidRPr="00511241">
        <w:rPr>
          <w:rFonts w:cs="Arial"/>
          <w:szCs w:val="20"/>
        </w:rPr>
        <w:t>.</w:t>
      </w:r>
    </w:p>
    <w:p w14:paraId="1C00EE22" w14:textId="15576DA4" w:rsidR="00F9198F" w:rsidRPr="00F9198F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>č. 1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>Rámcovou dohodu o implementačních službách uzavřenou dne 13.</w:t>
      </w:r>
      <w:r w:rsidR="004C4ABF"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 w:rsidR="004C4ABF"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Pr="00F9198F">
        <w:rPr>
          <w:i/>
          <w:iCs/>
          <w:szCs w:val="22"/>
          <w:lang w:eastAsia="en-US"/>
        </w:rPr>
        <w:t xml:space="preserve">IT </w:t>
      </w:r>
      <w:proofErr w:type="spellStart"/>
      <w:r w:rsidRPr="00F9198F">
        <w:rPr>
          <w:i/>
          <w:iCs/>
          <w:szCs w:val="22"/>
          <w:lang w:eastAsia="en-US"/>
        </w:rPr>
        <w:t>delivery</w:t>
      </w:r>
      <w:proofErr w:type="spellEnd"/>
      <w:r w:rsidRPr="00F9198F">
        <w:rPr>
          <w:i/>
          <w:iCs/>
          <w:szCs w:val="22"/>
          <w:lang w:eastAsia="en-US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Rámcové dohody, a to za podmínek stanovených v Dílčí smlouvě </w:t>
      </w:r>
      <w:r w:rsidR="009C032B">
        <w:rPr>
          <w:rFonts w:cs="Arial"/>
          <w:szCs w:val="20"/>
          <w:lang w:val="cs-CZ"/>
        </w:rPr>
        <w:t xml:space="preserve">č. 1 </w:t>
      </w:r>
      <w:r w:rsidRPr="00F9198F">
        <w:rPr>
          <w:rFonts w:cs="Arial"/>
          <w:szCs w:val="20"/>
        </w:rPr>
        <w:t>a v Rámcové dohodě.</w:t>
      </w:r>
      <w:r w:rsidRPr="00F9198F">
        <w:rPr>
          <w:rFonts w:cs="Arial"/>
          <w:szCs w:val="20"/>
          <w:lang w:val="cs-CZ"/>
        </w:rPr>
        <w:t xml:space="preserve"> </w:t>
      </w:r>
      <w:r w:rsidRPr="00F9198F">
        <w:rPr>
          <w:rFonts w:cs="Arial"/>
          <w:szCs w:val="20"/>
        </w:rPr>
        <w:t xml:space="preserve"> </w:t>
      </w:r>
    </w:p>
    <w:p w14:paraId="66330B7D" w14:textId="6EA02339" w:rsidR="002C4E88" w:rsidRPr="00362975" w:rsidRDefault="008F66B9" w:rsidP="00597F1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62975">
        <w:rPr>
          <w:rFonts w:cs="Arial"/>
          <w:szCs w:val="22"/>
          <w:lang w:eastAsia="en-US"/>
        </w:rPr>
        <w:t xml:space="preserve">Důvodem uzavření tohoto Dodatku </w:t>
      </w:r>
      <w:r w:rsidR="00F9198F" w:rsidRPr="00362975">
        <w:rPr>
          <w:rFonts w:cs="Arial"/>
          <w:szCs w:val="22"/>
          <w:lang w:val="cs-CZ" w:eastAsia="en-US"/>
        </w:rPr>
        <w:t xml:space="preserve">č. 1 je </w:t>
      </w:r>
      <w:r w:rsidRPr="00362975">
        <w:rPr>
          <w:rFonts w:cs="Arial"/>
          <w:szCs w:val="22"/>
          <w:lang w:eastAsia="en-US"/>
        </w:rPr>
        <w:t xml:space="preserve">potřeba </w:t>
      </w:r>
      <w:r w:rsidR="002C4E88" w:rsidRPr="00362975">
        <w:rPr>
          <w:rFonts w:cs="Arial"/>
          <w:szCs w:val="22"/>
          <w:lang w:val="cs-CZ" w:eastAsia="en-US"/>
        </w:rPr>
        <w:t>dodatečn</w:t>
      </w:r>
      <w:r w:rsidR="003971CB" w:rsidRPr="00362975">
        <w:rPr>
          <w:rFonts w:cs="Arial"/>
          <w:szCs w:val="22"/>
          <w:lang w:val="cs-CZ" w:eastAsia="en-US"/>
        </w:rPr>
        <w:t xml:space="preserve">ého navýšení rozsahu služeb, </w:t>
      </w:r>
      <w:r w:rsidR="00C61DD5" w:rsidRPr="00362975">
        <w:rPr>
          <w:rFonts w:cs="Arial"/>
          <w:szCs w:val="22"/>
          <w:lang w:val="cs-CZ" w:eastAsia="en-US"/>
        </w:rPr>
        <w:t xml:space="preserve">které nebyly zahrnuty v původním závazku z Dílčí smlouvy č. 1, avšak jsou nezbytné, přičemž změna v osobě dodavatele není </w:t>
      </w:r>
      <w:r w:rsidR="00441651" w:rsidRPr="00362975">
        <w:rPr>
          <w:rFonts w:cs="Arial"/>
          <w:szCs w:val="22"/>
          <w:lang w:val="cs-CZ" w:eastAsia="en-US"/>
        </w:rPr>
        <w:t xml:space="preserve">zejména </w:t>
      </w:r>
      <w:r w:rsidR="00C61DD5" w:rsidRPr="00362975">
        <w:rPr>
          <w:rFonts w:cs="Arial"/>
          <w:szCs w:val="22"/>
          <w:lang w:val="cs-CZ" w:eastAsia="en-US"/>
        </w:rPr>
        <w:t xml:space="preserve">z technických důvodů možná. </w:t>
      </w:r>
    </w:p>
    <w:p w14:paraId="1CE7ADA0" w14:textId="014EE367" w:rsidR="00825838" w:rsidRPr="00362975" w:rsidRDefault="00825838" w:rsidP="00C61DD5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362975">
        <w:t>V rámci definice nového obslužného modelu klientů na pobočkách ÚP a nutnosti zapojit pracovníky ÚP do zpracování úkolů původně určených pro specializované pracoviště ÚP</w:t>
      </w:r>
      <w:r w:rsidR="00362975" w:rsidRPr="00362975">
        <w:rPr>
          <w:lang w:val="cs-CZ"/>
        </w:rPr>
        <w:t xml:space="preserve"> </w:t>
      </w:r>
      <w:r w:rsidRPr="00362975">
        <w:t xml:space="preserve">bylo </w:t>
      </w:r>
      <w:r w:rsidR="004C4ABF" w:rsidRPr="00362975">
        <w:rPr>
          <w:lang w:val="cs-CZ"/>
        </w:rPr>
        <w:t>po uzavření Dílčí smlouvy č. 1</w:t>
      </w:r>
      <w:r w:rsidR="004C4ABF" w:rsidRPr="00362975">
        <w:t xml:space="preserve"> </w:t>
      </w:r>
      <w:r w:rsidRPr="00362975">
        <w:t>rozhodnuto o nasazení aplikace Jednotná Fronta (</w:t>
      </w:r>
      <w:r w:rsidR="00921BB0">
        <w:rPr>
          <w:lang w:val="cs-CZ"/>
        </w:rPr>
        <w:t>dále jen „</w:t>
      </w:r>
      <w:proofErr w:type="spellStart"/>
      <w:r w:rsidRPr="00921BB0">
        <w:rPr>
          <w:b/>
          <w:bCs/>
        </w:rPr>
        <w:t>JeF</w:t>
      </w:r>
      <w:proofErr w:type="spellEnd"/>
      <w:r w:rsidR="00921BB0">
        <w:rPr>
          <w:lang w:val="cs-CZ"/>
        </w:rPr>
        <w:t>“</w:t>
      </w:r>
      <w:r w:rsidRPr="00362975">
        <w:t>) také na jednotlivé pobočky ÚP.</w:t>
      </w:r>
      <w:r w:rsidR="00E12D06">
        <w:rPr>
          <w:lang w:val="cs-CZ"/>
        </w:rPr>
        <w:t xml:space="preserve"> Toto nasazení a s tím související úpravy</w:t>
      </w:r>
      <w:r w:rsidR="00561F6A">
        <w:rPr>
          <w:lang w:val="cs-CZ"/>
        </w:rPr>
        <w:t xml:space="preserve"> aplikace </w:t>
      </w:r>
      <w:proofErr w:type="spellStart"/>
      <w:r w:rsidR="00561F6A">
        <w:rPr>
          <w:lang w:val="cs-CZ"/>
        </w:rPr>
        <w:t>JeF</w:t>
      </w:r>
      <w:proofErr w:type="spellEnd"/>
      <w:r w:rsidR="00E12D06">
        <w:rPr>
          <w:lang w:val="cs-CZ"/>
        </w:rPr>
        <w:t xml:space="preserve"> jsou součástí investičního záměru č. </w:t>
      </w:r>
      <w:r w:rsidR="00E12D06" w:rsidRPr="00E12D06">
        <w:rPr>
          <w:lang w:val="cs-CZ"/>
        </w:rPr>
        <w:t>013V110009337</w:t>
      </w:r>
      <w:r w:rsidR="00E12D06">
        <w:rPr>
          <w:lang w:val="cs-CZ"/>
        </w:rPr>
        <w:t>.</w:t>
      </w:r>
      <w:r w:rsidRPr="00362975">
        <w:t xml:space="preserve"> </w:t>
      </w:r>
      <w:r w:rsidR="004C4ABF">
        <w:rPr>
          <w:lang w:val="cs-CZ"/>
        </w:rPr>
        <w:t>Změna</w:t>
      </w:r>
      <w:r w:rsidR="004C4ABF" w:rsidRPr="00362975">
        <w:t xml:space="preserve"> </w:t>
      </w:r>
      <w:r w:rsidRPr="00362975">
        <w:t xml:space="preserve">koncepce </w:t>
      </w:r>
      <w:r w:rsidR="004C4ABF">
        <w:rPr>
          <w:lang w:val="cs-CZ"/>
        </w:rPr>
        <w:t>řešení sjednaného Dílčí smlouvou č. 1 má za následek</w:t>
      </w:r>
      <w:r w:rsidRPr="00362975">
        <w:t xml:space="preserve"> navýšení pracnosti </w:t>
      </w:r>
      <w:r w:rsidR="00362975" w:rsidRPr="00362975">
        <w:rPr>
          <w:lang w:val="cs-CZ"/>
        </w:rPr>
        <w:t>na straně realizačního</w:t>
      </w:r>
      <w:r w:rsidRPr="00362975">
        <w:t xml:space="preserve"> tým</w:t>
      </w:r>
      <w:r w:rsidR="00362975" w:rsidRPr="00362975">
        <w:rPr>
          <w:lang w:val="cs-CZ"/>
        </w:rPr>
        <w:t>u</w:t>
      </w:r>
      <w:r w:rsidRPr="00362975">
        <w:t xml:space="preserve"> </w:t>
      </w:r>
      <w:r w:rsidR="004C4ABF">
        <w:rPr>
          <w:lang w:val="cs-CZ"/>
        </w:rPr>
        <w:t>Poskytovatele</w:t>
      </w:r>
      <w:r w:rsidRPr="00362975">
        <w:t xml:space="preserve">. </w:t>
      </w:r>
      <w:r w:rsidR="00362975" w:rsidRPr="00362975">
        <w:rPr>
          <w:lang w:val="cs-CZ"/>
        </w:rPr>
        <w:t xml:space="preserve">V době zadávání </w:t>
      </w:r>
      <w:proofErr w:type="spellStart"/>
      <w:r w:rsidR="00362975" w:rsidRPr="00362975">
        <w:rPr>
          <w:lang w:val="cs-CZ"/>
        </w:rPr>
        <w:t>minitendru</w:t>
      </w:r>
      <w:proofErr w:type="spellEnd"/>
      <w:r w:rsidR="00362975" w:rsidRPr="00362975">
        <w:rPr>
          <w:lang w:val="cs-CZ"/>
        </w:rPr>
        <w:t xml:space="preserve"> na uzavření</w:t>
      </w:r>
      <w:r w:rsidRPr="00362975">
        <w:t xml:space="preserve"> Dílčí smlouvy č. 1 </w:t>
      </w:r>
      <w:r w:rsidR="00362975" w:rsidRPr="00362975">
        <w:rPr>
          <w:lang w:val="cs-CZ"/>
        </w:rPr>
        <w:t>nebyla výše uvedená pracnost reflektována, jelikož nebyla Smluvním stranám předmětná potřeba známa. Vzhledem ke skutečnosti, že Dílčí smlouvou č. 1 sjednaný rozsah prací realizačního týmu Poskytovatele není dostatečný pro zajištění potřeb Objednatele, Smluvní strany sjednávají tímto Dodatkem č. 1 dodatečné</w:t>
      </w:r>
      <w:r w:rsidRPr="00362975">
        <w:t xml:space="preserve"> navýšení rozsahu služeb</w:t>
      </w:r>
      <w:r w:rsidR="00362975" w:rsidRPr="00362975">
        <w:rPr>
          <w:lang w:val="cs-CZ"/>
        </w:rPr>
        <w:t>, které</w:t>
      </w:r>
      <w:r w:rsidRPr="00362975">
        <w:t xml:space="preserve"> spočívá zejména v</w:t>
      </w:r>
      <w:r w:rsidR="00362975" w:rsidRPr="00362975">
        <w:rPr>
          <w:lang w:val="cs-CZ"/>
        </w:rPr>
        <w:t>:</w:t>
      </w:r>
      <w:r w:rsidRPr="00362975">
        <w:t xml:space="preserve"> </w:t>
      </w:r>
    </w:p>
    <w:p w14:paraId="5D4556E2" w14:textId="042E3566" w:rsidR="00362975" w:rsidRDefault="00362975" w:rsidP="00A06308">
      <w:pPr>
        <w:pStyle w:val="Normlnweb"/>
        <w:numPr>
          <w:ilvl w:val="2"/>
          <w:numId w:val="19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technické analýze nasazení aplikace </w:t>
      </w:r>
      <w:proofErr w:type="spellStart"/>
      <w:r>
        <w:rPr>
          <w:rFonts w:ascii="Arial" w:hAnsi="Arial" w:cs="Arial"/>
          <w:sz w:val="20"/>
          <w:szCs w:val="20"/>
        </w:rPr>
        <w:t>JeF</w:t>
      </w:r>
      <w:proofErr w:type="spellEnd"/>
      <w:r>
        <w:rPr>
          <w:rFonts w:ascii="Arial" w:hAnsi="Arial" w:cs="Arial"/>
          <w:sz w:val="20"/>
          <w:szCs w:val="20"/>
        </w:rPr>
        <w:t xml:space="preserve"> na pobočky ÚP a implementaci z toho plynoucích změn;</w:t>
      </w:r>
    </w:p>
    <w:p w14:paraId="0C5E791B" w14:textId="111D8864" w:rsidR="00362975" w:rsidRDefault="00362975" w:rsidP="00A06308">
      <w:pPr>
        <w:pStyle w:val="Normlnweb"/>
        <w:numPr>
          <w:ilvl w:val="2"/>
          <w:numId w:val="19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přípravě a implementaci systému, ve kterém vznikají úkoly </w:t>
      </w:r>
      <w:r w:rsidR="00921BB0">
        <w:rPr>
          <w:rFonts w:ascii="Arial" w:hAnsi="Arial" w:cs="Arial"/>
          <w:sz w:val="20"/>
          <w:szCs w:val="20"/>
        </w:rPr>
        <w:t xml:space="preserve">obsluhy klientů, které jsou následně zařazovány do </w:t>
      </w:r>
      <w:proofErr w:type="spellStart"/>
      <w:r w:rsidR="00921BB0">
        <w:rPr>
          <w:rFonts w:ascii="Arial" w:hAnsi="Arial" w:cs="Arial"/>
          <w:sz w:val="20"/>
          <w:szCs w:val="20"/>
        </w:rPr>
        <w:t>JeF</w:t>
      </w:r>
      <w:proofErr w:type="spellEnd"/>
      <w:r w:rsidR="00921BB0">
        <w:rPr>
          <w:rFonts w:ascii="Arial" w:hAnsi="Arial" w:cs="Arial"/>
          <w:sz w:val="20"/>
          <w:szCs w:val="20"/>
        </w:rPr>
        <w:t>;</w:t>
      </w:r>
    </w:p>
    <w:p w14:paraId="44E335FC" w14:textId="71815CA3" w:rsidR="00921BB0" w:rsidRDefault="00921BB0" w:rsidP="00A06308">
      <w:pPr>
        <w:pStyle w:val="Normlnweb"/>
        <w:numPr>
          <w:ilvl w:val="2"/>
          <w:numId w:val="19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implementaci uživatelského rozhraní, které bude dostupné na kioscích ÚP a</w:t>
      </w:r>
      <w:r w:rsidR="001805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vyvolávacích tabulích;</w:t>
      </w:r>
    </w:p>
    <w:p w14:paraId="730F887F" w14:textId="37020069" w:rsidR="00921BB0" w:rsidRDefault="00921BB0" w:rsidP="00A06308">
      <w:pPr>
        <w:pStyle w:val="Normlnweb"/>
        <w:numPr>
          <w:ilvl w:val="2"/>
          <w:numId w:val="19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podpoře pilotu a </w:t>
      </w:r>
      <w:proofErr w:type="spellStart"/>
      <w:r>
        <w:rPr>
          <w:rFonts w:ascii="Arial" w:hAnsi="Arial" w:cs="Arial"/>
          <w:sz w:val="20"/>
          <w:szCs w:val="20"/>
        </w:rPr>
        <w:t>rolloutu</w:t>
      </w:r>
      <w:proofErr w:type="spellEnd"/>
      <w:r>
        <w:rPr>
          <w:rFonts w:ascii="Arial" w:hAnsi="Arial" w:cs="Arial"/>
          <w:sz w:val="20"/>
          <w:szCs w:val="20"/>
        </w:rPr>
        <w:t xml:space="preserve"> systému na pobočky ÚP;</w:t>
      </w:r>
    </w:p>
    <w:p w14:paraId="153CAFA9" w14:textId="26758156" w:rsidR="00A06308" w:rsidRPr="00921BB0" w:rsidRDefault="00921BB0" w:rsidP="00921BB0">
      <w:pPr>
        <w:pStyle w:val="Normlnweb"/>
        <w:numPr>
          <w:ilvl w:val="2"/>
          <w:numId w:val="19"/>
        </w:numPr>
        <w:spacing w:before="12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implementaci B2B GW a portálu pro automatizovanou komunikaci s třetími subjekty.</w:t>
      </w:r>
      <w:r w:rsidR="00A06308" w:rsidRPr="00921BB0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62685CDA" w14:textId="166FF15B" w:rsidR="00921BB0" w:rsidRDefault="00921BB0" w:rsidP="00921BB0">
      <w:pPr>
        <w:pStyle w:val="RLTextlnkuslovan"/>
        <w:numPr>
          <w:ilvl w:val="0"/>
          <w:numId w:val="0"/>
        </w:numPr>
        <w:spacing w:before="120" w:after="0" w:line="280" w:lineRule="atLeast"/>
        <w:ind w:left="1134"/>
        <w:rPr>
          <w:rFonts w:cs="Arial"/>
          <w:lang w:val="cs-CZ"/>
        </w:rPr>
      </w:pPr>
      <w:r>
        <w:rPr>
          <w:rFonts w:cs="Arial"/>
          <w:lang w:val="cs-CZ"/>
        </w:rPr>
        <w:t>Tyto výstupy budou ze strany Poskytovatele zajištěny následujícími kapacitami realizačního týmu:</w:t>
      </w:r>
    </w:p>
    <w:p w14:paraId="014FFAB9" w14:textId="6D865703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r w:rsidRPr="00921BB0">
        <w:rPr>
          <w:rFonts w:cs="Arial"/>
          <w:szCs w:val="20"/>
        </w:rPr>
        <w:t xml:space="preserve">IT Analytik Senior – předpokládaný rozsah je </w:t>
      </w:r>
      <w:r w:rsidR="007679C1">
        <w:rPr>
          <w:rFonts w:cs="Arial"/>
          <w:szCs w:val="20"/>
          <w:lang w:val="cs-CZ"/>
        </w:rPr>
        <w:t>17</w:t>
      </w:r>
      <w:r w:rsidRPr="00921BB0">
        <w:rPr>
          <w:rFonts w:cs="Arial"/>
          <w:szCs w:val="20"/>
          <w:lang w:val="cs-CZ"/>
        </w:rPr>
        <w:t>5</w:t>
      </w:r>
      <w:r w:rsidRPr="00921BB0">
        <w:rPr>
          <w:rFonts w:cs="Arial"/>
          <w:szCs w:val="20"/>
        </w:rPr>
        <w:t xml:space="preserve"> MD</w:t>
      </w:r>
    </w:p>
    <w:p w14:paraId="74522966" w14:textId="69DF640A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r w:rsidRPr="00921BB0">
        <w:rPr>
          <w:rFonts w:cs="Arial"/>
          <w:szCs w:val="20"/>
        </w:rPr>
        <w:t xml:space="preserve">IT Analytik Junior – předpokládaný rozsah je </w:t>
      </w:r>
      <w:r w:rsidR="007679C1">
        <w:rPr>
          <w:rFonts w:cs="Arial"/>
          <w:szCs w:val="20"/>
          <w:lang w:val="cs-CZ"/>
        </w:rPr>
        <w:t>30</w:t>
      </w:r>
      <w:r w:rsidRPr="00921BB0">
        <w:rPr>
          <w:rFonts w:cs="Arial"/>
          <w:szCs w:val="20"/>
          <w:lang w:val="cs-CZ"/>
        </w:rPr>
        <w:t>0</w:t>
      </w:r>
      <w:r w:rsidRPr="00921BB0">
        <w:rPr>
          <w:rFonts w:cs="Arial"/>
          <w:szCs w:val="20"/>
        </w:rPr>
        <w:t xml:space="preserve"> MD</w:t>
      </w:r>
    </w:p>
    <w:p w14:paraId="0F0B35FB" w14:textId="1BE1313A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r w:rsidRPr="00921BB0">
        <w:rPr>
          <w:rFonts w:cs="Arial"/>
          <w:szCs w:val="20"/>
        </w:rPr>
        <w:t xml:space="preserve">Integrační architekt Senior – předpokládaný rozsah je </w:t>
      </w:r>
      <w:r w:rsidR="007679C1">
        <w:rPr>
          <w:rFonts w:cs="Arial"/>
          <w:szCs w:val="20"/>
          <w:lang w:val="cs-CZ"/>
        </w:rPr>
        <w:t>140</w:t>
      </w:r>
      <w:r w:rsidRPr="00921BB0">
        <w:rPr>
          <w:rFonts w:cs="Arial"/>
          <w:szCs w:val="20"/>
        </w:rPr>
        <w:t xml:space="preserve"> MD</w:t>
      </w:r>
    </w:p>
    <w:p w14:paraId="3C2289DE" w14:textId="2A427CBC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proofErr w:type="spellStart"/>
      <w:r w:rsidRPr="00921BB0">
        <w:rPr>
          <w:rFonts w:cs="Arial"/>
          <w:szCs w:val="20"/>
        </w:rPr>
        <w:t>Frontend</w:t>
      </w:r>
      <w:proofErr w:type="spellEnd"/>
      <w:r w:rsidRPr="00921BB0">
        <w:rPr>
          <w:rFonts w:cs="Arial"/>
          <w:szCs w:val="20"/>
        </w:rPr>
        <w:t xml:space="preserve"> Developer Senior – předpokládaný rozsah je </w:t>
      </w:r>
      <w:r w:rsidR="007679C1">
        <w:rPr>
          <w:rFonts w:cs="Arial"/>
          <w:szCs w:val="20"/>
          <w:lang w:val="cs-CZ"/>
        </w:rPr>
        <w:t>16</w:t>
      </w:r>
      <w:r w:rsidRPr="00921BB0">
        <w:rPr>
          <w:rFonts w:cs="Arial"/>
          <w:szCs w:val="20"/>
          <w:lang w:val="cs-CZ"/>
        </w:rPr>
        <w:t>0</w:t>
      </w:r>
      <w:r w:rsidRPr="00921BB0">
        <w:rPr>
          <w:rFonts w:cs="Arial"/>
          <w:szCs w:val="20"/>
        </w:rPr>
        <w:t xml:space="preserve"> MD</w:t>
      </w:r>
    </w:p>
    <w:p w14:paraId="140FDF85" w14:textId="5F0B905F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proofErr w:type="spellStart"/>
      <w:r w:rsidRPr="00921BB0">
        <w:rPr>
          <w:rFonts w:cs="Arial"/>
          <w:szCs w:val="20"/>
        </w:rPr>
        <w:t>Frontend</w:t>
      </w:r>
      <w:proofErr w:type="spellEnd"/>
      <w:r w:rsidRPr="00921BB0">
        <w:rPr>
          <w:rFonts w:cs="Arial"/>
          <w:szCs w:val="20"/>
        </w:rPr>
        <w:t xml:space="preserve"> Developer Junior – předpokládaný rozsah je </w:t>
      </w:r>
      <w:r w:rsidR="007679C1">
        <w:rPr>
          <w:rFonts w:cs="Arial"/>
          <w:szCs w:val="20"/>
          <w:lang w:val="cs-CZ"/>
        </w:rPr>
        <w:t>12</w:t>
      </w:r>
      <w:r w:rsidRPr="00921BB0">
        <w:rPr>
          <w:rFonts w:cs="Arial"/>
          <w:szCs w:val="20"/>
          <w:lang w:val="cs-CZ"/>
        </w:rPr>
        <w:t>0</w:t>
      </w:r>
      <w:r w:rsidRPr="00921BB0">
        <w:rPr>
          <w:rFonts w:cs="Arial"/>
          <w:szCs w:val="20"/>
        </w:rPr>
        <w:t xml:space="preserve"> MD</w:t>
      </w:r>
    </w:p>
    <w:p w14:paraId="3FFEAAF0" w14:textId="43C28358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proofErr w:type="spellStart"/>
      <w:r w:rsidRPr="00921BB0">
        <w:rPr>
          <w:rFonts w:cs="Arial"/>
          <w:szCs w:val="20"/>
        </w:rPr>
        <w:t>Backend</w:t>
      </w:r>
      <w:proofErr w:type="spellEnd"/>
      <w:r w:rsidRPr="00921BB0">
        <w:rPr>
          <w:rFonts w:cs="Arial"/>
          <w:szCs w:val="20"/>
        </w:rPr>
        <w:t xml:space="preserve"> Developer (JAVA) Senior – předpokládaný rozsah je </w:t>
      </w:r>
      <w:r w:rsidR="007679C1">
        <w:rPr>
          <w:rFonts w:cs="Arial"/>
          <w:szCs w:val="20"/>
          <w:lang w:val="cs-CZ"/>
        </w:rPr>
        <w:t>16</w:t>
      </w:r>
      <w:r w:rsidRPr="00921BB0">
        <w:rPr>
          <w:rFonts w:cs="Arial"/>
          <w:szCs w:val="20"/>
          <w:lang w:val="cs-CZ"/>
        </w:rPr>
        <w:t>0</w:t>
      </w:r>
      <w:r w:rsidRPr="00921BB0">
        <w:rPr>
          <w:rFonts w:cs="Arial"/>
          <w:szCs w:val="20"/>
        </w:rPr>
        <w:t xml:space="preserve"> MD</w:t>
      </w:r>
    </w:p>
    <w:p w14:paraId="27F086D1" w14:textId="33ABEFD6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proofErr w:type="spellStart"/>
      <w:r w:rsidRPr="00921BB0">
        <w:rPr>
          <w:rFonts w:cs="Arial"/>
          <w:szCs w:val="20"/>
        </w:rPr>
        <w:t>Backend</w:t>
      </w:r>
      <w:proofErr w:type="spellEnd"/>
      <w:r w:rsidRPr="00921BB0">
        <w:rPr>
          <w:rFonts w:cs="Arial"/>
          <w:szCs w:val="20"/>
        </w:rPr>
        <w:t xml:space="preserve"> Developer (JAVA) Junior – předpokládaný rozsah je </w:t>
      </w:r>
      <w:r w:rsidR="007679C1">
        <w:rPr>
          <w:rFonts w:cs="Arial"/>
          <w:szCs w:val="20"/>
          <w:lang w:val="cs-CZ"/>
        </w:rPr>
        <w:t>22</w:t>
      </w:r>
      <w:r w:rsidRPr="00921BB0">
        <w:rPr>
          <w:rFonts w:cs="Arial"/>
          <w:szCs w:val="20"/>
          <w:lang w:val="cs-CZ"/>
        </w:rPr>
        <w:t>0</w:t>
      </w:r>
      <w:r w:rsidRPr="00921BB0">
        <w:rPr>
          <w:rFonts w:cs="Arial"/>
          <w:szCs w:val="20"/>
        </w:rPr>
        <w:t xml:space="preserve"> MD</w:t>
      </w:r>
    </w:p>
    <w:p w14:paraId="5170BA4B" w14:textId="44FD026F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proofErr w:type="spellStart"/>
      <w:r w:rsidRPr="00921BB0">
        <w:rPr>
          <w:rFonts w:cs="Arial"/>
          <w:szCs w:val="20"/>
        </w:rPr>
        <w:t>Backend</w:t>
      </w:r>
      <w:proofErr w:type="spellEnd"/>
      <w:r w:rsidRPr="00921BB0">
        <w:rPr>
          <w:rFonts w:cs="Arial"/>
          <w:szCs w:val="20"/>
        </w:rPr>
        <w:t xml:space="preserve"> Developer (.Net) Senior – předpokládaný rozsah je </w:t>
      </w:r>
      <w:r w:rsidR="007679C1">
        <w:rPr>
          <w:rFonts w:cs="Arial"/>
          <w:szCs w:val="20"/>
          <w:lang w:val="cs-CZ"/>
        </w:rPr>
        <w:t>160</w:t>
      </w:r>
      <w:r w:rsidRPr="00921BB0">
        <w:rPr>
          <w:rFonts w:cs="Arial"/>
          <w:szCs w:val="20"/>
        </w:rPr>
        <w:t xml:space="preserve"> MD</w:t>
      </w:r>
    </w:p>
    <w:p w14:paraId="79EB81AF" w14:textId="03EF2DA7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r w:rsidRPr="00921BB0">
        <w:rPr>
          <w:rFonts w:cs="Arial"/>
          <w:szCs w:val="20"/>
        </w:rPr>
        <w:t xml:space="preserve">Databázový Developer Senior I. – předpokládaný rozsah je </w:t>
      </w:r>
      <w:r w:rsidR="007679C1">
        <w:rPr>
          <w:rFonts w:cs="Arial"/>
          <w:szCs w:val="20"/>
          <w:lang w:val="cs-CZ"/>
        </w:rPr>
        <w:t>5</w:t>
      </w:r>
      <w:r w:rsidRPr="00921BB0">
        <w:rPr>
          <w:rFonts w:cs="Arial"/>
          <w:szCs w:val="20"/>
          <w:lang w:val="cs-CZ"/>
        </w:rPr>
        <w:t>4</w:t>
      </w:r>
      <w:r w:rsidRPr="00921BB0">
        <w:rPr>
          <w:rFonts w:cs="Arial"/>
          <w:szCs w:val="20"/>
        </w:rPr>
        <w:t xml:space="preserve"> MD</w:t>
      </w:r>
    </w:p>
    <w:p w14:paraId="55B62A3D" w14:textId="1A70E1E1" w:rsidR="00921BB0" w:rsidRPr="00921BB0" w:rsidRDefault="00921BB0" w:rsidP="00921BB0">
      <w:pPr>
        <w:pStyle w:val="RLTextlnkuslovan"/>
        <w:numPr>
          <w:ilvl w:val="1"/>
          <w:numId w:val="22"/>
        </w:numPr>
        <w:spacing w:after="0" w:line="280" w:lineRule="atLeast"/>
        <w:ind w:left="1701" w:hanging="283"/>
        <w:rPr>
          <w:rFonts w:cs="Arial"/>
          <w:szCs w:val="20"/>
        </w:rPr>
      </w:pPr>
      <w:r w:rsidRPr="00921BB0">
        <w:rPr>
          <w:rFonts w:cs="Arial"/>
          <w:szCs w:val="20"/>
        </w:rPr>
        <w:lastRenderedPageBreak/>
        <w:t xml:space="preserve">Projektový manažer – předpokládaný rozsah je </w:t>
      </w:r>
      <w:r w:rsidR="007679C1">
        <w:rPr>
          <w:rFonts w:cs="Arial"/>
          <w:szCs w:val="20"/>
          <w:lang w:val="cs-CZ"/>
        </w:rPr>
        <w:t>15</w:t>
      </w:r>
      <w:r w:rsidRPr="00921BB0">
        <w:rPr>
          <w:rFonts w:cs="Arial"/>
          <w:szCs w:val="20"/>
          <w:lang w:val="cs-CZ"/>
        </w:rPr>
        <w:t>5</w:t>
      </w:r>
      <w:r w:rsidRPr="00921BB0">
        <w:rPr>
          <w:rFonts w:cs="Arial"/>
          <w:szCs w:val="20"/>
        </w:rPr>
        <w:t xml:space="preserve"> MD.</w:t>
      </w:r>
    </w:p>
    <w:p w14:paraId="4BBF73F3" w14:textId="0162BBD5" w:rsidR="00C61DD5" w:rsidRPr="00176A84" w:rsidRDefault="00C61DD5" w:rsidP="00C61DD5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szCs w:val="22"/>
          <w:lang w:val="cs-CZ" w:eastAsia="en-US"/>
        </w:rPr>
      </w:pPr>
      <w:r w:rsidRPr="00921BB0">
        <w:rPr>
          <w:rFonts w:cs="Arial"/>
          <w:lang w:val="cs-CZ"/>
        </w:rPr>
        <w:t xml:space="preserve">Předmětné </w:t>
      </w:r>
      <w:r w:rsidR="00921BB0" w:rsidRPr="00921BB0">
        <w:rPr>
          <w:rFonts w:cs="Arial"/>
          <w:lang w:val="cs-CZ"/>
        </w:rPr>
        <w:t xml:space="preserve">dodatečné rozšíření služeb sjednaných Dílčí smlouvou č. 1 je </w:t>
      </w:r>
      <w:r w:rsidRPr="00176A84">
        <w:rPr>
          <w:rFonts w:cs="Arial"/>
          <w:szCs w:val="22"/>
          <w:lang w:val="cs-CZ" w:eastAsia="en-US"/>
        </w:rPr>
        <w:t>nezbytné</w:t>
      </w:r>
      <w:r w:rsidR="00921BB0" w:rsidRPr="00176A84">
        <w:rPr>
          <w:rFonts w:cs="Arial"/>
          <w:szCs w:val="22"/>
          <w:lang w:val="cs-CZ" w:eastAsia="en-US"/>
        </w:rPr>
        <w:t>,</w:t>
      </w:r>
      <w:r w:rsidR="004D3347" w:rsidRPr="00176A84">
        <w:rPr>
          <w:rFonts w:cs="Arial"/>
          <w:szCs w:val="22"/>
          <w:lang w:val="cs-CZ" w:eastAsia="en-US"/>
        </w:rPr>
        <w:t xml:space="preserve"> neboť v současné době má specializované pracoviště kapacitní problémy s</w:t>
      </w:r>
      <w:r w:rsidR="00921BB0" w:rsidRPr="00176A84">
        <w:rPr>
          <w:rFonts w:cs="Arial"/>
          <w:szCs w:val="22"/>
          <w:lang w:val="cs-CZ" w:eastAsia="en-US"/>
        </w:rPr>
        <w:t> </w:t>
      </w:r>
      <w:r w:rsidR="004D3347" w:rsidRPr="00176A84">
        <w:rPr>
          <w:rFonts w:cs="Arial"/>
          <w:szCs w:val="22"/>
          <w:lang w:val="cs-CZ" w:eastAsia="en-US"/>
        </w:rPr>
        <w:t>odbavováním všech úkolů a procesů, které vznikají v rámci digitálních podání</w:t>
      </w:r>
      <w:r w:rsidR="00D85DDD">
        <w:rPr>
          <w:rFonts w:cs="Arial"/>
          <w:szCs w:val="22"/>
          <w:lang w:val="cs-CZ" w:eastAsia="en-US"/>
        </w:rPr>
        <w:t xml:space="preserve"> s tím, že v důsledku </w:t>
      </w:r>
      <w:r w:rsidR="004D3347" w:rsidRPr="00176A84">
        <w:rPr>
          <w:rFonts w:cs="Arial"/>
          <w:szCs w:val="22"/>
          <w:lang w:val="cs-CZ" w:eastAsia="en-US"/>
        </w:rPr>
        <w:t>další digitalizac</w:t>
      </w:r>
      <w:r w:rsidR="00D85DDD">
        <w:rPr>
          <w:rFonts w:cs="Arial"/>
          <w:szCs w:val="22"/>
          <w:lang w:val="cs-CZ" w:eastAsia="en-US"/>
        </w:rPr>
        <w:t>e</w:t>
      </w:r>
      <w:r w:rsidR="004D3347" w:rsidRPr="00176A84">
        <w:rPr>
          <w:rFonts w:cs="Arial"/>
          <w:szCs w:val="22"/>
          <w:lang w:val="cs-CZ" w:eastAsia="en-US"/>
        </w:rPr>
        <w:t xml:space="preserve"> procesů ÚP (např. nová dávka DSSP) bude tento problém dále narůstat. Navíc ÚP nemá centrálně vyřešen proces odbavování a objednávání klientů k osobní obsluze na pobočkách ÚP.</w:t>
      </w:r>
      <w:r w:rsidR="00D85DDD">
        <w:rPr>
          <w:rFonts w:cs="Arial"/>
          <w:szCs w:val="22"/>
          <w:lang w:val="cs-CZ" w:eastAsia="en-US"/>
        </w:rPr>
        <w:t xml:space="preserve">, což </w:t>
      </w:r>
      <w:r w:rsidR="004D3347" w:rsidRPr="00176A84">
        <w:rPr>
          <w:rFonts w:cs="Arial"/>
          <w:szCs w:val="22"/>
          <w:lang w:val="cs-CZ" w:eastAsia="en-US"/>
        </w:rPr>
        <w:t xml:space="preserve">generuje další náklady v rámci celého úřadu a komplikuje komunikaci s klienty. Nasazením aplikace </w:t>
      </w:r>
      <w:proofErr w:type="spellStart"/>
      <w:r w:rsidR="004D3347" w:rsidRPr="00176A84">
        <w:rPr>
          <w:rFonts w:cs="Arial"/>
          <w:szCs w:val="22"/>
          <w:lang w:val="cs-CZ" w:eastAsia="en-US"/>
        </w:rPr>
        <w:t>JeF</w:t>
      </w:r>
      <w:proofErr w:type="spellEnd"/>
      <w:r w:rsidR="004D3347" w:rsidRPr="00176A84">
        <w:rPr>
          <w:rFonts w:cs="Arial"/>
          <w:szCs w:val="22"/>
          <w:lang w:val="cs-CZ" w:eastAsia="en-US"/>
        </w:rPr>
        <w:t xml:space="preserve"> a napojením systému řízení obsluhy klientů dojde k</w:t>
      </w:r>
      <w:r w:rsidR="00921BB0" w:rsidRPr="00176A84">
        <w:rPr>
          <w:rFonts w:cs="Arial"/>
          <w:szCs w:val="22"/>
          <w:lang w:val="cs-CZ" w:eastAsia="en-US"/>
        </w:rPr>
        <w:t> </w:t>
      </w:r>
      <w:r w:rsidR="004D3347" w:rsidRPr="00176A84">
        <w:rPr>
          <w:rFonts w:cs="Arial"/>
          <w:szCs w:val="22"/>
          <w:lang w:val="cs-CZ" w:eastAsia="en-US"/>
        </w:rPr>
        <w:t xml:space="preserve">vyřešení obou </w:t>
      </w:r>
      <w:r w:rsidR="004C4ABF">
        <w:rPr>
          <w:rFonts w:cs="Arial"/>
          <w:szCs w:val="22"/>
          <w:lang w:val="cs-CZ" w:eastAsia="en-US"/>
        </w:rPr>
        <w:t xml:space="preserve">výše uvedených </w:t>
      </w:r>
      <w:r w:rsidR="004D3347" w:rsidRPr="00176A84">
        <w:rPr>
          <w:rFonts w:cs="Arial"/>
          <w:szCs w:val="22"/>
          <w:lang w:val="cs-CZ" w:eastAsia="en-US"/>
        </w:rPr>
        <w:t>problémů.</w:t>
      </w:r>
    </w:p>
    <w:p w14:paraId="0BEF7054" w14:textId="10C597F3" w:rsidR="003E1606" w:rsidRPr="00C61DD5" w:rsidRDefault="00441651" w:rsidP="00C61DD5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176A84">
        <w:rPr>
          <w:rFonts w:cs="Arial"/>
          <w:szCs w:val="22"/>
          <w:lang w:val="cs-CZ" w:eastAsia="en-US"/>
        </w:rPr>
        <w:t xml:space="preserve">Dodatečně </w:t>
      </w:r>
      <w:r w:rsidR="00921BB0" w:rsidRPr="00176A84">
        <w:rPr>
          <w:rFonts w:cs="Arial"/>
          <w:szCs w:val="22"/>
          <w:lang w:val="cs-CZ" w:eastAsia="en-US"/>
        </w:rPr>
        <w:t xml:space="preserve">sjednávané </w:t>
      </w:r>
      <w:r w:rsidRPr="00176A84">
        <w:rPr>
          <w:rFonts w:cs="Arial"/>
          <w:szCs w:val="22"/>
          <w:lang w:val="cs-CZ" w:eastAsia="en-US"/>
        </w:rPr>
        <w:t xml:space="preserve">služby </w:t>
      </w:r>
      <w:r w:rsidR="009C032B" w:rsidRPr="00176A84">
        <w:rPr>
          <w:rFonts w:cs="Arial"/>
          <w:szCs w:val="22"/>
          <w:lang w:val="cs-CZ" w:eastAsia="en-US"/>
        </w:rPr>
        <w:t>j</w:t>
      </w:r>
      <w:r w:rsidRPr="00176A84">
        <w:rPr>
          <w:rFonts w:cs="Arial"/>
          <w:szCs w:val="22"/>
          <w:lang w:val="cs-CZ" w:eastAsia="en-US"/>
        </w:rPr>
        <w:t>sou</w:t>
      </w:r>
      <w:r w:rsidR="009C032B" w:rsidRPr="00176A84">
        <w:rPr>
          <w:rFonts w:cs="Arial"/>
          <w:szCs w:val="22"/>
          <w:lang w:val="cs-CZ" w:eastAsia="en-US"/>
        </w:rPr>
        <w:t xml:space="preserve"> od současných činností </w:t>
      </w:r>
      <w:r w:rsidR="00921BB0" w:rsidRPr="00176A84">
        <w:rPr>
          <w:rFonts w:cs="Arial"/>
          <w:szCs w:val="22"/>
          <w:lang w:val="cs-CZ" w:eastAsia="en-US"/>
        </w:rPr>
        <w:t xml:space="preserve">realizačního týmu </w:t>
      </w:r>
      <w:r w:rsidR="009C032B" w:rsidRPr="00176A84">
        <w:rPr>
          <w:rFonts w:cs="Arial"/>
          <w:szCs w:val="22"/>
          <w:lang w:val="cs-CZ" w:eastAsia="en-US"/>
        </w:rPr>
        <w:t>neodděliteln</w:t>
      </w:r>
      <w:r w:rsidRPr="00176A84">
        <w:rPr>
          <w:rFonts w:cs="Arial"/>
          <w:szCs w:val="22"/>
          <w:lang w:val="cs-CZ" w:eastAsia="en-US"/>
        </w:rPr>
        <w:t>é</w:t>
      </w:r>
      <w:r w:rsidR="004C4ABF">
        <w:rPr>
          <w:rFonts w:cs="Arial"/>
          <w:szCs w:val="22"/>
          <w:lang w:val="cs-CZ" w:eastAsia="en-US"/>
        </w:rPr>
        <w:t>, d</w:t>
      </w:r>
      <w:r w:rsidR="009C032B" w:rsidRPr="00176A84">
        <w:rPr>
          <w:rFonts w:cs="Arial"/>
          <w:szCs w:val="22"/>
          <w:lang w:val="cs-CZ" w:eastAsia="en-US"/>
        </w:rPr>
        <w:t>oplňuj</w:t>
      </w:r>
      <w:r w:rsidRPr="00176A84">
        <w:rPr>
          <w:rFonts w:cs="Arial"/>
          <w:szCs w:val="22"/>
          <w:lang w:val="cs-CZ" w:eastAsia="en-US"/>
        </w:rPr>
        <w:t>í</w:t>
      </w:r>
      <w:r w:rsidR="009C032B" w:rsidRPr="00176A84">
        <w:rPr>
          <w:rFonts w:cs="Arial"/>
          <w:szCs w:val="22"/>
          <w:lang w:val="cs-CZ" w:eastAsia="en-US"/>
        </w:rPr>
        <w:t xml:space="preserve"> původní </w:t>
      </w:r>
      <w:proofErr w:type="spellStart"/>
      <w:r w:rsidR="009C032B" w:rsidRPr="00176A84">
        <w:rPr>
          <w:rFonts w:cs="Arial"/>
          <w:szCs w:val="22"/>
          <w:lang w:val="cs-CZ" w:eastAsia="en-US"/>
        </w:rPr>
        <w:t>scope</w:t>
      </w:r>
      <w:proofErr w:type="spellEnd"/>
      <w:r w:rsidR="009C032B" w:rsidRPr="00176A84">
        <w:rPr>
          <w:rFonts w:cs="Arial"/>
          <w:szCs w:val="22"/>
          <w:lang w:val="cs-CZ" w:eastAsia="en-US"/>
        </w:rPr>
        <w:t xml:space="preserve"> zadání v rámci Dílčí smlouvy č. 1</w:t>
      </w:r>
      <w:r w:rsidR="00176A84" w:rsidRPr="00176A84">
        <w:rPr>
          <w:rFonts w:cs="Arial"/>
          <w:szCs w:val="22"/>
          <w:lang w:val="cs-CZ" w:eastAsia="en-US"/>
        </w:rPr>
        <w:t xml:space="preserve"> </w:t>
      </w:r>
      <w:r w:rsidR="00176A84">
        <w:rPr>
          <w:rFonts w:cs="Arial"/>
          <w:szCs w:val="22"/>
          <w:lang w:val="cs-CZ" w:eastAsia="en-US"/>
        </w:rPr>
        <w:t>a nelze je objektivně poskytnout jiným realizačním týmem než týmem Poskytovatele, a to vzhledem ke skutečnosti, že</w:t>
      </w:r>
      <w:r w:rsidR="005D1640" w:rsidRPr="00176A84">
        <w:rPr>
          <w:rFonts w:cs="Arial"/>
          <w:szCs w:val="22"/>
          <w:lang w:val="cs-CZ" w:eastAsia="en-US"/>
        </w:rPr>
        <w:t xml:space="preserve"> zachov</w:t>
      </w:r>
      <w:r w:rsidR="00176A84" w:rsidRPr="00176A84">
        <w:rPr>
          <w:rFonts w:cs="Arial"/>
          <w:szCs w:val="22"/>
          <w:lang w:val="cs-CZ" w:eastAsia="en-US"/>
        </w:rPr>
        <w:t>ání</w:t>
      </w:r>
      <w:r w:rsidR="005D1640" w:rsidRPr="00176A84">
        <w:rPr>
          <w:rFonts w:cs="Arial"/>
          <w:szCs w:val="22"/>
          <w:lang w:val="cs-CZ" w:eastAsia="en-US"/>
        </w:rPr>
        <w:t xml:space="preserve"> realizační</w:t>
      </w:r>
      <w:r w:rsidR="00176A84" w:rsidRPr="00176A84">
        <w:rPr>
          <w:rFonts w:cs="Arial"/>
          <w:szCs w:val="22"/>
          <w:lang w:val="cs-CZ" w:eastAsia="en-US"/>
        </w:rPr>
        <w:t>ho</w:t>
      </w:r>
      <w:r w:rsidR="005D1640" w:rsidRPr="00176A84">
        <w:rPr>
          <w:rFonts w:cs="Arial"/>
          <w:szCs w:val="22"/>
          <w:lang w:val="cs-CZ" w:eastAsia="en-US"/>
        </w:rPr>
        <w:t xml:space="preserve"> tým</w:t>
      </w:r>
      <w:r w:rsidR="00176A84" w:rsidRPr="00176A84">
        <w:rPr>
          <w:rFonts w:cs="Arial"/>
          <w:szCs w:val="22"/>
          <w:lang w:val="cs-CZ" w:eastAsia="en-US"/>
        </w:rPr>
        <w:t>u</w:t>
      </w:r>
      <w:r w:rsidR="005D1640" w:rsidRPr="00176A84">
        <w:rPr>
          <w:rFonts w:cs="Arial"/>
          <w:szCs w:val="22"/>
          <w:lang w:val="cs-CZ" w:eastAsia="en-US"/>
        </w:rPr>
        <w:t xml:space="preserve"> Poskytovatele</w:t>
      </w:r>
      <w:r w:rsidR="00176A84" w:rsidRPr="00176A84">
        <w:rPr>
          <w:rFonts w:cs="Arial"/>
          <w:szCs w:val="22"/>
          <w:lang w:val="cs-CZ" w:eastAsia="en-US"/>
        </w:rPr>
        <w:t xml:space="preserve"> při </w:t>
      </w:r>
      <w:r w:rsidR="00A77AFC" w:rsidRPr="00176A84">
        <w:rPr>
          <w:rFonts w:cs="Arial"/>
          <w:szCs w:val="22"/>
          <w:lang w:val="cs-CZ" w:eastAsia="en-US"/>
        </w:rPr>
        <w:t xml:space="preserve">poskytování </w:t>
      </w:r>
      <w:r w:rsidR="00176A84" w:rsidRPr="00176A84">
        <w:rPr>
          <w:rFonts w:cs="Arial"/>
          <w:szCs w:val="22"/>
          <w:lang w:val="cs-CZ" w:eastAsia="en-US"/>
        </w:rPr>
        <w:t>předmětných</w:t>
      </w:r>
      <w:r w:rsidR="00A77AFC" w:rsidRPr="00176A84">
        <w:rPr>
          <w:rFonts w:cs="Arial"/>
          <w:szCs w:val="22"/>
          <w:lang w:val="cs-CZ" w:eastAsia="en-US"/>
        </w:rPr>
        <w:t xml:space="preserve"> specifických služeb</w:t>
      </w:r>
      <w:r w:rsidR="00176A84" w:rsidRPr="00176A84">
        <w:rPr>
          <w:rFonts w:cs="Arial"/>
          <w:szCs w:val="22"/>
          <w:lang w:val="cs-CZ" w:eastAsia="en-US"/>
        </w:rPr>
        <w:t xml:space="preserve"> sjednaných Dílčí smlouvou č. 1 a tímto Dodatkem č. 1, je klíčové pro zajištění jednotné odpovědnosti Poskytovatele. V případě, že by služby sjednané tímto Dodatkem č. 1 byly poskytovány jiným poskytovatelem</w:t>
      </w:r>
      <w:r w:rsidR="00A77AFC" w:rsidRPr="00176A84">
        <w:rPr>
          <w:rFonts w:cs="Arial"/>
          <w:szCs w:val="22"/>
          <w:lang w:val="cs-CZ" w:eastAsia="en-US"/>
        </w:rPr>
        <w:t xml:space="preserve">, hrozí </w:t>
      </w:r>
      <w:r w:rsidR="00176A84" w:rsidRPr="00176A84">
        <w:rPr>
          <w:rFonts w:cs="Arial"/>
          <w:szCs w:val="22"/>
          <w:lang w:val="cs-CZ" w:eastAsia="en-US"/>
        </w:rPr>
        <w:t xml:space="preserve">Objednateli </w:t>
      </w:r>
      <w:r w:rsidR="00A77AFC" w:rsidRPr="00176A84">
        <w:rPr>
          <w:rFonts w:cs="Arial"/>
          <w:szCs w:val="22"/>
          <w:lang w:val="cs-CZ" w:eastAsia="en-US"/>
        </w:rPr>
        <w:t xml:space="preserve">bezpečnostní rizika, organizační rizika a v konečném důsledku i vícenáklady. </w:t>
      </w:r>
      <w:r w:rsidR="00176A84" w:rsidRPr="00176A84">
        <w:rPr>
          <w:rFonts w:cs="Arial"/>
          <w:szCs w:val="22"/>
          <w:lang w:val="cs-CZ" w:eastAsia="en-US"/>
        </w:rPr>
        <w:t>Vzhledem k výše uvedenému je uzavření tohoto Dodatku č. 1 jediným efektivním, účelným a</w:t>
      </w:r>
      <w:r w:rsidR="001805E4">
        <w:rPr>
          <w:rFonts w:cs="Arial"/>
          <w:szCs w:val="22"/>
          <w:lang w:val="cs-CZ" w:eastAsia="en-US"/>
        </w:rPr>
        <w:t> </w:t>
      </w:r>
      <w:r w:rsidR="00176A84" w:rsidRPr="00176A84">
        <w:rPr>
          <w:rFonts w:cs="Arial"/>
          <w:szCs w:val="22"/>
          <w:lang w:val="cs-CZ" w:eastAsia="en-US"/>
        </w:rPr>
        <w:t xml:space="preserve">hospodárným řešením a je zcela v souladu se </w:t>
      </w:r>
      <w:r w:rsidR="00176A84" w:rsidRPr="004D43BE">
        <w:rPr>
          <w:rFonts w:cs="Arial"/>
          <w:szCs w:val="22"/>
          <w:lang w:val="cs-CZ" w:eastAsia="en-US"/>
        </w:rPr>
        <w:t>zákon</w:t>
      </w:r>
      <w:r w:rsidR="00176A84">
        <w:rPr>
          <w:rFonts w:cs="Arial"/>
          <w:szCs w:val="22"/>
          <w:lang w:val="cs-CZ" w:eastAsia="en-US"/>
        </w:rPr>
        <w:t>em</w:t>
      </w:r>
      <w:r w:rsidR="00176A84" w:rsidRPr="004D43BE">
        <w:rPr>
          <w:rFonts w:cs="Arial"/>
          <w:szCs w:val="22"/>
          <w:lang w:val="cs-CZ" w:eastAsia="en-US"/>
        </w:rPr>
        <w:t xml:space="preserve"> č. 134/2016 Sb., o zadávání veřejných zakázek, </w:t>
      </w:r>
      <w:r w:rsidR="00176A84">
        <w:rPr>
          <w:rFonts w:cs="Arial"/>
          <w:szCs w:val="22"/>
          <w:lang w:val="cs-CZ" w:eastAsia="en-US"/>
        </w:rPr>
        <w:t>ve znění pozdějších předpisů</w:t>
      </w:r>
      <w:r w:rsidR="00176A84" w:rsidRPr="004D43BE">
        <w:rPr>
          <w:rFonts w:cs="Arial"/>
          <w:szCs w:val="22"/>
          <w:lang w:val="cs-CZ" w:eastAsia="en-US"/>
        </w:rPr>
        <w:t xml:space="preserve"> (dále jen „</w:t>
      </w:r>
      <w:r w:rsidR="00176A84" w:rsidRPr="004D43BE">
        <w:rPr>
          <w:rFonts w:cs="Arial"/>
          <w:b/>
          <w:bCs/>
          <w:szCs w:val="22"/>
          <w:lang w:val="cs-CZ" w:eastAsia="en-US"/>
        </w:rPr>
        <w:t>ZZVZ</w:t>
      </w:r>
      <w:r w:rsidR="00176A84" w:rsidRPr="004D43BE">
        <w:rPr>
          <w:rFonts w:cs="Arial"/>
          <w:szCs w:val="22"/>
          <w:lang w:val="cs-CZ" w:eastAsia="en-US"/>
        </w:rPr>
        <w:t>“)</w:t>
      </w:r>
      <w:r w:rsidR="00176A84">
        <w:rPr>
          <w:rFonts w:cs="Arial"/>
          <w:szCs w:val="22"/>
          <w:lang w:val="cs-CZ" w:eastAsia="en-US"/>
        </w:rPr>
        <w:t xml:space="preserve">. </w:t>
      </w:r>
    </w:p>
    <w:p w14:paraId="4AE277FC" w14:textId="36AB6820" w:rsidR="00A477F9" w:rsidRPr="00176A84" w:rsidRDefault="003971CB" w:rsidP="00741151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 w:rsidR="005A659C">
        <w:rPr>
          <w:rFonts w:eastAsia="Calibri"/>
          <w:lang w:val="cs-CZ"/>
        </w:rPr>
        <w:t>výše uvedené, se S</w:t>
      </w:r>
      <w:r w:rsidRPr="003971CB">
        <w:rPr>
          <w:rFonts w:eastAsia="Calibri"/>
        </w:rPr>
        <w:t xml:space="preserve">mluvní strany </w:t>
      </w:r>
      <w:r w:rsidR="005A659C"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="00AA0670">
        <w:rPr>
          <w:rFonts w:eastAsia="Calibri"/>
          <w:lang w:val="cs-CZ"/>
        </w:rPr>
        <w:t xml:space="preserve">úpravě odst. 2.2. a </w:t>
      </w:r>
      <w:r w:rsidR="00182A0F">
        <w:rPr>
          <w:rFonts w:eastAsia="Calibri"/>
          <w:lang w:val="cs-CZ"/>
        </w:rPr>
        <w:t xml:space="preserve">odst. </w:t>
      </w:r>
      <w:r w:rsidR="00AA0670">
        <w:rPr>
          <w:rFonts w:eastAsia="Calibri"/>
          <w:lang w:val="cs-CZ"/>
        </w:rPr>
        <w:t>3.2. Dílčí smlouvy č. 1</w:t>
      </w:r>
      <w:r w:rsidRPr="003971CB">
        <w:rPr>
          <w:rFonts w:eastAsia="Calibri"/>
        </w:rPr>
        <w:t>, a to způsobem uvedeným v</w:t>
      </w:r>
      <w:r w:rsidR="00176A84">
        <w:rPr>
          <w:rFonts w:eastAsia="Calibri"/>
        </w:rPr>
        <w:t> </w:t>
      </w:r>
      <w:r w:rsidR="00176A84"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 w:rsidR="00AA0670">
        <w:rPr>
          <w:rFonts w:eastAsia="Calibri"/>
          <w:lang w:val="cs-CZ"/>
        </w:rPr>
        <w:t xml:space="preserve"> č. 1</w:t>
      </w:r>
      <w:r w:rsidRPr="003971CB">
        <w:rPr>
          <w:rFonts w:eastAsia="Calibri"/>
        </w:rPr>
        <w:t>.</w:t>
      </w:r>
    </w:p>
    <w:p w14:paraId="55A3B7D0" w14:textId="61CF42BB" w:rsidR="005B4150" w:rsidRDefault="005B4150" w:rsidP="00741151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17ED5FA5" w14:textId="5FE1D16D" w:rsidR="001624EA" w:rsidRDefault="004645DE" w:rsidP="00741151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176A84">
        <w:rPr>
          <w:rFonts w:cs="Arial"/>
          <w:szCs w:val="20"/>
          <w:lang w:val="cs-CZ"/>
        </w:rPr>
        <w:t xml:space="preserve">sjednávají </w:t>
      </w:r>
      <w:r w:rsidR="001F05C1" w:rsidRPr="00501E99">
        <w:rPr>
          <w:rFonts w:cs="Arial"/>
          <w:szCs w:val="22"/>
          <w:lang w:val="cs-CZ" w:eastAsia="en-US"/>
        </w:rPr>
        <w:t>dodatečné navýšení rozsahu služeb</w:t>
      </w:r>
      <w:r w:rsidR="007A0FD8" w:rsidRPr="00501E99">
        <w:rPr>
          <w:rFonts w:cs="Arial"/>
          <w:szCs w:val="22"/>
          <w:lang w:val="cs-CZ" w:eastAsia="en-US"/>
        </w:rPr>
        <w:t>, a</w:t>
      </w:r>
      <w:r w:rsidR="007A0FD8">
        <w:rPr>
          <w:rFonts w:cs="Arial"/>
          <w:szCs w:val="22"/>
          <w:lang w:val="cs-CZ" w:eastAsia="en-US"/>
        </w:rPr>
        <w:t xml:space="preserve"> to </w:t>
      </w:r>
      <w:r w:rsidR="001F05C1" w:rsidRPr="00501E99">
        <w:rPr>
          <w:rFonts w:cs="Arial"/>
          <w:szCs w:val="20"/>
          <w:lang w:val="cs-CZ"/>
        </w:rPr>
        <w:t xml:space="preserve">formou </w:t>
      </w:r>
      <w:r w:rsidR="00076C2B" w:rsidRPr="00501E99">
        <w:rPr>
          <w:rFonts w:cs="Arial"/>
          <w:szCs w:val="20"/>
        </w:rPr>
        <w:t xml:space="preserve">rozšíření </w:t>
      </w:r>
      <w:r w:rsidR="006D54A0" w:rsidRPr="00501E99">
        <w:rPr>
          <w:rFonts w:cs="Arial"/>
          <w:szCs w:val="20"/>
        </w:rPr>
        <w:t>předpokládaného rozsahu</w:t>
      </w:r>
      <w:r w:rsidR="006D54A0" w:rsidRPr="00F35F5C">
        <w:rPr>
          <w:rFonts w:cs="Arial"/>
          <w:b/>
          <w:bCs/>
          <w:szCs w:val="20"/>
        </w:rPr>
        <w:t xml:space="preserve"> </w:t>
      </w:r>
      <w:r w:rsidR="00F35F5C">
        <w:rPr>
          <w:rFonts w:cs="Arial"/>
          <w:szCs w:val="20"/>
        </w:rPr>
        <w:t>člověkodnů (</w:t>
      </w:r>
      <w:r w:rsidR="00F35F5C">
        <w:rPr>
          <w:rFonts w:cs="Arial"/>
          <w:szCs w:val="20"/>
          <w:lang w:val="cs-CZ"/>
        </w:rPr>
        <w:t>dále jen „</w:t>
      </w:r>
      <w:r w:rsidR="00F35F5C" w:rsidRPr="00F35F5C">
        <w:rPr>
          <w:rFonts w:cs="Arial"/>
          <w:b/>
          <w:bCs/>
          <w:szCs w:val="20"/>
        </w:rPr>
        <w:t>MD</w:t>
      </w:r>
      <w:r w:rsidR="00F35F5C" w:rsidRPr="00F35F5C">
        <w:rPr>
          <w:rFonts w:cs="Arial"/>
          <w:szCs w:val="20"/>
          <w:lang w:val="cs-CZ"/>
        </w:rPr>
        <w:t>“</w:t>
      </w:r>
      <w:r w:rsidR="00F35F5C">
        <w:rPr>
          <w:rFonts w:cs="Arial"/>
          <w:szCs w:val="20"/>
        </w:rPr>
        <w:t xml:space="preserve">) </w:t>
      </w:r>
      <w:r w:rsidR="006D54A0" w:rsidRPr="006D54A0">
        <w:rPr>
          <w:rFonts w:cs="Arial"/>
          <w:szCs w:val="20"/>
        </w:rPr>
        <w:t xml:space="preserve">v rámci </w:t>
      </w:r>
      <w:r w:rsidR="00076C2B" w:rsidRPr="006D54A0">
        <w:rPr>
          <w:rFonts w:cs="Arial"/>
          <w:szCs w:val="20"/>
        </w:rPr>
        <w:t>realizačního týmu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27E34FD7" w:rsidR="006D54A0" w:rsidRPr="001624EA" w:rsidRDefault="00A70F6A" w:rsidP="00741151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 xml:space="preserve">2.2. Dílčí smlouvy č. 1 </w:t>
      </w:r>
      <w:r w:rsidR="00176A84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5CFA4934" w14:textId="62811E83" w:rsidR="001624EA" w:rsidRPr="001624EA" w:rsidRDefault="001624EA" w:rsidP="008672A4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</w:rPr>
      </w:pPr>
      <w:r>
        <w:rPr>
          <w:rFonts w:cs="Arial"/>
          <w:szCs w:val="20"/>
          <w:lang w:val="cs-CZ"/>
        </w:rPr>
        <w:t>„</w:t>
      </w:r>
      <w:r w:rsidRPr="001624EA">
        <w:rPr>
          <w:rFonts w:cs="Arial"/>
          <w:i/>
          <w:iCs/>
          <w:szCs w:val="20"/>
        </w:rPr>
        <w:t>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4AE2F3B2" w14:textId="719E3164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IT Architekt Senior – předpokládaný rozsah je </w:t>
      </w:r>
      <w:r w:rsidR="00985C6E">
        <w:rPr>
          <w:rFonts w:cs="Arial"/>
          <w:i/>
          <w:iCs/>
          <w:szCs w:val="20"/>
          <w:lang w:val="cs-CZ"/>
        </w:rPr>
        <w:t>220</w:t>
      </w:r>
      <w:r w:rsidRPr="006D54A0">
        <w:rPr>
          <w:rFonts w:cs="Arial"/>
          <w:i/>
          <w:iCs/>
          <w:szCs w:val="20"/>
        </w:rPr>
        <w:t xml:space="preserve"> MD</w:t>
      </w:r>
    </w:p>
    <w:p w14:paraId="7FABE148" w14:textId="7573AC19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IT Analytik Senior – předpokládaný rozsah je </w:t>
      </w:r>
      <w:r w:rsidR="00985C6E">
        <w:rPr>
          <w:rFonts w:cs="Arial"/>
          <w:i/>
          <w:iCs/>
          <w:szCs w:val="20"/>
          <w:lang w:val="cs-CZ"/>
        </w:rPr>
        <w:t>395</w:t>
      </w:r>
      <w:r w:rsidRPr="006D54A0">
        <w:rPr>
          <w:rFonts w:cs="Arial"/>
          <w:i/>
          <w:iCs/>
          <w:szCs w:val="20"/>
        </w:rPr>
        <w:t xml:space="preserve"> MD</w:t>
      </w:r>
    </w:p>
    <w:p w14:paraId="7FEE7D64" w14:textId="25096BA7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IT Analytik Junior – předpokládaný rozsah je </w:t>
      </w:r>
      <w:r w:rsidR="00400EBE">
        <w:rPr>
          <w:rFonts w:cs="Arial"/>
          <w:i/>
          <w:iCs/>
          <w:szCs w:val="20"/>
          <w:lang w:val="cs-CZ"/>
        </w:rPr>
        <w:t>740</w:t>
      </w:r>
      <w:r w:rsidRPr="006D54A0">
        <w:rPr>
          <w:rFonts w:cs="Arial"/>
          <w:i/>
          <w:iCs/>
          <w:szCs w:val="20"/>
        </w:rPr>
        <w:t xml:space="preserve"> MD</w:t>
      </w:r>
    </w:p>
    <w:p w14:paraId="7B4D5771" w14:textId="15D4F00A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Integrační architekt Senior – předpokládaný rozsah je </w:t>
      </w:r>
      <w:r w:rsidR="00400EBE">
        <w:rPr>
          <w:rFonts w:cs="Arial"/>
          <w:i/>
          <w:iCs/>
          <w:szCs w:val="20"/>
          <w:lang w:val="cs-CZ"/>
        </w:rPr>
        <w:t>580</w:t>
      </w:r>
      <w:r w:rsidRPr="006D54A0">
        <w:rPr>
          <w:rFonts w:cs="Arial"/>
          <w:i/>
          <w:iCs/>
          <w:szCs w:val="20"/>
        </w:rPr>
        <w:t xml:space="preserve"> MD</w:t>
      </w:r>
    </w:p>
    <w:p w14:paraId="61207C77" w14:textId="16214807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Frontend</w:t>
      </w:r>
      <w:proofErr w:type="spellEnd"/>
      <w:r w:rsidRPr="006D54A0">
        <w:rPr>
          <w:rFonts w:cs="Arial"/>
          <w:i/>
          <w:iCs/>
          <w:szCs w:val="20"/>
        </w:rPr>
        <w:t xml:space="preserve"> Developer Senior – předpokládaný rozsah je </w:t>
      </w:r>
      <w:r w:rsidR="00400EBE">
        <w:rPr>
          <w:rFonts w:cs="Arial"/>
          <w:i/>
          <w:iCs/>
          <w:szCs w:val="20"/>
          <w:lang w:val="cs-CZ"/>
        </w:rPr>
        <w:t>600</w:t>
      </w:r>
      <w:r w:rsidRPr="006D54A0">
        <w:rPr>
          <w:rFonts w:cs="Arial"/>
          <w:i/>
          <w:iCs/>
          <w:szCs w:val="20"/>
        </w:rPr>
        <w:t xml:space="preserve"> MD</w:t>
      </w:r>
    </w:p>
    <w:p w14:paraId="3653C928" w14:textId="2D5E4F9F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Frontend</w:t>
      </w:r>
      <w:proofErr w:type="spellEnd"/>
      <w:r w:rsidRPr="006D54A0">
        <w:rPr>
          <w:rFonts w:cs="Arial"/>
          <w:i/>
          <w:iCs/>
          <w:szCs w:val="20"/>
        </w:rPr>
        <w:t xml:space="preserve"> Developer Junior – předpokládaný rozsah je </w:t>
      </w:r>
      <w:r w:rsidR="00400EBE">
        <w:rPr>
          <w:rFonts w:cs="Arial"/>
          <w:i/>
          <w:iCs/>
          <w:szCs w:val="20"/>
          <w:lang w:val="cs-CZ"/>
        </w:rPr>
        <w:t>780</w:t>
      </w:r>
      <w:r w:rsidRPr="006D54A0">
        <w:rPr>
          <w:rFonts w:cs="Arial"/>
          <w:i/>
          <w:iCs/>
          <w:szCs w:val="20"/>
        </w:rPr>
        <w:t xml:space="preserve"> MD</w:t>
      </w:r>
    </w:p>
    <w:p w14:paraId="4758DAE6" w14:textId="7F605308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Backend</w:t>
      </w:r>
      <w:proofErr w:type="spellEnd"/>
      <w:r w:rsidRPr="006D54A0">
        <w:rPr>
          <w:rFonts w:cs="Arial"/>
          <w:i/>
          <w:iCs/>
          <w:szCs w:val="20"/>
        </w:rPr>
        <w:t xml:space="preserve"> Developer (JAVA) Senior – předpokládaný rozsah je </w:t>
      </w:r>
      <w:r w:rsidR="00400EBE">
        <w:rPr>
          <w:rFonts w:cs="Arial"/>
          <w:i/>
          <w:iCs/>
          <w:szCs w:val="20"/>
          <w:lang w:val="cs-CZ"/>
        </w:rPr>
        <w:t>600</w:t>
      </w:r>
      <w:r w:rsidRPr="006D54A0">
        <w:rPr>
          <w:rFonts w:cs="Arial"/>
          <w:i/>
          <w:iCs/>
          <w:szCs w:val="20"/>
        </w:rPr>
        <w:t xml:space="preserve"> MD</w:t>
      </w:r>
    </w:p>
    <w:p w14:paraId="36D27B74" w14:textId="0C60F9EB" w:rsidR="006D54A0" w:rsidRPr="006D54A0" w:rsidRDefault="006D54A0" w:rsidP="008672A4">
      <w:pPr>
        <w:pStyle w:val="RLTextlnkuslovan"/>
        <w:numPr>
          <w:ilvl w:val="1"/>
          <w:numId w:val="11"/>
        </w:numPr>
        <w:tabs>
          <w:tab w:val="num" w:pos="567"/>
        </w:tabs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Backend</w:t>
      </w:r>
      <w:proofErr w:type="spellEnd"/>
      <w:r w:rsidRPr="006D54A0">
        <w:rPr>
          <w:rFonts w:cs="Arial"/>
          <w:i/>
          <w:iCs/>
          <w:szCs w:val="20"/>
        </w:rPr>
        <w:t xml:space="preserve"> Developer (JAVA) Junior – předpokládaný rozsah je </w:t>
      </w:r>
      <w:r w:rsidR="00400EBE">
        <w:rPr>
          <w:rFonts w:cs="Arial"/>
          <w:i/>
          <w:iCs/>
          <w:szCs w:val="20"/>
          <w:lang w:val="cs-CZ"/>
        </w:rPr>
        <w:t>880</w:t>
      </w:r>
      <w:r w:rsidRPr="006D54A0">
        <w:rPr>
          <w:rFonts w:cs="Arial"/>
          <w:i/>
          <w:iCs/>
          <w:szCs w:val="20"/>
        </w:rPr>
        <w:t xml:space="preserve"> MD</w:t>
      </w:r>
    </w:p>
    <w:p w14:paraId="43D6D912" w14:textId="6ABDBF4E" w:rsidR="006D54A0" w:rsidRPr="006D54A0" w:rsidRDefault="006D54A0" w:rsidP="008672A4">
      <w:pPr>
        <w:pStyle w:val="RLTextlnkuslovan"/>
        <w:numPr>
          <w:ilvl w:val="1"/>
          <w:numId w:val="11"/>
        </w:numPr>
        <w:tabs>
          <w:tab w:val="num" w:pos="567"/>
        </w:tabs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Backend</w:t>
      </w:r>
      <w:proofErr w:type="spellEnd"/>
      <w:r w:rsidRPr="006D54A0">
        <w:rPr>
          <w:rFonts w:cs="Arial"/>
          <w:i/>
          <w:iCs/>
          <w:szCs w:val="20"/>
        </w:rPr>
        <w:t xml:space="preserve"> Developer (.Net) Senior – předpokládaný rozsah je </w:t>
      </w:r>
      <w:r w:rsidR="00400EBE">
        <w:rPr>
          <w:rFonts w:cs="Arial"/>
          <w:i/>
          <w:iCs/>
          <w:szCs w:val="20"/>
          <w:lang w:val="cs-CZ"/>
        </w:rPr>
        <w:t>380</w:t>
      </w:r>
      <w:r w:rsidRPr="006D54A0">
        <w:rPr>
          <w:rFonts w:cs="Arial"/>
          <w:i/>
          <w:iCs/>
          <w:szCs w:val="20"/>
        </w:rPr>
        <w:t xml:space="preserve"> MD</w:t>
      </w:r>
    </w:p>
    <w:p w14:paraId="24526FC4" w14:textId="6C85F966" w:rsidR="006D54A0" w:rsidRPr="006D54A0" w:rsidRDefault="006D54A0" w:rsidP="008672A4">
      <w:pPr>
        <w:pStyle w:val="RLTextlnkuslovan"/>
        <w:numPr>
          <w:ilvl w:val="1"/>
          <w:numId w:val="11"/>
        </w:numPr>
        <w:tabs>
          <w:tab w:val="num" w:pos="567"/>
        </w:tabs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6D54A0">
        <w:rPr>
          <w:rFonts w:cs="Arial"/>
          <w:i/>
          <w:iCs/>
          <w:szCs w:val="20"/>
        </w:rPr>
        <w:t>Backend</w:t>
      </w:r>
      <w:proofErr w:type="spellEnd"/>
      <w:r w:rsidRPr="006D54A0">
        <w:rPr>
          <w:rFonts w:cs="Arial"/>
          <w:i/>
          <w:iCs/>
          <w:szCs w:val="20"/>
        </w:rPr>
        <w:t xml:space="preserve"> Developer (.Net) Junior – předpokládaný rozsah je </w:t>
      </w:r>
      <w:r w:rsidR="00EA0B55">
        <w:rPr>
          <w:rFonts w:cs="Arial"/>
          <w:i/>
          <w:iCs/>
          <w:szCs w:val="20"/>
          <w:lang w:val="cs-CZ"/>
        </w:rPr>
        <w:t>220</w:t>
      </w:r>
      <w:r w:rsidRPr="006D54A0">
        <w:rPr>
          <w:rFonts w:cs="Arial"/>
          <w:i/>
          <w:iCs/>
          <w:szCs w:val="20"/>
        </w:rPr>
        <w:t xml:space="preserve"> MD</w:t>
      </w:r>
    </w:p>
    <w:p w14:paraId="09967F15" w14:textId="5BE147A2" w:rsidR="006D54A0" w:rsidRPr="006D54A0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Databázový Developer Senior I. – předpokládaný rozsah je </w:t>
      </w:r>
      <w:r w:rsidR="00EA0B55">
        <w:rPr>
          <w:rFonts w:cs="Arial"/>
          <w:i/>
          <w:iCs/>
          <w:szCs w:val="20"/>
          <w:lang w:val="cs-CZ"/>
        </w:rPr>
        <w:t>164</w:t>
      </w:r>
      <w:r w:rsidRPr="006D54A0">
        <w:rPr>
          <w:rFonts w:cs="Arial"/>
          <w:i/>
          <w:iCs/>
          <w:szCs w:val="20"/>
        </w:rPr>
        <w:t xml:space="preserve"> MD</w:t>
      </w:r>
    </w:p>
    <w:p w14:paraId="6D960A0A" w14:textId="5A5722DC" w:rsidR="006D54A0" w:rsidRPr="006D54A0" w:rsidRDefault="006D54A0" w:rsidP="008672A4">
      <w:pPr>
        <w:pStyle w:val="RLTextlnkuslovan"/>
        <w:numPr>
          <w:ilvl w:val="1"/>
          <w:numId w:val="11"/>
        </w:numPr>
        <w:tabs>
          <w:tab w:val="num" w:pos="567"/>
        </w:tabs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D54A0">
        <w:rPr>
          <w:rFonts w:cs="Arial"/>
          <w:i/>
          <w:iCs/>
          <w:szCs w:val="20"/>
        </w:rPr>
        <w:t xml:space="preserve">Databázový Developer Senior II. – předpokládaný rozsah je </w:t>
      </w:r>
      <w:r w:rsidR="00EA0B55">
        <w:rPr>
          <w:rFonts w:cs="Arial"/>
          <w:i/>
          <w:iCs/>
          <w:szCs w:val="20"/>
          <w:lang w:val="cs-CZ"/>
        </w:rPr>
        <w:t>110</w:t>
      </w:r>
      <w:r w:rsidRPr="006D54A0">
        <w:rPr>
          <w:rFonts w:cs="Arial"/>
          <w:i/>
          <w:iCs/>
          <w:szCs w:val="20"/>
        </w:rPr>
        <w:t xml:space="preserve"> MD</w:t>
      </w:r>
    </w:p>
    <w:p w14:paraId="0DEB7160" w14:textId="767E338F" w:rsidR="00A46C6B" w:rsidRDefault="006D54A0" w:rsidP="008672A4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szCs w:val="20"/>
        </w:rPr>
      </w:pPr>
      <w:r w:rsidRPr="006D54A0">
        <w:rPr>
          <w:rFonts w:cs="Arial"/>
          <w:i/>
          <w:iCs/>
          <w:szCs w:val="20"/>
        </w:rPr>
        <w:t xml:space="preserve">Projektový manažer – předpokládaný rozsah je </w:t>
      </w:r>
      <w:r w:rsidR="00EA0B55">
        <w:rPr>
          <w:rFonts w:cs="Arial"/>
          <w:i/>
          <w:iCs/>
          <w:szCs w:val="20"/>
          <w:lang w:val="cs-CZ"/>
        </w:rPr>
        <w:t>375</w:t>
      </w:r>
      <w:r w:rsidRPr="006D54A0">
        <w:rPr>
          <w:rFonts w:cs="Arial"/>
          <w:i/>
          <w:iCs/>
          <w:szCs w:val="20"/>
        </w:rPr>
        <w:t xml:space="preserve"> MD</w:t>
      </w:r>
    </w:p>
    <w:p w14:paraId="4A674229" w14:textId="628CFE5E" w:rsidR="001624EA" w:rsidRPr="004C4ABF" w:rsidRDefault="001624EA" w:rsidP="008672A4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4C4ABF">
        <w:rPr>
          <w:rFonts w:cs="Arial"/>
          <w:i/>
          <w:iCs/>
          <w:szCs w:val="20"/>
          <w:lang w:val="cs-CZ"/>
        </w:rPr>
        <w:lastRenderedPageBreak/>
        <w:t>(dále jen „</w:t>
      </w:r>
      <w:r w:rsidRPr="004C4ABF">
        <w:rPr>
          <w:rFonts w:cs="Arial"/>
          <w:b/>
          <w:bCs/>
          <w:i/>
          <w:iCs/>
          <w:szCs w:val="20"/>
          <w:lang w:val="cs-CZ"/>
        </w:rPr>
        <w:t>Služby</w:t>
      </w:r>
      <w:r w:rsidRPr="004C4ABF">
        <w:rPr>
          <w:rFonts w:cs="Arial"/>
          <w:i/>
          <w:iCs/>
          <w:szCs w:val="20"/>
          <w:lang w:val="cs-CZ"/>
        </w:rPr>
        <w:t>“)“</w:t>
      </w:r>
      <w:r w:rsidR="008672A4" w:rsidRPr="004C4ABF">
        <w:rPr>
          <w:rFonts w:cs="Arial"/>
          <w:szCs w:val="20"/>
          <w:lang w:val="cs-CZ"/>
        </w:rPr>
        <w:t>.</w:t>
      </w:r>
    </w:p>
    <w:p w14:paraId="5A055CBC" w14:textId="01284F1C" w:rsidR="006D54A0" w:rsidRDefault="00741151" w:rsidP="00646DC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Smluvní strany prohlašují, že </w:t>
      </w:r>
      <w:proofErr w:type="spellStart"/>
      <w:r>
        <w:rPr>
          <w:rFonts w:cs="Arial"/>
          <w:szCs w:val="20"/>
          <w:lang w:val="cs-CZ"/>
        </w:rPr>
        <w:t>o</w:t>
      </w:r>
      <w:r w:rsidR="00F35F5C">
        <w:rPr>
          <w:rFonts w:cs="Arial"/>
          <w:szCs w:val="20"/>
          <w:lang w:val="cs-CZ"/>
        </w:rPr>
        <w:t>dst</w:t>
      </w:r>
      <w:proofErr w:type="spellEnd"/>
      <w:r w:rsidR="00F35F5C" w:rsidRPr="00F35F5C">
        <w:rPr>
          <w:rFonts w:cs="Arial"/>
          <w:szCs w:val="20"/>
        </w:rPr>
        <w:t>.</w:t>
      </w:r>
      <w:r w:rsidR="00F35F5C">
        <w:rPr>
          <w:rFonts w:cs="Arial"/>
          <w:szCs w:val="20"/>
          <w:lang w:val="cs-CZ"/>
        </w:rPr>
        <w:t xml:space="preserve"> 2.3. Dílčí smlouvy č. 1 zůstává beze změny</w:t>
      </w:r>
      <w:r>
        <w:rPr>
          <w:rFonts w:cs="Arial"/>
          <w:szCs w:val="20"/>
          <w:lang w:val="cs-CZ"/>
        </w:rPr>
        <w:t xml:space="preserve"> a</w:t>
      </w:r>
      <w:r w:rsidR="00646DC1">
        <w:rPr>
          <w:rFonts w:cs="Arial"/>
          <w:szCs w:val="20"/>
          <w:lang w:val="cs-CZ"/>
        </w:rPr>
        <w:t xml:space="preserve"> </w:t>
      </w:r>
      <w:r w:rsidR="00A46C6B" w:rsidRPr="00A46C6B">
        <w:rPr>
          <w:rFonts w:cs="Arial"/>
          <w:szCs w:val="20"/>
        </w:rPr>
        <w:t xml:space="preserve">Objednatel je oprávněn poptávat </w:t>
      </w:r>
      <w:r w:rsidR="001624EA">
        <w:rPr>
          <w:rFonts w:cs="Arial"/>
          <w:szCs w:val="20"/>
          <w:lang w:val="cs-CZ"/>
        </w:rPr>
        <w:t>S</w:t>
      </w:r>
      <w:proofErr w:type="spellStart"/>
      <w:r w:rsidR="00A46C6B" w:rsidRPr="00A46C6B">
        <w:rPr>
          <w:rFonts w:cs="Arial"/>
          <w:szCs w:val="20"/>
        </w:rPr>
        <w:t>lužby</w:t>
      </w:r>
      <w:proofErr w:type="spellEnd"/>
      <w:r w:rsidR="00A46C6B" w:rsidRPr="00A46C6B">
        <w:rPr>
          <w:rFonts w:cs="Arial"/>
          <w:szCs w:val="20"/>
        </w:rPr>
        <w:t xml:space="preserve"> v rámci jednotlivých rolí dle svých aktuálních potřeb</w:t>
      </w:r>
      <w:r w:rsidR="00646DC1">
        <w:rPr>
          <w:rFonts w:cs="Arial"/>
          <w:szCs w:val="20"/>
          <w:lang w:val="cs-CZ"/>
        </w:rPr>
        <w:t xml:space="preserve"> (</w:t>
      </w:r>
      <w:r w:rsidR="00A46C6B"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="00646DC1">
        <w:rPr>
          <w:rFonts w:cs="Arial"/>
          <w:szCs w:val="20"/>
          <w:lang w:val="cs-CZ"/>
        </w:rPr>
        <w:t xml:space="preserve"> MD)</w:t>
      </w:r>
      <w:r w:rsidR="00A46C6B" w:rsidRPr="00A46C6B">
        <w:rPr>
          <w:rFonts w:cs="Arial"/>
          <w:szCs w:val="20"/>
        </w:rPr>
        <w:t>.</w:t>
      </w:r>
      <w:r w:rsidR="00F35F5C">
        <w:rPr>
          <w:rFonts w:cs="Arial"/>
          <w:szCs w:val="20"/>
          <w:lang w:val="cs-CZ"/>
        </w:rPr>
        <w:t xml:space="preserve"> </w:t>
      </w:r>
    </w:p>
    <w:p w14:paraId="6F4CEFD0" w14:textId="345B4447" w:rsidR="00B00D6D" w:rsidRDefault="00F35F5C" w:rsidP="00646DC1">
      <w:pPr>
        <w:pStyle w:val="RLTextlnkuslovan"/>
        <w:numPr>
          <w:ilvl w:val="0"/>
          <w:numId w:val="0"/>
        </w:numPr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2.2.  V důsledku aktualizace předpokládaného rozsahu MD dle odst. 2.1. tohoto Dodatku č.</w:t>
      </w:r>
      <w:r w:rsidR="00741151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1 </w:t>
      </w:r>
      <w:r w:rsidR="00741151">
        <w:rPr>
          <w:rFonts w:cs="Arial"/>
          <w:szCs w:val="20"/>
          <w:lang w:val="cs-CZ"/>
        </w:rPr>
        <w:t>je dále</w:t>
      </w:r>
      <w:r>
        <w:rPr>
          <w:rFonts w:cs="Arial"/>
          <w:szCs w:val="20"/>
          <w:lang w:val="cs-CZ"/>
        </w:rPr>
        <w:t> </w:t>
      </w:r>
      <w:r w:rsidR="001624EA">
        <w:rPr>
          <w:rFonts w:cs="Arial"/>
          <w:szCs w:val="20"/>
          <w:lang w:val="cs-CZ"/>
        </w:rPr>
        <w:t>odpovídajícím</w:t>
      </w:r>
      <w:r w:rsidR="00741151">
        <w:rPr>
          <w:rFonts w:cs="Arial"/>
          <w:szCs w:val="20"/>
          <w:lang w:val="cs-CZ"/>
        </w:rPr>
        <w:t xml:space="preserve"> způsobem </w:t>
      </w:r>
      <w:r w:rsidRPr="00501E99">
        <w:rPr>
          <w:rFonts w:cs="Arial"/>
          <w:szCs w:val="20"/>
          <w:lang w:val="cs-CZ"/>
        </w:rPr>
        <w:t>nav</w:t>
      </w:r>
      <w:r w:rsidR="00741151">
        <w:rPr>
          <w:rFonts w:cs="Arial"/>
          <w:szCs w:val="20"/>
          <w:lang w:val="cs-CZ"/>
        </w:rPr>
        <w:t>yšován</w:t>
      </w:r>
      <w:r w:rsidR="001624EA" w:rsidRPr="00501E99">
        <w:rPr>
          <w:rFonts w:cs="Arial"/>
          <w:szCs w:val="20"/>
          <w:lang w:val="cs-CZ"/>
        </w:rPr>
        <w:t xml:space="preserve"> </w:t>
      </w:r>
      <w:r w:rsidRPr="00501E99">
        <w:rPr>
          <w:rFonts w:cs="Arial"/>
          <w:szCs w:val="20"/>
          <w:lang w:val="cs-CZ"/>
        </w:rPr>
        <w:t>celkov</w:t>
      </w:r>
      <w:r w:rsidR="00741151">
        <w:rPr>
          <w:rFonts w:cs="Arial"/>
          <w:szCs w:val="20"/>
          <w:lang w:val="cs-CZ"/>
        </w:rPr>
        <w:t>ý</w:t>
      </w:r>
      <w:r w:rsidRPr="00501E99">
        <w:rPr>
          <w:rFonts w:cs="Arial"/>
          <w:szCs w:val="20"/>
          <w:lang w:val="cs-CZ"/>
        </w:rPr>
        <w:t xml:space="preserve"> finanční limit pro </w:t>
      </w:r>
      <w:r w:rsidR="00646DC1" w:rsidRPr="00501E99">
        <w:rPr>
          <w:rFonts w:cs="Arial"/>
          <w:szCs w:val="20"/>
          <w:lang w:val="cs-CZ"/>
        </w:rPr>
        <w:t>Sl</w:t>
      </w:r>
      <w:r w:rsidRPr="00501E99">
        <w:rPr>
          <w:rFonts w:cs="Arial"/>
          <w:szCs w:val="20"/>
          <w:lang w:val="cs-CZ"/>
        </w:rPr>
        <w:t>užby dle Dílčí smlouvy č. 1</w:t>
      </w:r>
      <w:r w:rsidR="00741151">
        <w:rPr>
          <w:rFonts w:cs="Arial"/>
          <w:szCs w:val="20"/>
          <w:lang w:val="cs-CZ"/>
        </w:rPr>
        <w:t xml:space="preserve"> viz níže:</w:t>
      </w:r>
      <w:r w:rsidR="00B00D6D">
        <w:rPr>
          <w:rFonts w:cs="Arial"/>
          <w:szCs w:val="20"/>
          <w:lang w:val="cs-CZ"/>
        </w:rPr>
        <w:t xml:space="preserve"> </w:t>
      </w:r>
    </w:p>
    <w:p w14:paraId="20F94351" w14:textId="494AF2EF" w:rsidR="00646DC1" w:rsidRPr="00741151" w:rsidRDefault="00646DC1" w:rsidP="00741151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cs="Arial"/>
          <w:lang w:val="cs-CZ"/>
        </w:rPr>
      </w:pPr>
      <w:r w:rsidRPr="00741151">
        <w:rPr>
          <w:rFonts w:cs="Arial"/>
          <w:lang w:val="cs-CZ"/>
        </w:rPr>
        <w:t xml:space="preserve">Původní hodnota závazku: </w:t>
      </w:r>
      <w:r w:rsidRPr="00741151">
        <w:rPr>
          <w:rFonts w:cs="Arial"/>
          <w:lang w:val="cs-CZ"/>
        </w:rPr>
        <w:tab/>
      </w:r>
      <w:r w:rsidRPr="00741151">
        <w:rPr>
          <w:rFonts w:cs="Arial"/>
          <w:lang w:val="cs-CZ"/>
        </w:rPr>
        <w:tab/>
        <w:t>46 970 000 Kč bez DPH</w:t>
      </w:r>
    </w:p>
    <w:p w14:paraId="0D4204C5" w14:textId="4A3E16FF" w:rsidR="00646DC1" w:rsidRPr="00741151" w:rsidRDefault="00646DC1" w:rsidP="00741151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cs="Arial"/>
          <w:lang w:val="cs-CZ"/>
        </w:rPr>
      </w:pPr>
      <w:r w:rsidRPr="00741151">
        <w:rPr>
          <w:rFonts w:cs="Arial"/>
          <w:lang w:val="cs-CZ"/>
        </w:rPr>
        <w:t xml:space="preserve">Navýšení dle § 222 odst. 4 ZZVZ: </w:t>
      </w:r>
      <w:r w:rsidR="00741151">
        <w:rPr>
          <w:rFonts w:cs="Arial"/>
          <w:lang w:val="cs-CZ"/>
        </w:rPr>
        <w:tab/>
        <w:t xml:space="preserve">  </w:t>
      </w:r>
      <w:r w:rsidRPr="00741151">
        <w:rPr>
          <w:rFonts w:cs="Arial"/>
          <w:lang w:val="cs-CZ"/>
        </w:rPr>
        <w:t>3 493 999 Kč bez DPH</w:t>
      </w:r>
    </w:p>
    <w:p w14:paraId="60FA6147" w14:textId="2632B12B" w:rsidR="00646DC1" w:rsidRPr="00741151" w:rsidRDefault="00646DC1" w:rsidP="00741151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cs="Arial"/>
          <w:lang w:val="cs-CZ"/>
        </w:rPr>
      </w:pPr>
      <w:r w:rsidRPr="00741151">
        <w:rPr>
          <w:rFonts w:cs="Arial"/>
          <w:lang w:val="cs-CZ"/>
        </w:rPr>
        <w:t xml:space="preserve">Navýšení dle § 222 odst.5 ZZVZ: </w:t>
      </w:r>
      <w:r w:rsidRPr="00741151">
        <w:rPr>
          <w:rFonts w:cs="Arial"/>
          <w:lang w:val="cs-CZ"/>
        </w:rPr>
        <w:tab/>
        <w:t>14 090 999 Kč bez DPH</w:t>
      </w:r>
    </w:p>
    <w:p w14:paraId="285FDCE8" w14:textId="4B0502F0" w:rsidR="00646DC1" w:rsidRPr="00741151" w:rsidRDefault="00646DC1" w:rsidP="00741151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cs="Arial"/>
          <w:szCs w:val="20"/>
          <w:lang w:val="cs-CZ"/>
        </w:rPr>
      </w:pPr>
      <w:r w:rsidRPr="00741151">
        <w:rPr>
          <w:rFonts w:cs="Arial"/>
          <w:lang w:val="cs-CZ"/>
        </w:rPr>
        <w:t xml:space="preserve">Celkem: </w:t>
      </w:r>
      <w:r w:rsidRPr="00741151">
        <w:rPr>
          <w:rFonts w:cs="Arial"/>
          <w:lang w:val="cs-CZ"/>
        </w:rPr>
        <w:tab/>
      </w:r>
      <w:r w:rsidRPr="00741151">
        <w:rPr>
          <w:rFonts w:cs="Arial"/>
          <w:lang w:val="cs-CZ"/>
        </w:rPr>
        <w:tab/>
      </w:r>
      <w:r w:rsidRPr="00741151">
        <w:rPr>
          <w:rFonts w:cs="Arial"/>
          <w:lang w:val="cs-CZ"/>
        </w:rPr>
        <w:tab/>
      </w:r>
      <w:r w:rsidRPr="00741151">
        <w:rPr>
          <w:rFonts w:cs="Arial"/>
          <w:lang w:val="cs-CZ"/>
        </w:rPr>
        <w:tab/>
      </w:r>
      <w:r w:rsidR="00741151">
        <w:rPr>
          <w:rFonts w:cs="Arial"/>
          <w:lang w:val="cs-CZ"/>
        </w:rPr>
        <w:tab/>
      </w:r>
      <w:r w:rsidRPr="00741151">
        <w:rPr>
          <w:rFonts w:cs="Arial"/>
          <w:lang w:val="cs-CZ"/>
        </w:rPr>
        <w:t>64 554 998 Kč bez DPH</w:t>
      </w:r>
    </w:p>
    <w:p w14:paraId="16BF3684" w14:textId="05C5B987" w:rsidR="00B00D6D" w:rsidRPr="00646DC1" w:rsidRDefault="001624EA" w:rsidP="00CE699E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.2. Dílčí smlouvy č. 1 </w:t>
      </w:r>
      <w:r w:rsidR="00CE699E">
        <w:rPr>
          <w:rFonts w:cs="Arial"/>
          <w:szCs w:val="20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7DCBE55" w14:textId="6C150B7D" w:rsidR="001624EA" w:rsidRDefault="001624EA" w:rsidP="001D67C6">
      <w:pPr>
        <w:spacing w:before="120"/>
        <w:ind w:left="567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částku </w:t>
      </w:r>
      <w:r w:rsidR="001D67C6" w:rsidRPr="001D67C6">
        <w:rPr>
          <w:rFonts w:cs="Arial"/>
          <w:b/>
          <w:bCs/>
          <w:i/>
          <w:iCs/>
          <w:szCs w:val="20"/>
          <w:lang w:eastAsia="en-US"/>
        </w:rPr>
        <w:t>64 554 998</w:t>
      </w:r>
      <w:r w:rsidRPr="001D67C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1D67C6">
        <w:rPr>
          <w:rFonts w:cs="Arial"/>
          <w:b/>
          <w:bCs/>
          <w:i/>
          <w:iCs/>
          <w:szCs w:val="20"/>
        </w:rPr>
        <w:t>Kč bez DPH</w:t>
      </w:r>
      <w:r w:rsidR="004C4ABF">
        <w:rPr>
          <w:rFonts w:cs="Arial"/>
          <w:b/>
          <w:bCs/>
          <w:i/>
          <w:iCs/>
          <w:szCs w:val="20"/>
        </w:rPr>
        <w:t>.</w:t>
      </w:r>
      <w:r w:rsidRPr="001D67C6">
        <w:rPr>
          <w:rFonts w:cs="Arial"/>
          <w:b/>
          <w:bCs/>
          <w:i/>
          <w:iCs/>
          <w:szCs w:val="20"/>
        </w:rPr>
        <w:t>“</w:t>
      </w:r>
    </w:p>
    <w:p w14:paraId="61026BBC" w14:textId="5DA87A29" w:rsidR="001530B0" w:rsidRPr="00FD3169" w:rsidRDefault="00CE699E" w:rsidP="00CE699E">
      <w:pPr>
        <w:widowControl w:val="0"/>
        <w:spacing w:before="120"/>
        <w:ind w:left="56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Smluvní strany sjednávají, že c</w:t>
      </w:r>
      <w:r w:rsidR="00FD3169" w:rsidRPr="00FD5EE9">
        <w:rPr>
          <w:rFonts w:cs="Arial"/>
          <w:szCs w:val="20"/>
          <w:lang w:eastAsia="x-none"/>
        </w:rPr>
        <w:t xml:space="preserve">ena za poskytování Služeb </w:t>
      </w:r>
      <w:r w:rsidR="00FD3169">
        <w:rPr>
          <w:rFonts w:cs="Arial"/>
          <w:szCs w:val="20"/>
          <w:lang w:eastAsia="x-none"/>
        </w:rPr>
        <w:t xml:space="preserve">dle odst. 3.1. Dílčí smlouvy č. 1 </w:t>
      </w:r>
      <w:r w:rsidR="00FD3169" w:rsidRPr="00793B3D">
        <w:rPr>
          <w:rFonts w:cs="Arial"/>
          <w:szCs w:val="20"/>
          <w:lang w:eastAsia="x-none"/>
        </w:rPr>
        <w:t>za</w:t>
      </w:r>
      <w:r w:rsidR="008672A4">
        <w:rPr>
          <w:rFonts w:cs="Arial"/>
          <w:szCs w:val="20"/>
          <w:lang w:eastAsia="x-none"/>
        </w:rPr>
        <w:t> </w:t>
      </w:r>
      <w:r w:rsidR="00FD3169" w:rsidRPr="00793B3D">
        <w:rPr>
          <w:rFonts w:cs="Arial"/>
          <w:szCs w:val="20"/>
          <w:lang w:eastAsia="x-none"/>
        </w:rPr>
        <w:t xml:space="preserve">jeden </w:t>
      </w:r>
      <w:r w:rsidR="00FD3169">
        <w:rPr>
          <w:rFonts w:cs="Arial"/>
          <w:szCs w:val="20"/>
          <w:lang w:eastAsia="x-none"/>
        </w:rPr>
        <w:t xml:space="preserve">MD </w:t>
      </w:r>
      <w:r w:rsidR="00FD3169" w:rsidRPr="00793B3D">
        <w:rPr>
          <w:rFonts w:cs="Arial"/>
          <w:szCs w:val="20"/>
          <w:lang w:eastAsia="x-none"/>
        </w:rPr>
        <w:t>s ohledem na</w:t>
      </w:r>
      <w:r w:rsidR="00501E99">
        <w:rPr>
          <w:rFonts w:cs="Arial"/>
          <w:szCs w:val="20"/>
          <w:lang w:eastAsia="x-none"/>
        </w:rPr>
        <w:t> </w:t>
      </w:r>
      <w:r w:rsidR="00FD3169" w:rsidRPr="00793B3D">
        <w:rPr>
          <w:rFonts w:cs="Arial"/>
          <w:szCs w:val="20"/>
          <w:lang w:eastAsia="x-none"/>
        </w:rPr>
        <w:t>požadovaný typ dílčího plnění v rámci objednané Služby v Kč bez</w:t>
      </w:r>
      <w:r w:rsidR="00FD3169">
        <w:rPr>
          <w:rFonts w:cs="Arial"/>
          <w:szCs w:val="20"/>
          <w:lang w:eastAsia="x-none"/>
        </w:rPr>
        <w:t xml:space="preserve"> DPH </w:t>
      </w:r>
      <w:r>
        <w:rPr>
          <w:rFonts w:cs="Arial"/>
          <w:szCs w:val="20"/>
          <w:lang w:eastAsia="x-none"/>
        </w:rPr>
        <w:t>zůstává beze změny</w:t>
      </w:r>
      <w:r w:rsidR="00FD3169">
        <w:rPr>
          <w:rFonts w:cs="Arial"/>
          <w:szCs w:val="20"/>
          <w:lang w:eastAsia="x-none"/>
        </w:rPr>
        <w:t xml:space="preserve">. </w:t>
      </w:r>
    </w:p>
    <w:p w14:paraId="3BD681D7" w14:textId="322A4390" w:rsidR="00E720C5" w:rsidRDefault="00E720C5" w:rsidP="00CE699E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2F6CE8B2" w:rsidR="004645DE" w:rsidRDefault="00D41D8D" w:rsidP="00CE699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mlouva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</w:t>
      </w:r>
      <w:r w:rsidR="002A1368">
        <w:rPr>
          <w:rFonts w:cs="Arial"/>
          <w:szCs w:val="22"/>
          <w:lang w:val="cs-CZ" w:eastAsia="en-US"/>
        </w:rPr>
        <w:t xml:space="preserve">č. 1 </w:t>
      </w:r>
      <w:r w:rsidR="004645DE" w:rsidRPr="00333042">
        <w:rPr>
          <w:rFonts w:cs="Arial"/>
          <w:szCs w:val="22"/>
          <w:lang w:eastAsia="en-US"/>
        </w:rPr>
        <w:t xml:space="preserve">zůstává mimo </w:t>
      </w:r>
      <w:r w:rsidR="00CE699E">
        <w:rPr>
          <w:rFonts w:cs="Arial"/>
          <w:szCs w:val="22"/>
          <w:lang w:val="cs-CZ" w:eastAsia="en-US"/>
        </w:rPr>
        <w:t xml:space="preserve">ujednání výslovně sjednaná tímto Dodatkem </w:t>
      </w:r>
      <w:r w:rsidR="00A046DD" w:rsidRPr="00333042">
        <w:rPr>
          <w:rFonts w:cs="Arial"/>
          <w:szCs w:val="22"/>
          <w:lang w:val="cs-CZ" w:eastAsia="en-US"/>
        </w:rPr>
        <w:t>č. 1</w:t>
      </w:r>
      <w:r w:rsidR="004645DE" w:rsidRPr="00333042">
        <w:rPr>
          <w:rFonts w:cs="Arial"/>
          <w:szCs w:val="22"/>
          <w:lang w:eastAsia="en-US"/>
        </w:rPr>
        <w:t xml:space="preserve"> nedotčena</w:t>
      </w:r>
      <w:r w:rsidR="00CE699E">
        <w:rPr>
          <w:rFonts w:cs="Arial"/>
          <w:szCs w:val="22"/>
          <w:lang w:val="cs-CZ" w:eastAsia="en-US"/>
        </w:rPr>
        <w:t>.</w:t>
      </w:r>
      <w:r w:rsidR="004645DE" w:rsidRPr="00333042">
        <w:rPr>
          <w:rFonts w:cs="Arial"/>
          <w:szCs w:val="22"/>
          <w:lang w:eastAsia="en-US"/>
        </w:rPr>
        <w:t xml:space="preserve"> </w:t>
      </w:r>
      <w:r w:rsidR="00CE699E">
        <w:rPr>
          <w:rFonts w:cs="Arial"/>
          <w:szCs w:val="22"/>
          <w:lang w:val="cs-CZ" w:eastAsia="en-US"/>
        </w:rPr>
        <w:t>Z</w:t>
      </w:r>
      <w:proofErr w:type="spellStart"/>
      <w:r w:rsidR="004645DE" w:rsidRPr="00333042">
        <w:rPr>
          <w:rFonts w:cs="Arial"/>
          <w:szCs w:val="22"/>
          <w:lang w:eastAsia="en-US"/>
        </w:rPr>
        <w:t>nění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tohoto Dodatku </w:t>
      </w:r>
      <w:r w:rsidR="00A046DD" w:rsidRPr="00333042">
        <w:rPr>
          <w:rFonts w:cs="Arial"/>
          <w:szCs w:val="22"/>
          <w:lang w:val="cs-CZ" w:eastAsia="en-US"/>
        </w:rPr>
        <w:t xml:space="preserve">č. 1 </w:t>
      </w:r>
      <w:r w:rsidR="004645DE" w:rsidRPr="00333042">
        <w:rPr>
          <w:rFonts w:cs="Arial"/>
          <w:szCs w:val="22"/>
          <w:lang w:eastAsia="en-US"/>
        </w:rPr>
        <w:t xml:space="preserve">tvoří úplnou dohodu </w:t>
      </w:r>
      <w:r w:rsidR="00CE699E">
        <w:rPr>
          <w:rFonts w:cs="Arial"/>
          <w:szCs w:val="22"/>
          <w:lang w:val="cs-CZ" w:eastAsia="en-US"/>
        </w:rPr>
        <w:t xml:space="preserve">Smluvních stran </w:t>
      </w:r>
      <w:r w:rsidR="004645DE" w:rsidRPr="00333042">
        <w:rPr>
          <w:rFonts w:cs="Arial"/>
          <w:szCs w:val="22"/>
          <w:lang w:eastAsia="en-US"/>
        </w:rPr>
        <w:t xml:space="preserve">o předmětu a rozsahu změny </w:t>
      </w:r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mlouvy</w:t>
      </w:r>
      <w:proofErr w:type="spellEnd"/>
      <w:r w:rsidR="002A1368">
        <w:rPr>
          <w:rFonts w:cs="Arial"/>
          <w:szCs w:val="22"/>
          <w:lang w:val="cs-CZ" w:eastAsia="en-US"/>
        </w:rPr>
        <w:t xml:space="preserve"> č. 1</w:t>
      </w:r>
      <w:r w:rsidR="004645DE" w:rsidRPr="00333042">
        <w:rPr>
          <w:rFonts w:cs="Arial"/>
          <w:szCs w:val="22"/>
          <w:lang w:eastAsia="en-US"/>
        </w:rPr>
        <w:t>.</w:t>
      </w:r>
    </w:p>
    <w:p w14:paraId="56C6DD5C" w14:textId="175504A3" w:rsidR="009B3755" w:rsidRDefault="009B3755" w:rsidP="00CE699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Změna Dílčí smlouvy č. 1</w:t>
      </w:r>
      <w:r w:rsidRPr="009B3755">
        <w:rPr>
          <w:rFonts w:cs="Arial"/>
          <w:szCs w:val="22"/>
          <w:lang w:val="cs-CZ" w:eastAsia="en-US"/>
        </w:rPr>
        <w:t xml:space="preserve"> a s</w:t>
      </w:r>
      <w:r>
        <w:rPr>
          <w:rFonts w:cs="Arial"/>
          <w:szCs w:val="22"/>
          <w:lang w:val="cs-CZ" w:eastAsia="en-US"/>
        </w:rPr>
        <w:t xml:space="preserve"> ní </w:t>
      </w:r>
      <w:r w:rsidRPr="009B3755">
        <w:rPr>
          <w:rFonts w:cs="Arial"/>
          <w:szCs w:val="22"/>
          <w:lang w:val="cs-CZ" w:eastAsia="en-US"/>
        </w:rPr>
        <w:t xml:space="preserve">související úpravy aplikace </w:t>
      </w:r>
      <w:proofErr w:type="spellStart"/>
      <w:r w:rsidRPr="009B3755">
        <w:rPr>
          <w:rFonts w:cs="Arial"/>
          <w:szCs w:val="22"/>
          <w:lang w:val="cs-CZ" w:eastAsia="en-US"/>
        </w:rPr>
        <w:t>JeF</w:t>
      </w:r>
      <w:proofErr w:type="spellEnd"/>
      <w:r w:rsidRPr="009B3755">
        <w:rPr>
          <w:rFonts w:cs="Arial"/>
          <w:szCs w:val="22"/>
          <w:lang w:val="cs-CZ" w:eastAsia="en-US"/>
        </w:rPr>
        <w:t xml:space="preserve"> jsou součástí investičního záměru č. 013V110009337.</w:t>
      </w:r>
    </w:p>
    <w:p w14:paraId="28EE42EE" w14:textId="040BE117" w:rsidR="00CE699E" w:rsidRPr="00CE699E" w:rsidRDefault="00CE699E" w:rsidP="00CE699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 xml:space="preserve">Tento Dodatek č. 1 je uzavírán v souladu s </w:t>
      </w:r>
      <w:r w:rsidRPr="004D43BE">
        <w:rPr>
          <w:rFonts w:cs="Arial"/>
          <w:szCs w:val="22"/>
          <w:lang w:val="cs-CZ" w:eastAsia="en-US"/>
        </w:rPr>
        <w:t>§ 222 odst. 4 a odst. 5</w:t>
      </w:r>
      <w:r w:rsidRPr="001519C8">
        <w:rPr>
          <w:rFonts w:cs="Arial"/>
          <w:szCs w:val="22"/>
          <w:lang w:val="cs-CZ" w:eastAsia="en-US"/>
        </w:rPr>
        <w:t xml:space="preserve"> ZZVZ</w:t>
      </w:r>
      <w:r>
        <w:rPr>
          <w:rFonts w:cs="Arial"/>
          <w:szCs w:val="22"/>
          <w:lang w:val="cs-CZ" w:eastAsia="en-US"/>
        </w:rPr>
        <w:t xml:space="preserve"> s tím, že uzavření tohoto Dodatku č. 1 není </w:t>
      </w:r>
      <w:r w:rsidRPr="004D43BE">
        <w:rPr>
          <w:rFonts w:cs="Arial"/>
          <w:szCs w:val="22"/>
          <w:lang w:val="cs-CZ" w:eastAsia="en-US"/>
        </w:rPr>
        <w:t>podstatnou změnu závazku z</w:t>
      </w:r>
      <w:r>
        <w:rPr>
          <w:rFonts w:cs="Arial"/>
          <w:szCs w:val="22"/>
          <w:lang w:val="cs-CZ" w:eastAsia="en-US"/>
        </w:rPr>
        <w:t>e</w:t>
      </w:r>
      <w:r w:rsidRPr="004D43BE">
        <w:rPr>
          <w:rFonts w:cs="Arial"/>
          <w:szCs w:val="22"/>
          <w:lang w:val="cs-CZ" w:eastAsia="en-US"/>
        </w:rPr>
        <w:t xml:space="preserve"> smlouvy</w:t>
      </w:r>
      <w:r>
        <w:rPr>
          <w:rFonts w:cs="Arial"/>
          <w:szCs w:val="22"/>
          <w:lang w:val="cs-CZ" w:eastAsia="en-US"/>
        </w:rPr>
        <w:t xml:space="preserve"> ve smyslu ZZVZ</w:t>
      </w:r>
      <w:r w:rsidRPr="004D43BE">
        <w:rPr>
          <w:rFonts w:cs="Arial"/>
          <w:szCs w:val="22"/>
          <w:lang w:val="cs-CZ" w:eastAsia="en-US"/>
        </w:rPr>
        <w:t xml:space="preserve">. </w:t>
      </w:r>
      <w:r w:rsidRPr="001519C8">
        <w:rPr>
          <w:rFonts w:cs="Arial"/>
          <w:szCs w:val="22"/>
          <w:lang w:val="cs-CZ" w:eastAsia="en-US"/>
        </w:rPr>
        <w:t xml:space="preserve">Navýšení celkového finančního limitu </w:t>
      </w:r>
      <w:r>
        <w:rPr>
          <w:rFonts w:cs="Arial"/>
          <w:szCs w:val="22"/>
          <w:lang w:val="cs-CZ" w:eastAsia="en-US"/>
        </w:rPr>
        <w:t>Dílčí smlouvy č. 1 je</w:t>
      </w:r>
      <w:r w:rsidRPr="001519C8">
        <w:rPr>
          <w:rFonts w:cs="Arial"/>
          <w:szCs w:val="22"/>
          <w:lang w:val="cs-CZ" w:eastAsia="en-US"/>
        </w:rPr>
        <w:t xml:space="preserve"> stanoveno v souladu s § 222 odst. 4 ZZVZ (tj. navýšení je nižší než je finanční limit pro nadlimitní veřejnou zakázku a nižší než 10</w:t>
      </w:r>
      <w:r>
        <w:rPr>
          <w:rFonts w:cs="Arial"/>
          <w:szCs w:val="22"/>
          <w:lang w:val="cs-CZ" w:eastAsia="en-US"/>
        </w:rPr>
        <w:t xml:space="preserve"> </w:t>
      </w:r>
      <w:r w:rsidRPr="001519C8">
        <w:rPr>
          <w:rFonts w:cs="Arial"/>
          <w:szCs w:val="22"/>
          <w:lang w:val="cs-CZ" w:eastAsia="en-US"/>
        </w:rPr>
        <w:t>% původní hodnoty závazku), jakož i dále v souladu s § 222 odst. 9 ZZVZ (tj. navýšení nepřesahuje 30</w:t>
      </w:r>
      <w:r>
        <w:rPr>
          <w:rFonts w:cs="Arial"/>
          <w:szCs w:val="22"/>
          <w:lang w:val="cs-CZ" w:eastAsia="en-US"/>
        </w:rPr>
        <w:t xml:space="preserve"> </w:t>
      </w:r>
      <w:r w:rsidRPr="001519C8">
        <w:rPr>
          <w:rFonts w:cs="Arial"/>
          <w:szCs w:val="22"/>
          <w:lang w:val="cs-CZ" w:eastAsia="en-US"/>
        </w:rPr>
        <w:t>% původní hodnoty závazku u změny dle § 222 odst. 5 ZZVZ).</w:t>
      </w:r>
    </w:p>
    <w:p w14:paraId="6EEF7D35" w14:textId="670FA94A" w:rsidR="004645DE" w:rsidRDefault="004645DE" w:rsidP="00CE699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CE699E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CE699E">
        <w:rPr>
          <w:rFonts w:cs="Arial"/>
          <w:lang w:val="cs-CZ"/>
        </w:rPr>
        <w:t>z</w:t>
      </w:r>
      <w:proofErr w:type="spellStart"/>
      <w:r w:rsidR="00CE699E" w:rsidRPr="004D43BE">
        <w:rPr>
          <w:rFonts w:cs="Arial"/>
        </w:rPr>
        <w:t>ákon</w:t>
      </w:r>
      <w:proofErr w:type="spellEnd"/>
      <w:r w:rsidR="00CE699E" w:rsidRPr="004D43BE">
        <w:rPr>
          <w:rFonts w:cs="Arial"/>
        </w:rPr>
        <w:t xml:space="preserve"> o zvláštních podmínkách účinnosti některých smluv, uveřejňování těchto smluv a o registru smluv (zákon o</w:t>
      </w:r>
      <w:r w:rsidR="00CE699E">
        <w:rPr>
          <w:rFonts w:cs="Arial"/>
          <w:lang w:val="cs-CZ"/>
        </w:rPr>
        <w:t> </w:t>
      </w:r>
      <w:r w:rsidR="00CE699E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CE699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354A18EF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24638682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7EBDED68" w14:textId="17551219" w:rsidR="00E720C5" w:rsidRDefault="00E720C5" w:rsidP="00CE699E">
      <w:pPr>
        <w:pStyle w:val="RLProhlensmluvnchstran"/>
        <w:widowControl w:val="0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4331B1E4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74BDB339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675DEBFA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4A5E42FC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3B48C2F4" w14:textId="77777777" w:rsidR="00723163" w:rsidRDefault="00723163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34C3C678" w14:textId="77777777" w:rsidR="008672A4" w:rsidRDefault="008672A4" w:rsidP="00CE699E">
      <w:pPr>
        <w:pStyle w:val="RLProhlensmluvnchstran"/>
        <w:widowControl w:val="0"/>
        <w:spacing w:after="0"/>
        <w:rPr>
          <w:rFonts w:cs="Arial"/>
          <w:lang w:val="cs-CZ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723163">
        <w:tc>
          <w:tcPr>
            <w:tcW w:w="4644" w:type="dxa"/>
          </w:tcPr>
          <w:p w14:paraId="635C39E6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723163">
        <w:tc>
          <w:tcPr>
            <w:tcW w:w="4644" w:type="dxa"/>
          </w:tcPr>
          <w:p w14:paraId="16B5FF4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7C2443E" w14:textId="77777777" w:rsidR="00D41D8D" w:rsidRPr="00A16B28" w:rsidRDefault="00D41D8D" w:rsidP="002A136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52C0D2BE" w14:textId="77777777" w:rsidR="00D41D8D" w:rsidRPr="00796AF1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534" w:type="dxa"/>
          </w:tcPr>
          <w:p w14:paraId="4A61A328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7D344F3" w14:textId="6375F22F" w:rsidR="00D41D8D" w:rsidRDefault="00D41D8D" w:rsidP="00624CF0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0F08F51F" w14:textId="77777777" w:rsidR="00D41D8D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D41D8D" w14:paraId="5C194A6E" w14:textId="77777777" w:rsidTr="00723163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723163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723163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18E720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5912BAF" w14:textId="451E144B" w:rsidR="00D41D8D" w:rsidRDefault="002A1368" w:rsidP="00624CF0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D41D8D"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 w:rsidR="00D41D8D">
              <w:rPr>
                <w:rFonts w:cs="Arial"/>
                <w:b/>
                <w:bCs/>
                <w:szCs w:val="20"/>
              </w:rPr>
              <w:t>Financial</w:t>
            </w:r>
            <w:proofErr w:type="spellEnd"/>
            <w:r w:rsidR="00D41D8D">
              <w:rPr>
                <w:rFonts w:cs="Arial"/>
                <w:b/>
                <w:bCs/>
                <w:szCs w:val="20"/>
              </w:rPr>
              <w:t xml:space="preserve"> Systems s.r.o.</w:t>
            </w:r>
          </w:p>
          <w:p w14:paraId="0D45D077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sectPr w:rsidR="000E07D5" w:rsidSect="00723163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E0C" w14:textId="77777777" w:rsidR="0047053E" w:rsidRDefault="0047053E">
      <w:r>
        <w:separator/>
      </w:r>
    </w:p>
  </w:endnote>
  <w:endnote w:type="continuationSeparator" w:id="0">
    <w:p w14:paraId="5FEDF46F" w14:textId="77777777" w:rsidR="0047053E" w:rsidRDefault="0047053E">
      <w:r>
        <w:continuationSeparator/>
      </w:r>
    </w:p>
  </w:endnote>
  <w:endnote w:type="continuationNotice" w:id="1">
    <w:p w14:paraId="60F01401" w14:textId="77777777" w:rsidR="0047053E" w:rsidRDefault="00470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9CD9" w14:textId="77777777" w:rsidR="0047053E" w:rsidRDefault="0047053E">
      <w:r>
        <w:separator/>
      </w:r>
    </w:p>
  </w:footnote>
  <w:footnote w:type="continuationSeparator" w:id="0">
    <w:p w14:paraId="449A5634" w14:textId="77777777" w:rsidR="0047053E" w:rsidRDefault="0047053E">
      <w:r>
        <w:continuationSeparator/>
      </w:r>
    </w:p>
  </w:footnote>
  <w:footnote w:type="continuationNotice" w:id="1">
    <w:p w14:paraId="7B63E953" w14:textId="77777777" w:rsidR="0047053E" w:rsidRDefault="00470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15C6DCA3" w:rsidR="000F2A45" w:rsidRPr="009B50EF" w:rsidRDefault="002D7C79" w:rsidP="00040C60">
    <w:pPr>
      <w:pStyle w:val="Zhlav"/>
      <w:jc w:val="center"/>
    </w:pPr>
    <w:proofErr w:type="spellStart"/>
    <w:r w:rsidRPr="009B50EF">
      <w:rPr>
        <w:lang w:val="en-US"/>
      </w:rPr>
      <w:t>Dodatek</w:t>
    </w:r>
    <w:proofErr w:type="spellEnd"/>
    <w:r w:rsidRPr="009B50EF">
      <w:rPr>
        <w:lang w:val="en-US"/>
      </w:rPr>
      <w:t xml:space="preserve"> č. 1 k</w:t>
    </w:r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Dílčí</w:t>
    </w:r>
    <w:proofErr w:type="spellEnd"/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smlouvě</w:t>
    </w:r>
    <w:proofErr w:type="spellEnd"/>
    <w:r w:rsidR="00040C60">
      <w:rPr>
        <w:lang w:val="en-US"/>
      </w:rPr>
      <w:t xml:space="preserve"> č. 1 o </w:t>
    </w:r>
    <w:proofErr w:type="spellStart"/>
    <w:r w:rsidR="00040C60">
      <w:rPr>
        <w:lang w:val="en-US"/>
      </w:rPr>
      <w:t>poskytování</w:t>
    </w:r>
    <w:proofErr w:type="spellEnd"/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služeb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6373C4"/>
    <w:multiLevelType w:val="multilevel"/>
    <w:tmpl w:val="B75236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8" w:hanging="360"/>
      </w:p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C5386B4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  <w:rPr>
        <w:i/>
        <w:iCs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08F4BD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96C40"/>
    <w:multiLevelType w:val="multilevel"/>
    <w:tmpl w:val="623E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623EC"/>
    <w:multiLevelType w:val="multilevel"/>
    <w:tmpl w:val="D4CAF8A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5B340B8"/>
    <w:multiLevelType w:val="multilevel"/>
    <w:tmpl w:val="A5F2E2C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5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341247268">
    <w:abstractNumId w:val="12"/>
    <w:lvlOverride w:ilvl="0">
      <w:lvl w:ilvl="0">
        <w:numFmt w:val="lowerLetter"/>
        <w:lvlText w:val="%1."/>
        <w:lvlJc w:val="left"/>
      </w:lvl>
    </w:lvlOverride>
  </w:num>
  <w:num w:numId="14" w16cid:durableId="341247268">
    <w:abstractNumId w:val="12"/>
    <w:lvlOverride w:ilvl="0">
      <w:lvl w:ilvl="0">
        <w:numFmt w:val="lowerLetter"/>
        <w:lvlText w:val="%1."/>
        <w:lvlJc w:val="left"/>
      </w:lvl>
    </w:lvlOverride>
  </w:num>
  <w:num w:numId="15" w16cid:durableId="341247268">
    <w:abstractNumId w:val="12"/>
    <w:lvlOverride w:ilvl="0">
      <w:lvl w:ilvl="0">
        <w:numFmt w:val="lowerLetter"/>
        <w:lvlText w:val="%1."/>
        <w:lvlJc w:val="left"/>
      </w:lvl>
    </w:lvlOverride>
  </w:num>
  <w:num w:numId="16" w16cid:durableId="341247268">
    <w:abstractNumId w:val="12"/>
    <w:lvlOverride w:ilvl="0">
      <w:lvl w:ilvl="0">
        <w:numFmt w:val="lowerLetter"/>
        <w:lvlText w:val="%1."/>
        <w:lvlJc w:val="left"/>
      </w:lvl>
    </w:lvlOverride>
  </w:num>
  <w:num w:numId="17" w16cid:durableId="341247268">
    <w:abstractNumId w:val="12"/>
    <w:lvlOverride w:ilvl="0">
      <w:lvl w:ilvl="0">
        <w:numFmt w:val="lowerLetter"/>
        <w:lvlText w:val="%1."/>
        <w:lvlJc w:val="left"/>
      </w:lvl>
    </w:lvlOverride>
  </w:num>
  <w:num w:numId="18" w16cid:durableId="298340009">
    <w:abstractNumId w:val="11"/>
  </w:num>
  <w:num w:numId="19" w16cid:durableId="2092776053">
    <w:abstractNumId w:val="2"/>
  </w:num>
  <w:num w:numId="20" w16cid:durableId="1110392494">
    <w:abstractNumId w:val="3"/>
  </w:num>
  <w:num w:numId="21" w16cid:durableId="347144447">
    <w:abstractNumId w:val="14"/>
  </w:num>
  <w:num w:numId="22" w16cid:durableId="119160377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F55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A84"/>
    <w:rsid w:val="00176DF6"/>
    <w:rsid w:val="00177094"/>
    <w:rsid w:val="001779DE"/>
    <w:rsid w:val="00177AAF"/>
    <w:rsid w:val="001805E4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86B"/>
    <w:rsid w:val="00206A4E"/>
    <w:rsid w:val="00206DDC"/>
    <w:rsid w:val="00207962"/>
    <w:rsid w:val="002108FE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323E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2975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5FEF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0EBE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53E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4ABF"/>
    <w:rsid w:val="004C5158"/>
    <w:rsid w:val="004C6358"/>
    <w:rsid w:val="004C6680"/>
    <w:rsid w:val="004C6D21"/>
    <w:rsid w:val="004C6FC0"/>
    <w:rsid w:val="004D034B"/>
    <w:rsid w:val="004D2521"/>
    <w:rsid w:val="004D3347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F66"/>
    <w:rsid w:val="004F50A1"/>
    <w:rsid w:val="004F587B"/>
    <w:rsid w:val="004F770A"/>
    <w:rsid w:val="005013DA"/>
    <w:rsid w:val="00501A76"/>
    <w:rsid w:val="00501D6A"/>
    <w:rsid w:val="00501E99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1F6A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163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151"/>
    <w:rsid w:val="00741208"/>
    <w:rsid w:val="0074310F"/>
    <w:rsid w:val="00743B99"/>
    <w:rsid w:val="0074505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679C1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6B0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46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25838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2A4"/>
    <w:rsid w:val="0086785C"/>
    <w:rsid w:val="00867CA4"/>
    <w:rsid w:val="00867EF9"/>
    <w:rsid w:val="00870320"/>
    <w:rsid w:val="008717C7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BB0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35DC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5C6E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55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308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5167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C58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3013"/>
    <w:rsid w:val="00B44944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99E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908"/>
    <w:rsid w:val="00D275D6"/>
    <w:rsid w:val="00D3261D"/>
    <w:rsid w:val="00D338C9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5DDD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AEC"/>
    <w:rsid w:val="00E06E65"/>
    <w:rsid w:val="00E1044C"/>
    <w:rsid w:val="00E1156D"/>
    <w:rsid w:val="00E12D06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B55"/>
    <w:rsid w:val="00EA0E9C"/>
    <w:rsid w:val="00EA3D33"/>
    <w:rsid w:val="00EA5D4F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110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4009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paragraph" w:styleId="Normlnweb">
    <w:name w:val="Normal (Web)"/>
    <w:basedOn w:val="Normln"/>
    <w:uiPriority w:val="99"/>
    <w:unhideWhenUsed/>
    <w:rsid w:val="00A0630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10746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2024-03-13T09:02:00Z</dcterms:created>
  <dcterms:modified xsi:type="dcterms:W3CDTF">2024-05-10T08:30:00Z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