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07B37A4E" w:rsidR="009F3720" w:rsidRPr="00AD1275" w:rsidRDefault="002147D8" w:rsidP="00AE2DC5">
      <w:pPr>
        <w:jc w:val="center"/>
        <w:rPr>
          <w:rFonts w:cs="Arial"/>
          <w:b/>
          <w:sz w:val="28"/>
          <w:szCs w:val="28"/>
        </w:rPr>
      </w:pPr>
      <w:r w:rsidRPr="00AD1275">
        <w:rPr>
          <w:rFonts w:cs="Arial"/>
          <w:b/>
          <w:sz w:val="28"/>
          <w:szCs w:val="28"/>
        </w:rPr>
        <w:t xml:space="preserve"> </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61B6A883"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E44CDD">
        <w:rPr>
          <w:rFonts w:cs="Arial"/>
          <w:b/>
          <w:szCs w:val="22"/>
        </w:rPr>
        <w:t>pro Středočeský kraj a hlavní město Praha</w:t>
      </w:r>
    </w:p>
    <w:p w14:paraId="28C2B3DF" w14:textId="726E2426" w:rsidR="00AC144C" w:rsidRPr="004D5F78" w:rsidRDefault="00AC144C" w:rsidP="00AD5D34">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 xml:space="preserve">Adresa: </w:t>
      </w:r>
      <w:r w:rsidR="00E36B9F">
        <w:rPr>
          <w:rFonts w:cs="Arial"/>
          <w:b/>
          <w:szCs w:val="22"/>
        </w:rPr>
        <w:t>náměstí Winstona Churchilla 1800/2, 130 00 Praha 3 - Žižkov</w:t>
      </w:r>
    </w:p>
    <w:p w14:paraId="507B3E5D" w14:textId="32D779DD"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E36B9F">
        <w:rPr>
          <w:rFonts w:cs="Arial"/>
          <w:b/>
          <w:szCs w:val="22"/>
        </w:rPr>
        <w:t>Mělník</w:t>
      </w:r>
    </w:p>
    <w:p w14:paraId="23145326" w14:textId="47A8CA2B"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916885">
        <w:rPr>
          <w:rFonts w:cs="Arial"/>
          <w:b/>
          <w:szCs w:val="22"/>
        </w:rPr>
        <w:t>: Bezručova 109, 276 01 Mělník</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7826DBC0"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916885">
        <w:rPr>
          <w:rFonts w:eastAsia="Lucida Sans Unicode" w:cs="Arial"/>
          <w:szCs w:val="22"/>
        </w:rPr>
        <w:t>Ing. Jiřím Veselým</w:t>
      </w:r>
      <w:r w:rsidR="00916885" w:rsidRPr="00042DB1">
        <w:rPr>
          <w:rFonts w:eastAsia="Lucida Sans Unicode" w:cs="Arial"/>
          <w:szCs w:val="22"/>
        </w:rPr>
        <w:t xml:space="preserve">, </w:t>
      </w:r>
      <w:r w:rsidRPr="00042DB1">
        <w:rPr>
          <w:rFonts w:eastAsia="Lucida Sans Unicode" w:cs="Arial"/>
          <w:szCs w:val="22"/>
        </w:rPr>
        <w:t>ředitel</w:t>
      </w:r>
      <w:r w:rsidR="00042DB1" w:rsidRPr="00042DB1">
        <w:rPr>
          <w:rFonts w:eastAsia="Lucida Sans Unicode" w:cs="Arial"/>
          <w:szCs w:val="22"/>
        </w:rPr>
        <w:t>em</w:t>
      </w:r>
      <w:r w:rsidRPr="00042DB1">
        <w:rPr>
          <w:rFonts w:eastAsia="Lucida Sans Unicode" w:cs="Arial"/>
          <w:szCs w:val="22"/>
        </w:rPr>
        <w:t xml:space="preserve"> KPÚ</w:t>
      </w:r>
    </w:p>
    <w:p w14:paraId="1FAA8342" w14:textId="694FFA0B"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A21EC6">
        <w:rPr>
          <w:rFonts w:eastAsia="Lucida Sans Unicode" w:cs="Arial"/>
          <w:szCs w:val="22"/>
        </w:rPr>
        <w:t>Ing. Jiří Veselý, ředitel KPÚ</w:t>
      </w:r>
    </w:p>
    <w:p w14:paraId="4B2974BB" w14:textId="70F8C6E0" w:rsidR="00AD5D34" w:rsidRPr="004D5F78" w:rsidRDefault="00AD5D34" w:rsidP="00847518">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A21EC6">
        <w:rPr>
          <w:rFonts w:eastAsia="Lucida Sans Unicode" w:cs="Arial"/>
          <w:snapToGrid w:val="0"/>
          <w:szCs w:val="22"/>
        </w:rPr>
        <w:t>Bc. Jana Machulková DiS., Pobočka Mělník</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70CF0970"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r w:rsidR="00554F69" w:rsidRPr="00554F69">
        <w:rPr>
          <w:rFonts w:eastAsia="Lucida Sans Unicode" w:cs="Arial"/>
          <w:szCs w:val="22"/>
        </w:rPr>
        <w:t>+420 777 864 422</w:t>
      </w:r>
      <w:r w:rsidRPr="004D5F78">
        <w:rPr>
          <w:rFonts w:eastAsia="Lucida Sans Unicode" w:cs="Arial"/>
          <w:szCs w:val="22"/>
        </w:rPr>
        <w:tab/>
      </w:r>
      <w:r w:rsidRPr="004D5F78">
        <w:rPr>
          <w:rFonts w:eastAsia="Lucida Sans Unicode" w:cs="Arial"/>
          <w:szCs w:val="22"/>
        </w:rPr>
        <w:tab/>
        <w:t xml:space="preserve"> </w:t>
      </w:r>
    </w:p>
    <w:p w14:paraId="3710B4CA" w14:textId="7BC785ED"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FF744E">
        <w:rPr>
          <w:rFonts w:eastAsia="Lucida Sans Unicode" w:cs="Arial"/>
          <w:szCs w:val="22"/>
        </w:rPr>
        <w:t>j.</w:t>
      </w:r>
      <w:r w:rsidR="00FF744E" w:rsidRPr="00042DB1">
        <w:rPr>
          <w:rFonts w:eastAsia="Lucida Sans Unicode" w:cs="Arial"/>
          <w:szCs w:val="22"/>
        </w:rPr>
        <w:t>machulkova</w:t>
      </w:r>
      <w:r w:rsidRPr="00042DB1">
        <w:rPr>
          <w:rFonts w:eastAsia="Lucida Sans Unicode" w:cs="Arial"/>
          <w:szCs w:val="22"/>
        </w:rPr>
        <w:t>@spucr</w:t>
      </w:r>
      <w:r w:rsidRPr="004D5F78">
        <w:rPr>
          <w:rFonts w:eastAsia="Lucida Sans Unicode" w:cs="Arial"/>
          <w:szCs w:val="22"/>
        </w:rPr>
        <w:t>.cz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63A21A80" w:rsidR="00CF6E49" w:rsidRPr="004D5F78" w:rsidRDefault="00AC144C" w:rsidP="00AE2DC5">
      <w:pPr>
        <w:rPr>
          <w:rFonts w:cs="Arial"/>
          <w:b/>
          <w:bCs/>
          <w:snapToGrid w:val="0"/>
          <w:szCs w:val="22"/>
          <w:lang w:val="en-US"/>
        </w:rPr>
      </w:pPr>
      <w:proofErr w:type="spellStart"/>
      <w:r w:rsidRPr="00A3678B">
        <w:rPr>
          <w:rFonts w:cs="Arial"/>
          <w:b/>
          <w:bCs/>
          <w:snapToGrid w:val="0"/>
          <w:szCs w:val="22"/>
          <w:lang w:val="en-US"/>
        </w:rPr>
        <w:t>Jméno</w:t>
      </w:r>
      <w:proofErr w:type="spellEnd"/>
      <w:r w:rsidRPr="00A3678B">
        <w:rPr>
          <w:rFonts w:cs="Arial"/>
          <w:b/>
          <w:bCs/>
          <w:snapToGrid w:val="0"/>
          <w:szCs w:val="22"/>
          <w:lang w:val="en-US"/>
        </w:rPr>
        <w:t xml:space="preserve">:  </w:t>
      </w:r>
      <w:r w:rsidR="00A3678B" w:rsidRPr="00A3678B">
        <w:rPr>
          <w:rFonts w:cs="Arial"/>
          <w:b/>
          <w:bCs/>
          <w:snapToGrid w:val="0"/>
          <w:szCs w:val="22"/>
          <w:lang w:val="en-US"/>
        </w:rPr>
        <w:t>GEOREAL spol. s r.o.</w:t>
      </w:r>
    </w:p>
    <w:p w14:paraId="2CF910EF" w14:textId="289DB614"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proofErr w:type="spellStart"/>
      <w:r w:rsidR="00C62AFF" w:rsidRPr="00C62AFF">
        <w:rPr>
          <w:rFonts w:cs="Arial"/>
          <w:snapToGrid w:val="0"/>
          <w:szCs w:val="22"/>
          <w:lang w:val="en-US"/>
        </w:rPr>
        <w:t>Hálkova</w:t>
      </w:r>
      <w:proofErr w:type="spellEnd"/>
      <w:r w:rsidR="00C62AFF" w:rsidRPr="00C62AFF">
        <w:rPr>
          <w:rFonts w:cs="Arial"/>
          <w:snapToGrid w:val="0"/>
          <w:szCs w:val="22"/>
          <w:lang w:val="en-US"/>
        </w:rPr>
        <w:t xml:space="preserve"> 12, 301 00 </w:t>
      </w:r>
      <w:proofErr w:type="spellStart"/>
      <w:r w:rsidR="00C62AFF" w:rsidRPr="00C62AFF">
        <w:rPr>
          <w:rFonts w:cs="Arial"/>
          <w:snapToGrid w:val="0"/>
          <w:szCs w:val="22"/>
          <w:lang w:val="en-US"/>
        </w:rPr>
        <w:t>Plzeň</w:t>
      </w:r>
      <w:proofErr w:type="spellEnd"/>
    </w:p>
    <w:p w14:paraId="6A0B7617" w14:textId="09E9B562"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C62AFF" w:rsidRPr="00C62AFF">
        <w:rPr>
          <w:rFonts w:cs="Arial"/>
          <w:szCs w:val="22"/>
        </w:rPr>
        <w:t>Martinem Vondráčkem, jednatelem</w:t>
      </w:r>
      <w:r w:rsidR="00C62AFF" w:rsidRPr="00C62AFF">
        <w:rPr>
          <w:rFonts w:cs="Arial"/>
          <w:szCs w:val="22"/>
          <w:highlight w:val="yellow"/>
        </w:rPr>
        <w:t xml:space="preserve"> </w:t>
      </w:r>
    </w:p>
    <w:p w14:paraId="54BE4551" w14:textId="40F9094D"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205F6B" w:rsidRPr="00205F6B">
        <w:rPr>
          <w:rFonts w:cs="Arial"/>
          <w:szCs w:val="22"/>
        </w:rPr>
        <w:t>Martin Vondráček, jednatel</w:t>
      </w:r>
      <w:r w:rsidR="00205F6B" w:rsidRPr="00205F6B">
        <w:rPr>
          <w:rFonts w:cs="Arial"/>
          <w:szCs w:val="22"/>
          <w:highlight w:val="yellow"/>
        </w:rPr>
        <w:t xml:space="preserve"> </w:t>
      </w:r>
    </w:p>
    <w:p w14:paraId="22762306" w14:textId="6B501BB0"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r w:rsidR="00207745">
        <w:rPr>
          <w:rFonts w:cs="Arial"/>
          <w:b w:val="0"/>
          <w:szCs w:val="22"/>
        </w:rPr>
        <w:t>XXXXX</w:t>
      </w:r>
      <w:r w:rsidR="00205F6B" w:rsidRPr="00205F6B">
        <w:rPr>
          <w:rFonts w:cs="Arial"/>
          <w:b w:val="0"/>
          <w:szCs w:val="22"/>
          <w:highlight w:val="yellow"/>
        </w:rPr>
        <w:t xml:space="preserve"> </w:t>
      </w:r>
    </w:p>
    <w:p w14:paraId="292A548E" w14:textId="64125688" w:rsidR="00660B9F" w:rsidRPr="002F6773" w:rsidRDefault="00CF6E49" w:rsidP="000651E8">
      <w:pPr>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511D68" w:rsidRPr="00511D68">
        <w:rPr>
          <w:rFonts w:cs="Arial"/>
          <w:szCs w:val="22"/>
        </w:rPr>
        <w:t>Česká spořitelna, a.s.</w:t>
      </w:r>
      <w:r w:rsidR="00511D68" w:rsidRPr="00511D68">
        <w:rPr>
          <w:rFonts w:cs="Arial"/>
          <w:szCs w:val="22"/>
          <w:highlight w:val="yellow"/>
        </w:rPr>
        <w:t xml:space="preserve"> </w:t>
      </w:r>
    </w:p>
    <w:p w14:paraId="57FA87FA" w14:textId="0AF19C5D" w:rsidR="00CF6E49" w:rsidRPr="004D5F78" w:rsidRDefault="00CF6E49" w:rsidP="000651E8">
      <w:pPr>
        <w:rPr>
          <w:rFonts w:cs="Arial"/>
          <w:szCs w:val="22"/>
        </w:rPr>
      </w:pPr>
      <w:r w:rsidRPr="004D5F78">
        <w:rPr>
          <w:rFonts w:cs="Arial"/>
          <w:szCs w:val="22"/>
        </w:rPr>
        <w:lastRenderedPageBreak/>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511D68" w:rsidRPr="00511D68">
        <w:rPr>
          <w:rFonts w:cs="Arial"/>
          <w:szCs w:val="22"/>
        </w:rPr>
        <w:t>0720092329/0800</w:t>
      </w:r>
      <w:r w:rsidR="00511D68" w:rsidRPr="00511D68">
        <w:rPr>
          <w:rFonts w:cs="Arial"/>
          <w:szCs w:val="22"/>
          <w:highlight w:val="yellow"/>
        </w:rPr>
        <w:t xml:space="preserve"> </w:t>
      </w:r>
    </w:p>
    <w:p w14:paraId="413F6B18" w14:textId="3559FA8E"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C4C02" w:rsidRPr="007C4C02">
        <w:rPr>
          <w:rFonts w:cs="Arial"/>
          <w:szCs w:val="22"/>
        </w:rPr>
        <w:t>40527514 / CZ40527514 je plátcem DPH</w:t>
      </w:r>
      <w:r w:rsidR="007C4C02" w:rsidRPr="007C4C02">
        <w:rPr>
          <w:rFonts w:cs="Arial"/>
          <w:szCs w:val="22"/>
          <w:highlight w:val="yellow"/>
        </w:rPr>
        <w:t xml:space="preserve"> </w:t>
      </w:r>
    </w:p>
    <w:p w14:paraId="38FC596D" w14:textId="2CD91255" w:rsidR="00CB68CC" w:rsidRPr="002F6773" w:rsidRDefault="00CB68CC" w:rsidP="000651E8">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007C4C02" w:rsidRPr="007C4C02">
        <w:rPr>
          <w:rFonts w:cs="Arial"/>
          <w:szCs w:val="22"/>
        </w:rPr>
        <w:t>Krajského soudu v</w:t>
      </w:r>
      <w:r w:rsidR="000E286B">
        <w:rPr>
          <w:rFonts w:cs="Arial"/>
          <w:szCs w:val="22"/>
        </w:rPr>
        <w:t> </w:t>
      </w:r>
      <w:r w:rsidR="007C4C02" w:rsidRPr="007C4C02">
        <w:rPr>
          <w:rFonts w:cs="Arial"/>
          <w:szCs w:val="22"/>
        </w:rPr>
        <w:t>Plzni</w:t>
      </w:r>
      <w:r w:rsidR="000E286B">
        <w:rPr>
          <w:rFonts w:cs="Arial"/>
          <w:szCs w:val="22"/>
        </w:rPr>
        <w:t>, o</w:t>
      </w:r>
      <w:r w:rsidRPr="004D5F78">
        <w:rPr>
          <w:rFonts w:cs="Arial"/>
          <w:szCs w:val="22"/>
        </w:rPr>
        <w:t>ddíl</w:t>
      </w:r>
      <w:r w:rsidR="00233696" w:rsidRPr="004D5F78">
        <w:rPr>
          <w:rFonts w:cs="Arial"/>
          <w:szCs w:val="22"/>
        </w:rPr>
        <w:t xml:space="preserve"> </w:t>
      </w:r>
      <w:r w:rsidR="000E286B">
        <w:rPr>
          <w:rFonts w:cs="Arial"/>
          <w:szCs w:val="22"/>
        </w:rPr>
        <w:t>C,</w:t>
      </w:r>
      <w:r w:rsidR="00AB3FA8">
        <w:rPr>
          <w:rFonts w:cs="Arial"/>
          <w:szCs w:val="22"/>
        </w:rPr>
        <w:t xml:space="preserve"> </w:t>
      </w:r>
      <w:r w:rsidRPr="004D5F78">
        <w:rPr>
          <w:rFonts w:cs="Arial"/>
          <w:szCs w:val="22"/>
        </w:rPr>
        <w:t xml:space="preserve">vložka </w:t>
      </w:r>
      <w:r w:rsidR="00AB3FA8" w:rsidRPr="00AB3FA8">
        <w:rPr>
          <w:rFonts w:cs="Arial"/>
          <w:szCs w:val="22"/>
        </w:rPr>
        <w:t>1442.</w:t>
      </w:r>
      <w:r w:rsidR="00AB3FA8" w:rsidRPr="00AB3FA8">
        <w:rPr>
          <w:rFonts w:cs="Arial"/>
          <w:szCs w:val="22"/>
          <w:highlight w:val="yellow"/>
        </w:rPr>
        <w:t xml:space="preserve"> </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0455DE2E" w14:textId="77777777" w:rsidR="003732BF" w:rsidRDefault="003732BF" w:rsidP="004F64EF">
      <w:pPr>
        <w:jc w:val="both"/>
        <w:rPr>
          <w:rFonts w:cs="Arial"/>
          <w:szCs w:val="22"/>
        </w:rPr>
      </w:pPr>
    </w:p>
    <w:p w14:paraId="59FC70AF" w14:textId="06E117AC"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437B7E">
        <w:rPr>
          <w:rFonts w:cs="Arial"/>
          <w:b/>
          <w:spacing w:val="8"/>
          <w:szCs w:val="22"/>
        </w:rPr>
        <w:t>PD Vodohospodářská opatření a polní cesty Lobeč u Mšena</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13320B4F"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042DB1">
        <w:rPr>
          <w:rStyle w:val="l-L2Char"/>
          <w:rFonts w:cs="Arial"/>
          <w:b w:val="0"/>
          <w:szCs w:val="22"/>
          <w:u w:val="none"/>
        </w:rPr>
        <w:t xml:space="preserve">Název </w:t>
      </w:r>
      <w:proofErr w:type="gramStart"/>
      <w:r w:rsidRPr="00042DB1">
        <w:rPr>
          <w:rStyle w:val="l-L2Char"/>
          <w:rFonts w:cs="Arial"/>
          <w:b w:val="0"/>
          <w:szCs w:val="22"/>
          <w:u w:val="none"/>
        </w:rPr>
        <w:t xml:space="preserve">stavby: </w:t>
      </w:r>
      <w:r w:rsidR="00A56274" w:rsidRPr="00042DB1">
        <w:rPr>
          <w:rStyle w:val="l-L2Char"/>
          <w:rFonts w:cs="Arial"/>
          <w:b w:val="0"/>
          <w:szCs w:val="22"/>
          <w:u w:val="none"/>
        </w:rPr>
        <w:t xml:space="preserve">  </w:t>
      </w:r>
      <w:proofErr w:type="gramEnd"/>
      <w:r w:rsidR="00A56274" w:rsidRPr="00042DB1">
        <w:rPr>
          <w:rStyle w:val="l-L2Char"/>
          <w:rFonts w:cs="Arial"/>
          <w:b w:val="0"/>
          <w:szCs w:val="22"/>
          <w:u w:val="none"/>
        </w:rPr>
        <w:t xml:space="preserve"> </w:t>
      </w:r>
      <w:r w:rsidR="008953AA" w:rsidRPr="00042DB1">
        <w:rPr>
          <w:rFonts w:ascii="Arial" w:hAnsi="Arial" w:cs="Arial"/>
          <w:bCs/>
          <w:snapToGrid w:val="0"/>
          <w:szCs w:val="22"/>
          <w:u w:val="none"/>
          <w:lang w:val="en-US"/>
        </w:rPr>
        <w:t xml:space="preserve">PD </w:t>
      </w:r>
      <w:proofErr w:type="spellStart"/>
      <w:r w:rsidR="008953AA" w:rsidRPr="00042DB1">
        <w:rPr>
          <w:rFonts w:ascii="Arial" w:hAnsi="Arial" w:cs="Arial"/>
          <w:bCs/>
          <w:snapToGrid w:val="0"/>
          <w:szCs w:val="22"/>
          <w:u w:val="none"/>
          <w:lang w:val="en-US"/>
        </w:rPr>
        <w:t>Vodohospodářská</w:t>
      </w:r>
      <w:proofErr w:type="spellEnd"/>
      <w:r w:rsidR="008953AA" w:rsidRPr="00042DB1">
        <w:rPr>
          <w:rFonts w:ascii="Arial" w:hAnsi="Arial" w:cs="Arial"/>
          <w:bCs/>
          <w:snapToGrid w:val="0"/>
          <w:szCs w:val="22"/>
          <w:u w:val="none"/>
          <w:lang w:val="en-US"/>
        </w:rPr>
        <w:t xml:space="preserve"> </w:t>
      </w:r>
      <w:proofErr w:type="spellStart"/>
      <w:r w:rsidR="008953AA" w:rsidRPr="00042DB1">
        <w:rPr>
          <w:rFonts w:ascii="Arial" w:hAnsi="Arial" w:cs="Arial"/>
          <w:bCs/>
          <w:snapToGrid w:val="0"/>
          <w:szCs w:val="22"/>
          <w:u w:val="none"/>
          <w:lang w:val="en-US"/>
        </w:rPr>
        <w:t>opatření</w:t>
      </w:r>
      <w:proofErr w:type="spellEnd"/>
      <w:r w:rsidR="008953AA" w:rsidRPr="00042DB1">
        <w:rPr>
          <w:rFonts w:ascii="Arial" w:hAnsi="Arial" w:cs="Arial"/>
          <w:bCs/>
          <w:snapToGrid w:val="0"/>
          <w:szCs w:val="22"/>
          <w:u w:val="none"/>
          <w:lang w:val="en-US"/>
        </w:rPr>
        <w:t xml:space="preserve"> a </w:t>
      </w:r>
      <w:proofErr w:type="spellStart"/>
      <w:r w:rsidR="008953AA" w:rsidRPr="00042DB1">
        <w:rPr>
          <w:rFonts w:ascii="Arial" w:hAnsi="Arial" w:cs="Arial"/>
          <w:bCs/>
          <w:snapToGrid w:val="0"/>
          <w:szCs w:val="22"/>
          <w:u w:val="none"/>
          <w:lang w:val="en-US"/>
        </w:rPr>
        <w:t>polní</w:t>
      </w:r>
      <w:proofErr w:type="spellEnd"/>
      <w:r w:rsidR="008953AA" w:rsidRPr="00042DB1">
        <w:rPr>
          <w:rFonts w:ascii="Arial" w:hAnsi="Arial" w:cs="Arial"/>
          <w:bCs/>
          <w:snapToGrid w:val="0"/>
          <w:szCs w:val="22"/>
          <w:u w:val="none"/>
          <w:lang w:val="en-US"/>
        </w:rPr>
        <w:t xml:space="preserve"> </w:t>
      </w:r>
      <w:proofErr w:type="spellStart"/>
      <w:r w:rsidR="008953AA" w:rsidRPr="00042DB1">
        <w:rPr>
          <w:rFonts w:ascii="Arial" w:hAnsi="Arial" w:cs="Arial"/>
          <w:bCs/>
          <w:snapToGrid w:val="0"/>
          <w:szCs w:val="22"/>
          <w:u w:val="none"/>
          <w:lang w:val="en-US"/>
        </w:rPr>
        <w:t>cesty</w:t>
      </w:r>
      <w:proofErr w:type="spellEnd"/>
      <w:r w:rsidR="008953AA" w:rsidRPr="00042DB1">
        <w:rPr>
          <w:rFonts w:ascii="Arial" w:hAnsi="Arial" w:cs="Arial"/>
          <w:bCs/>
          <w:snapToGrid w:val="0"/>
          <w:szCs w:val="22"/>
          <w:u w:val="none"/>
          <w:lang w:val="en-US"/>
        </w:rPr>
        <w:t xml:space="preserve"> Lobeč u </w:t>
      </w:r>
      <w:proofErr w:type="spellStart"/>
      <w:r w:rsidR="008953AA" w:rsidRPr="00042DB1">
        <w:rPr>
          <w:rFonts w:ascii="Arial" w:hAnsi="Arial" w:cs="Arial"/>
          <w:bCs/>
          <w:snapToGrid w:val="0"/>
          <w:szCs w:val="22"/>
          <w:u w:val="none"/>
          <w:lang w:val="en-US"/>
        </w:rPr>
        <w:t>Mšena</w:t>
      </w:r>
      <w:proofErr w:type="spellEnd"/>
    </w:p>
    <w:p w14:paraId="535BF821" w14:textId="01E88655"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6612BA">
        <w:rPr>
          <w:rFonts w:ascii="Arial" w:hAnsi="Arial" w:cs="Arial"/>
          <w:bCs/>
          <w:snapToGrid w:val="0"/>
          <w:szCs w:val="22"/>
          <w:u w:val="none"/>
          <w:lang w:val="en-US"/>
        </w:rPr>
        <w:t xml:space="preserve">kraj Středočeský, </w:t>
      </w:r>
      <w:proofErr w:type="spellStart"/>
      <w:r w:rsidR="006612BA">
        <w:rPr>
          <w:rFonts w:ascii="Arial" w:hAnsi="Arial" w:cs="Arial"/>
          <w:bCs/>
          <w:snapToGrid w:val="0"/>
          <w:szCs w:val="22"/>
          <w:u w:val="none"/>
          <w:lang w:val="en-US"/>
        </w:rPr>
        <w:t>okres</w:t>
      </w:r>
      <w:proofErr w:type="spellEnd"/>
      <w:r w:rsidR="006612BA">
        <w:rPr>
          <w:rFonts w:ascii="Arial" w:hAnsi="Arial" w:cs="Arial"/>
          <w:bCs/>
          <w:snapToGrid w:val="0"/>
          <w:szCs w:val="22"/>
          <w:u w:val="none"/>
          <w:lang w:val="en-US"/>
        </w:rPr>
        <w:t xml:space="preserve"> Mělník, obec Lobeč, k.ú. Lobeč u </w:t>
      </w:r>
      <w:proofErr w:type="spellStart"/>
      <w:r w:rsidR="006612BA">
        <w:rPr>
          <w:rFonts w:ascii="Arial" w:hAnsi="Arial" w:cs="Arial"/>
          <w:bCs/>
          <w:snapToGrid w:val="0"/>
          <w:szCs w:val="22"/>
          <w:u w:val="none"/>
          <w:lang w:val="en-US"/>
        </w:rPr>
        <w:t>Mšena</w:t>
      </w:r>
      <w:proofErr w:type="spellEnd"/>
      <w:r w:rsidR="000F5BF7" w:rsidRPr="004D5F78">
        <w:rPr>
          <w:rStyle w:val="l-L2Char"/>
          <w:rFonts w:cs="Arial"/>
          <w:b w:val="0"/>
          <w:szCs w:val="22"/>
          <w:u w:val="none"/>
        </w:rPr>
        <w:t xml:space="preserve"> </w:t>
      </w:r>
    </w:p>
    <w:p w14:paraId="3868EB48" w14:textId="77777777" w:rsidR="006612BA"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stavby:      </w:t>
      </w:r>
    </w:p>
    <w:p w14:paraId="21B8165A" w14:textId="77777777" w:rsidR="008459F2" w:rsidRDefault="00D306D5" w:rsidP="00D306D5">
      <w:pPr>
        <w:pStyle w:val="Odstavecseseznamem"/>
        <w:spacing w:after="200" w:line="276" w:lineRule="auto"/>
        <w:jc w:val="both"/>
        <w:rPr>
          <w:rFonts w:cs="Arial"/>
          <w:bCs/>
          <w:iCs/>
        </w:rPr>
      </w:pPr>
      <w:r>
        <w:rPr>
          <w:rFonts w:cs="Arial"/>
          <w:bCs/>
          <w:iCs/>
        </w:rPr>
        <w:t>R</w:t>
      </w:r>
      <w:r w:rsidRPr="009E18B0">
        <w:rPr>
          <w:rFonts w:cs="Arial"/>
          <w:bCs/>
          <w:iCs/>
        </w:rPr>
        <w:t>ealizace Mokřadu 2 s přístupovou komunikací DC11B se svodným příkopem SP1, propustkem P12, příčnými odvodňovacími žlábky Z1-13</w:t>
      </w:r>
    </w:p>
    <w:p w14:paraId="21EC536A" w14:textId="77777777" w:rsidR="002F4C31" w:rsidRPr="002F4C31" w:rsidRDefault="002F4C31" w:rsidP="002F4C31">
      <w:pPr>
        <w:pStyle w:val="Odstavecseseznamem"/>
        <w:numPr>
          <w:ilvl w:val="0"/>
          <w:numId w:val="87"/>
        </w:numPr>
        <w:spacing w:after="200" w:line="276" w:lineRule="auto"/>
        <w:jc w:val="both"/>
        <w:rPr>
          <w:rFonts w:cs="Arial"/>
          <w:bCs/>
          <w:iCs/>
        </w:rPr>
      </w:pPr>
      <w:r w:rsidRPr="002F4C31">
        <w:rPr>
          <w:rFonts w:cs="Arial"/>
          <w:bCs/>
          <w:iCs/>
        </w:rPr>
        <w:t xml:space="preserve">Mokřad 2 je navržený v nejnižším místě svodného příkopu SP1 vlevo podél polní cesty DC11B, stávající ekosystém je naplněn sezóně vodou, mokřad je považován za jeden z biologicky nejrozmanitějších ekosystémů, které slouží jako domov široké škále rostlinných a živočišných druhů s charakteristikou vegetací vodních rostlin. Terén bude upraven pro jednotlivé přepadové tůňky tak, aby voda dále mohla odtékat propustkem P12 do zasakovací jímky ZJ1. Mokřad bude případně doplněn výsadbou speciální sorty zeleně pro vlhká místa spolu s odpočinkovým místem. </w:t>
      </w:r>
    </w:p>
    <w:p w14:paraId="3BAF1F69" w14:textId="77777777" w:rsidR="002F4C31" w:rsidRPr="002F4C31" w:rsidRDefault="002F4C31" w:rsidP="002F4C31">
      <w:pPr>
        <w:pStyle w:val="Odstavecseseznamem"/>
        <w:numPr>
          <w:ilvl w:val="0"/>
          <w:numId w:val="87"/>
        </w:numPr>
        <w:spacing w:after="200" w:line="276" w:lineRule="auto"/>
        <w:jc w:val="both"/>
        <w:rPr>
          <w:rFonts w:cs="Arial"/>
          <w:bCs/>
          <w:iCs/>
        </w:rPr>
      </w:pPr>
      <w:r w:rsidRPr="002F4C31">
        <w:rPr>
          <w:rFonts w:cs="Arial"/>
          <w:bCs/>
          <w:iCs/>
        </w:rPr>
        <w:t xml:space="preserve">Polní cesta DC11B propustná netuhá štěrková polní cesta začíná napojením na vlastnicky vymezenou polní cestu DC11A, kde je objekt VHO P11, který bude možná potřeba navrhnout k rekonstrukci nebo doplnit o vsakovací objekt zaústění do SP1 již při stavbě polní cesty DC11B, aby nedocházelo k podmílání komunikace. Nezbytné při zpracování projektové dokumentace je posoudit nutnost zapracování odtoku P11 do PD, případně jeho zasakovaní. Délka polní cesty dle návrhu PSZ je 319 m kategorie P3/20. Podél polní cesty vlevo je svodný příkop SP1, zaústěný do Mokřadu 2 a dále převeden propustkem P12 do zasakovací jímky ZJ1. Příčné odvodnění polní cesty je žlábky Z1 – Z13 po 25 metrech dle potřeby a sklonu vozovky. Konstrukce podloží polní cesty musí být navrženo pro svah s niveletou 6 % v souladu s podmínkami stavby v CHKO </w:t>
      </w:r>
      <w:proofErr w:type="gramStart"/>
      <w:r w:rsidRPr="002F4C31">
        <w:rPr>
          <w:rFonts w:cs="Arial"/>
          <w:bCs/>
          <w:iCs/>
        </w:rPr>
        <w:t>Kokořínsko - Máchův</w:t>
      </w:r>
      <w:proofErr w:type="gramEnd"/>
      <w:r w:rsidRPr="002F4C31">
        <w:rPr>
          <w:rFonts w:cs="Arial"/>
          <w:bCs/>
          <w:iCs/>
        </w:rPr>
        <w:t xml:space="preserve"> kraj. Popřípadě může dojít k úpravě stávající zeleně KZ13 podél polní cesty DC11B. Ozdravné řezy, kacení suchých dřevin případná dosadba nových autochtonních dřevin. </w:t>
      </w:r>
    </w:p>
    <w:p w14:paraId="3A711259" w14:textId="771E465C" w:rsidR="00D306D5" w:rsidRDefault="002F4C31" w:rsidP="002F4C31">
      <w:pPr>
        <w:pStyle w:val="Odstavecseseznamem"/>
        <w:numPr>
          <w:ilvl w:val="0"/>
          <w:numId w:val="87"/>
        </w:numPr>
        <w:spacing w:after="200" w:line="276" w:lineRule="auto"/>
        <w:jc w:val="both"/>
        <w:rPr>
          <w:rFonts w:cs="Arial"/>
          <w:bCs/>
          <w:iCs/>
        </w:rPr>
      </w:pPr>
      <w:r w:rsidRPr="002F4C31">
        <w:rPr>
          <w:rFonts w:cs="Arial"/>
          <w:bCs/>
          <w:iCs/>
        </w:rPr>
        <w:lastRenderedPageBreak/>
        <w:t>Propustek P12 novostavba propustku mezi Mokřadem 2 a zasakovací jímkou Z1. Součástí projektové dokumentace bude výpočet světlosti navrženého propustku pro odvod vody.</w:t>
      </w:r>
    </w:p>
    <w:p w14:paraId="75B1F03B" w14:textId="607DE392" w:rsidR="00F702EE" w:rsidRDefault="00F702EE" w:rsidP="002F4C31">
      <w:pPr>
        <w:pStyle w:val="Odstavecseseznamem"/>
        <w:numPr>
          <w:ilvl w:val="0"/>
          <w:numId w:val="87"/>
        </w:numPr>
        <w:spacing w:after="200" w:line="276" w:lineRule="auto"/>
        <w:jc w:val="both"/>
        <w:rPr>
          <w:rFonts w:cs="Arial"/>
          <w:bCs/>
          <w:iCs/>
        </w:rPr>
      </w:pPr>
      <w:r w:rsidRPr="00F702EE">
        <w:rPr>
          <w:rFonts w:cs="Arial"/>
          <w:bCs/>
          <w:iCs/>
        </w:rPr>
        <w:t>Svodný příkop SP1 levostranný příkop podél polní cesty DC11B, příkop bude trojúhelníkového tvaru se zatravněním, hloubka 0,5-0,8 m, sklon svahů 1:1,5 včetně hydraulického výpočtu průtočné kapacity koryta.</w:t>
      </w:r>
    </w:p>
    <w:p w14:paraId="5A039C4A" w14:textId="24E58F7C" w:rsidR="004E29A9" w:rsidRDefault="004E29A9" w:rsidP="00847518">
      <w:pPr>
        <w:pStyle w:val="Odstavecseseznamem"/>
        <w:numPr>
          <w:ilvl w:val="0"/>
          <w:numId w:val="87"/>
        </w:numPr>
        <w:spacing w:after="200" w:line="276" w:lineRule="auto"/>
        <w:jc w:val="both"/>
        <w:rPr>
          <w:rFonts w:cs="Arial"/>
          <w:bCs/>
          <w:iCs/>
        </w:rPr>
      </w:pPr>
      <w:r w:rsidRPr="004E29A9">
        <w:rPr>
          <w:rFonts w:cs="Arial"/>
          <w:bCs/>
          <w:iCs/>
        </w:rPr>
        <w:t>Odvodňovací žlábky Z1-13 příčné odvodnění na polní cestě DC11B, žlábky budou umístěny po 25 metrech ve sklonu komunikace.</w:t>
      </w:r>
    </w:p>
    <w:p w14:paraId="2CB1A3B6" w14:textId="77777777" w:rsidR="00FE17D8" w:rsidRDefault="00FE17D8" w:rsidP="00FE17D8">
      <w:pPr>
        <w:pStyle w:val="Odstavecseseznamem"/>
        <w:spacing w:after="200" w:line="276" w:lineRule="auto"/>
        <w:jc w:val="both"/>
        <w:rPr>
          <w:rFonts w:cs="Arial"/>
          <w:bCs/>
          <w:iCs/>
        </w:rPr>
      </w:pPr>
      <w:r>
        <w:rPr>
          <w:rFonts w:cs="Arial"/>
          <w:bCs/>
          <w:iCs/>
        </w:rPr>
        <w:t>V</w:t>
      </w:r>
      <w:r w:rsidR="00D306D5" w:rsidRPr="009E18B0">
        <w:rPr>
          <w:rFonts w:cs="Arial"/>
          <w:bCs/>
          <w:iCs/>
        </w:rPr>
        <w:t>ybudování zasakovacích jímek ZJ 1-3</w:t>
      </w:r>
    </w:p>
    <w:p w14:paraId="1E2D0274" w14:textId="77777777" w:rsidR="00A35FE5" w:rsidRPr="00A35FE5" w:rsidRDefault="00A35FE5" w:rsidP="00A35FE5">
      <w:pPr>
        <w:pStyle w:val="Odstavecseseznamem"/>
        <w:numPr>
          <w:ilvl w:val="0"/>
          <w:numId w:val="88"/>
        </w:numPr>
        <w:spacing w:after="200" w:line="276" w:lineRule="auto"/>
        <w:jc w:val="both"/>
        <w:rPr>
          <w:rFonts w:cs="Arial"/>
          <w:bCs/>
          <w:iCs/>
        </w:rPr>
      </w:pPr>
      <w:r w:rsidRPr="00A35FE5">
        <w:rPr>
          <w:rFonts w:cs="Arial"/>
          <w:bCs/>
          <w:iCs/>
        </w:rPr>
        <w:t xml:space="preserve">Zasakovací jímka ZJ1 vsakovací zařízení pro srážkové vody. Zařízení je navrženo na ploše 230 m2 o rozměrech 15,5x14 m na sklonech stran v poměru1:1 a 1:1, hloubka 1,5 m. </w:t>
      </w:r>
    </w:p>
    <w:p w14:paraId="59874976" w14:textId="77777777" w:rsidR="00A35FE5" w:rsidRPr="00A35FE5" w:rsidRDefault="00A35FE5" w:rsidP="00A35FE5">
      <w:pPr>
        <w:pStyle w:val="Odstavecseseznamem"/>
        <w:numPr>
          <w:ilvl w:val="0"/>
          <w:numId w:val="88"/>
        </w:numPr>
        <w:spacing w:after="200" w:line="276" w:lineRule="auto"/>
        <w:jc w:val="both"/>
        <w:rPr>
          <w:rFonts w:cs="Arial"/>
          <w:bCs/>
          <w:iCs/>
        </w:rPr>
      </w:pPr>
      <w:r w:rsidRPr="00A35FE5">
        <w:rPr>
          <w:rFonts w:cs="Arial"/>
          <w:bCs/>
          <w:iCs/>
        </w:rPr>
        <w:t xml:space="preserve">Zasakovací jímka ZJ2 vsakovací zařízení pro srážkové vody. Zařízení je navrženo na ploše 283 m2 o rozměrech 14,7x18,5 m na sklonech stran v poměru1:1 a 1:1, hloubka 1,5 m. </w:t>
      </w:r>
    </w:p>
    <w:p w14:paraId="1ED9C3D7" w14:textId="2208195B" w:rsidR="00D306D5" w:rsidRDefault="00A35FE5" w:rsidP="00847518">
      <w:pPr>
        <w:pStyle w:val="Odstavecseseznamem"/>
        <w:numPr>
          <w:ilvl w:val="0"/>
          <w:numId w:val="88"/>
        </w:numPr>
        <w:spacing w:after="200" w:line="276" w:lineRule="auto"/>
        <w:jc w:val="both"/>
        <w:rPr>
          <w:rFonts w:cs="Arial"/>
          <w:bCs/>
          <w:iCs/>
        </w:rPr>
      </w:pPr>
      <w:r w:rsidRPr="00A35FE5">
        <w:rPr>
          <w:rFonts w:cs="Arial"/>
          <w:bCs/>
          <w:iCs/>
        </w:rPr>
        <w:t>Zasakovací jímka ZJ3 vsakovací zařízení pro srážkové vody. Zařízení je navrženo na ploše 530 m2 rozměry jímka bude navržena dle výpočtu, kolik je schopno zasáhnout m3/</w:t>
      </w:r>
      <w:proofErr w:type="gramStart"/>
      <w:r w:rsidRPr="00A35FE5">
        <w:rPr>
          <w:rFonts w:cs="Arial"/>
          <w:bCs/>
          <w:iCs/>
        </w:rPr>
        <w:t>s</w:t>
      </w:r>
      <w:proofErr w:type="gramEnd"/>
      <w:r w:rsidRPr="00A35FE5">
        <w:rPr>
          <w:rFonts w:cs="Arial"/>
          <w:bCs/>
          <w:iCs/>
        </w:rPr>
        <w:t xml:space="preserve"> srážkové vody s návrhem průtoku.</w:t>
      </w:r>
    </w:p>
    <w:p w14:paraId="73F4CF0B" w14:textId="77777777" w:rsidR="00BD7EF8" w:rsidRDefault="00A35FE5" w:rsidP="00A35FE5">
      <w:pPr>
        <w:pStyle w:val="Odstavecseseznamem"/>
        <w:spacing w:after="200" w:line="276" w:lineRule="auto"/>
        <w:jc w:val="both"/>
        <w:rPr>
          <w:rFonts w:cs="Arial"/>
          <w:bCs/>
          <w:iCs/>
        </w:rPr>
      </w:pPr>
      <w:r>
        <w:rPr>
          <w:rFonts w:cs="Arial"/>
          <w:bCs/>
          <w:iCs/>
        </w:rPr>
        <w:t>P</w:t>
      </w:r>
      <w:r w:rsidR="00D306D5">
        <w:rPr>
          <w:rFonts w:cs="Arial"/>
          <w:bCs/>
          <w:iCs/>
        </w:rPr>
        <w:t>řípad</w:t>
      </w:r>
      <w:r>
        <w:rPr>
          <w:rFonts w:cs="Arial"/>
          <w:bCs/>
          <w:iCs/>
        </w:rPr>
        <w:t>ná</w:t>
      </w:r>
      <w:r w:rsidR="00D306D5" w:rsidRPr="009E18B0">
        <w:rPr>
          <w:rFonts w:cs="Arial"/>
          <w:bCs/>
          <w:iCs/>
        </w:rPr>
        <w:t xml:space="preserve"> rekonstrukce P11 nad polní cestou DC11B</w:t>
      </w:r>
    </w:p>
    <w:p w14:paraId="233ACAFA" w14:textId="56EC8CB0" w:rsidR="00D306D5" w:rsidRDefault="007F2936" w:rsidP="00847518">
      <w:pPr>
        <w:pStyle w:val="Odstavecseseznamem"/>
        <w:numPr>
          <w:ilvl w:val="0"/>
          <w:numId w:val="89"/>
        </w:numPr>
        <w:spacing w:after="200" w:line="276" w:lineRule="auto"/>
        <w:jc w:val="both"/>
        <w:rPr>
          <w:rFonts w:cs="Arial"/>
          <w:bCs/>
          <w:iCs/>
        </w:rPr>
      </w:pPr>
      <w:r w:rsidRPr="007F2936">
        <w:rPr>
          <w:rFonts w:cs="Arial"/>
          <w:bCs/>
          <w:iCs/>
        </w:rPr>
        <w:t>Objekt VHO P11 v případě nutnosti bude navrženo jeho usměrnění a zasakování do svodného příkopu SP1 v rámci odvodnění PC DC11B tak, aby nedocházelo k podemílání či poškození nové polní cesty.</w:t>
      </w:r>
    </w:p>
    <w:p w14:paraId="21899152" w14:textId="063BFF9F" w:rsidR="00D306D5" w:rsidRDefault="007F2936" w:rsidP="007F2936">
      <w:pPr>
        <w:pStyle w:val="Odstavecseseznamem"/>
        <w:spacing w:after="200" w:line="276" w:lineRule="auto"/>
        <w:jc w:val="both"/>
        <w:rPr>
          <w:rFonts w:cs="Arial"/>
          <w:bCs/>
          <w:iCs/>
        </w:rPr>
      </w:pPr>
      <w:r>
        <w:rPr>
          <w:rFonts w:cs="Arial"/>
          <w:bCs/>
          <w:iCs/>
        </w:rPr>
        <w:t>V</w:t>
      </w:r>
      <w:r w:rsidR="00D306D5" w:rsidRPr="009E18B0">
        <w:rPr>
          <w:rFonts w:cs="Arial"/>
          <w:bCs/>
          <w:iCs/>
        </w:rPr>
        <w:t>ybudování polní cesty VC1R s podélnou drenáží NDR1, která navazuje na již vybudovanou polní cestu HPC3</w:t>
      </w:r>
      <w:r w:rsidR="00D306D5">
        <w:rPr>
          <w:rFonts w:cs="Arial"/>
          <w:bCs/>
          <w:iCs/>
        </w:rPr>
        <w:t xml:space="preserve"> v k.ú. </w:t>
      </w:r>
      <w:proofErr w:type="spellStart"/>
      <w:r w:rsidR="00D306D5">
        <w:rPr>
          <w:rFonts w:cs="Arial"/>
          <w:bCs/>
          <w:iCs/>
        </w:rPr>
        <w:t>Skramouš</w:t>
      </w:r>
      <w:proofErr w:type="spellEnd"/>
    </w:p>
    <w:p w14:paraId="727B918C" w14:textId="77777777" w:rsidR="00BF097D" w:rsidRPr="00BF097D" w:rsidRDefault="00BF097D" w:rsidP="00BF097D">
      <w:pPr>
        <w:pStyle w:val="Odstavecseseznamem"/>
        <w:numPr>
          <w:ilvl w:val="0"/>
          <w:numId w:val="89"/>
        </w:numPr>
        <w:spacing w:after="200" w:line="276" w:lineRule="auto"/>
        <w:jc w:val="both"/>
        <w:rPr>
          <w:rFonts w:cs="Arial"/>
          <w:bCs/>
          <w:iCs/>
        </w:rPr>
      </w:pPr>
      <w:r w:rsidRPr="00BF097D">
        <w:rPr>
          <w:rFonts w:cs="Arial"/>
          <w:bCs/>
          <w:iCs/>
        </w:rPr>
        <w:t xml:space="preserve">Polní cesta VC1R vybudování polní cesty VC1R s drenáží s napojením na stávající polní cestu HPC3 vybudovanou v k.ú. </w:t>
      </w:r>
      <w:proofErr w:type="spellStart"/>
      <w:r w:rsidRPr="00BF097D">
        <w:rPr>
          <w:rFonts w:cs="Arial"/>
          <w:bCs/>
          <w:iCs/>
        </w:rPr>
        <w:t>Skramouš</w:t>
      </w:r>
      <w:proofErr w:type="spellEnd"/>
      <w:r w:rsidRPr="00BF097D">
        <w:rPr>
          <w:rFonts w:cs="Arial"/>
          <w:bCs/>
          <w:iCs/>
        </w:rPr>
        <w:t xml:space="preserve">. Kategorie P 4/20 šíře jízdního pruhu je 4 m bez krajnic, dle šířky vymezeného pozemku v délce 402 m s napojením na místní silnici III/25924. Konstrukce podloží polní cesty musí být navržená stejně jako napojující se polní cesta HPC3 k.ú. </w:t>
      </w:r>
      <w:proofErr w:type="spellStart"/>
      <w:r w:rsidRPr="00BF097D">
        <w:rPr>
          <w:rFonts w:cs="Arial"/>
          <w:bCs/>
          <w:iCs/>
        </w:rPr>
        <w:t>Skramouš</w:t>
      </w:r>
      <w:proofErr w:type="spellEnd"/>
      <w:r w:rsidRPr="00BF097D">
        <w:rPr>
          <w:rFonts w:cs="Arial"/>
          <w:bCs/>
          <w:iCs/>
        </w:rPr>
        <w:t xml:space="preserve">. Popřípadě může dojít k úpravě stávající zeleně KZ14 podél polní cesty VC1R. Ozdravné řezy, kacení suchých dřevin případná dosadba nových autochtonních dřevin. Polní cesta VC1 bude doplněna dle potřeby o vsakovací objekty, hlavně na začátku při napojení na silnici III/225924, kde je propustek pod komunikací, který je vyústěn přímo na navrhovanou polní cestu VC1. Projektová dokumentace zajistí pročištění zmíněného propustku. Dále dojde k úpravě stávající zeleně KZ14 podél polní cesty VC1. Ozdravné řezy, kacení suchých dřevin případná dosadba nových autochtonních dřevin. </w:t>
      </w:r>
    </w:p>
    <w:p w14:paraId="4BBFF524" w14:textId="4BE3D4C5" w:rsidR="007F2936" w:rsidRDefault="00BF097D" w:rsidP="00847518">
      <w:pPr>
        <w:pStyle w:val="Odstavecseseznamem"/>
        <w:numPr>
          <w:ilvl w:val="0"/>
          <w:numId w:val="89"/>
        </w:numPr>
        <w:spacing w:after="200" w:line="276" w:lineRule="auto"/>
        <w:jc w:val="both"/>
        <w:rPr>
          <w:rFonts w:cs="Arial"/>
          <w:bCs/>
          <w:iCs/>
        </w:rPr>
      </w:pPr>
      <w:r w:rsidRPr="00BF097D">
        <w:rPr>
          <w:rFonts w:cs="Arial"/>
          <w:bCs/>
          <w:iCs/>
        </w:rPr>
        <w:t>Drenáž NDR1 zabraňuje poškozování tělesa polní cesty a škodlivému působení povrchových a podzemních vod na PC, dále dociluje zvýšení únosnosti zemin v podloží.</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13C099DE"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lastRenderedPageBreak/>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lastRenderedPageBreak/>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422788BF"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E17595">
        <w:rPr>
          <w:rFonts w:ascii="Arial" w:hAnsi="Arial" w:cs="Arial"/>
          <w:szCs w:val="22"/>
        </w:rPr>
        <w:t xml:space="preserve"> </w:t>
      </w:r>
      <w:r w:rsidR="008960AA" w:rsidRPr="004D5F78">
        <w:rPr>
          <w:rFonts w:ascii="Arial" w:hAnsi="Arial" w:cs="Arial"/>
          <w:szCs w:val="22"/>
        </w:rPr>
        <w:t>plnění</w:t>
      </w:r>
      <w:bookmarkEnd w:id="1"/>
    </w:p>
    <w:p w14:paraId="6F839CDA" w14:textId="5FC85DE0" w:rsidR="008011A3" w:rsidRPr="004D5F78" w:rsidRDefault="008011A3" w:rsidP="00847518">
      <w:pPr>
        <w:pStyle w:val="TSlneksmlouvy"/>
        <w:keepNext w:val="0"/>
        <w:numPr>
          <w:ilvl w:val="1"/>
          <w:numId w:val="37"/>
        </w:numPr>
        <w:spacing w:before="120" w:after="120" w:line="288" w:lineRule="auto"/>
        <w:jc w:val="both"/>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280842">
        <w:rPr>
          <w:rFonts w:cs="Arial"/>
          <w:b w:val="0"/>
          <w:szCs w:val="22"/>
          <w:u w:val="none"/>
        </w:rPr>
        <w:t> </w:t>
      </w:r>
      <w:r w:rsidRPr="004D5F78">
        <w:rPr>
          <w:rFonts w:cs="Arial"/>
          <w:b w:val="0"/>
          <w:szCs w:val="22"/>
          <w:u w:val="none"/>
        </w:rPr>
        <w:t>následující</w:t>
      </w:r>
      <w:r w:rsidR="00280842">
        <w:rPr>
          <w:rFonts w:cs="Arial"/>
          <w:b w:val="0"/>
          <w:szCs w:val="22"/>
          <w:u w:val="none"/>
        </w:rPr>
        <w:t xml:space="preserve"> lhůtě</w:t>
      </w:r>
      <w:r w:rsidR="00B55E15">
        <w:rPr>
          <w:rFonts w:cs="Arial"/>
          <w:b w:val="0"/>
          <w:szCs w:val="22"/>
          <w:u w:val="none"/>
        </w:rPr>
        <w:t>:</w:t>
      </w:r>
      <w:bookmarkEnd w:id="2"/>
      <w:bookmarkEnd w:id="3"/>
    </w:p>
    <w:p w14:paraId="2725493D" w14:textId="1BB784EE"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je stanoven</w:t>
      </w:r>
      <w:r w:rsidR="00B4292A">
        <w:rPr>
          <w:rStyle w:val="l-L2Char"/>
          <w:rFonts w:cs="Arial"/>
          <w:b w:val="0"/>
          <w:szCs w:val="22"/>
          <w:u w:val="none"/>
        </w:rPr>
        <w:t>a</w:t>
      </w:r>
      <w:r w:rsidR="00A50845" w:rsidRPr="004D5F78">
        <w:rPr>
          <w:rStyle w:val="l-L2Char"/>
          <w:rFonts w:cs="Arial"/>
          <w:b w:val="0"/>
          <w:szCs w:val="22"/>
          <w:u w:val="none"/>
        </w:rPr>
        <w:t xml:space="preserve">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57BCE837" w:rsidR="00712A60" w:rsidRPr="00B4292A" w:rsidRDefault="00B55E15" w:rsidP="00712A60">
      <w:pPr>
        <w:pStyle w:val="l-L1"/>
        <w:keepNext w:val="0"/>
        <w:numPr>
          <w:ilvl w:val="0"/>
          <w:numId w:val="0"/>
        </w:numPr>
        <w:spacing w:before="120" w:after="120"/>
        <w:ind w:left="1304"/>
        <w:jc w:val="both"/>
        <w:rPr>
          <w:rStyle w:val="l-L2Char"/>
          <w:rFonts w:cs="Arial"/>
          <w:b w:val="0"/>
          <w:szCs w:val="22"/>
          <w:u w:val="none"/>
        </w:rPr>
      </w:pPr>
      <w:r w:rsidRPr="00B4292A">
        <w:rPr>
          <w:rFonts w:ascii="Arial" w:hAnsi="Arial" w:cs="Arial"/>
          <w:bCs/>
          <w:snapToGrid w:val="0"/>
          <w:szCs w:val="22"/>
        </w:rPr>
        <w:t>15. 11. 2024</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 xml:space="preserve">lhůtu  </w:t>
      </w:r>
      <w:r w:rsidR="00B648B8" w:rsidRPr="004E7FB7">
        <w:rPr>
          <w:rFonts w:ascii="Arial" w:hAnsi="Arial" w:cs="Arial"/>
          <w:b w:val="0"/>
          <w:szCs w:val="22"/>
          <w:u w:val="none"/>
        </w:rPr>
        <w:lastRenderedPageBreak/>
        <w:t>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08572728"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E37C15">
        <w:rPr>
          <w:rStyle w:val="l-L2Char"/>
          <w:rFonts w:cs="Arial"/>
          <w:b w:val="0"/>
          <w:szCs w:val="22"/>
          <w:u w:val="none"/>
        </w:rPr>
        <w:t>25. 4. 2024</w:t>
      </w:r>
      <w:r w:rsidR="00A14402" w:rsidRPr="002F6773">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08190DDE" w:rsidR="005B3173" w:rsidRPr="00256539"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256539">
        <w:rPr>
          <w:rStyle w:val="l-L2Char"/>
          <w:rFonts w:cs="Arial"/>
          <w:b w:val="0"/>
          <w:szCs w:val="22"/>
          <w:u w:val="none"/>
        </w:rPr>
        <w:t>činí</w:t>
      </w:r>
      <w:r w:rsidR="00A5589B" w:rsidRPr="00256539">
        <w:rPr>
          <w:rStyle w:val="l-L2Char"/>
          <w:rFonts w:cs="Arial"/>
          <w:b w:val="0"/>
          <w:szCs w:val="22"/>
          <w:u w:val="none"/>
        </w:rPr>
        <w:t xml:space="preserve"> </w:t>
      </w:r>
      <w:r w:rsidR="009F2861" w:rsidRPr="00256539">
        <w:rPr>
          <w:rFonts w:ascii="Arial" w:hAnsi="Arial" w:cs="Arial"/>
          <w:bCs/>
          <w:snapToGrid w:val="0"/>
          <w:szCs w:val="22"/>
        </w:rPr>
        <w:t>278 000</w:t>
      </w:r>
      <w:r w:rsidR="00DE5AF1" w:rsidRPr="00256539">
        <w:rPr>
          <w:rStyle w:val="l-L2Char"/>
          <w:rFonts w:cs="Arial"/>
          <w:szCs w:val="22"/>
          <w:u w:val="none"/>
        </w:rPr>
        <w:t xml:space="preserve">,- Kč </w:t>
      </w:r>
      <w:r w:rsidR="00D021D9" w:rsidRPr="00256539">
        <w:rPr>
          <w:rStyle w:val="l-L2Char"/>
          <w:rFonts w:cs="Arial"/>
          <w:szCs w:val="22"/>
          <w:u w:val="none"/>
        </w:rPr>
        <w:t xml:space="preserve">bez DPH, </w:t>
      </w:r>
      <w:r w:rsidR="00D021D9" w:rsidRPr="00256539">
        <w:rPr>
          <w:rStyle w:val="l-L2Char"/>
          <w:rFonts w:cs="Arial"/>
          <w:b w:val="0"/>
          <w:szCs w:val="22"/>
          <w:u w:val="none"/>
        </w:rPr>
        <w:t xml:space="preserve">tj. </w:t>
      </w:r>
      <w:r w:rsidR="009F2861" w:rsidRPr="00256539">
        <w:rPr>
          <w:rFonts w:ascii="Arial" w:hAnsi="Arial" w:cs="Arial"/>
          <w:bCs/>
          <w:snapToGrid w:val="0"/>
          <w:szCs w:val="22"/>
        </w:rPr>
        <w:t>336 380</w:t>
      </w:r>
      <w:r w:rsidR="006F3CD0" w:rsidRPr="00256539">
        <w:rPr>
          <w:rStyle w:val="l-L2Char"/>
          <w:rFonts w:cs="Arial"/>
          <w:b w:val="0"/>
          <w:szCs w:val="22"/>
          <w:u w:val="none"/>
        </w:rPr>
        <w:t>,-</w:t>
      </w:r>
      <w:r w:rsidR="006F3CD0" w:rsidRPr="00256539">
        <w:rPr>
          <w:rStyle w:val="l-L2Char"/>
          <w:rFonts w:cs="Arial"/>
          <w:szCs w:val="22"/>
          <w:u w:val="none"/>
        </w:rPr>
        <w:t xml:space="preserve"> Kč </w:t>
      </w:r>
      <w:r w:rsidR="00AF3FF8" w:rsidRPr="00256539">
        <w:rPr>
          <w:rStyle w:val="l-L2Char"/>
          <w:rFonts w:cs="Arial"/>
          <w:szCs w:val="22"/>
          <w:u w:val="none"/>
        </w:rPr>
        <w:t>s</w:t>
      </w:r>
      <w:r w:rsidR="00D021D9" w:rsidRPr="00256539">
        <w:rPr>
          <w:rStyle w:val="l-L2Char"/>
          <w:rFonts w:cs="Arial"/>
          <w:szCs w:val="22"/>
          <w:u w:val="none"/>
        </w:rPr>
        <w:t> </w:t>
      </w:r>
      <w:r w:rsidR="00DE5AF1" w:rsidRPr="00256539">
        <w:rPr>
          <w:rStyle w:val="l-L2Char"/>
          <w:rFonts w:cs="Arial"/>
          <w:szCs w:val="22"/>
          <w:u w:val="none"/>
        </w:rPr>
        <w:t>DPH</w:t>
      </w:r>
      <w:r w:rsidR="00D021D9" w:rsidRPr="00256539">
        <w:rPr>
          <w:rStyle w:val="l-L2Char"/>
          <w:rFonts w:cs="Arial"/>
          <w:szCs w:val="22"/>
          <w:u w:val="none"/>
        </w:rPr>
        <w:t>)</w:t>
      </w:r>
      <w:r w:rsidR="00DE5AF1" w:rsidRPr="00256539">
        <w:rPr>
          <w:rStyle w:val="l-L2Char"/>
          <w:rFonts w:cs="Arial"/>
          <w:b w:val="0"/>
          <w:szCs w:val="22"/>
          <w:u w:val="none"/>
        </w:rPr>
        <w:t>. DPH bude účtována v příslušné výši stanovené zákonem.</w:t>
      </w:r>
    </w:p>
    <w:p w14:paraId="3509947F" w14:textId="0970165B" w:rsidR="005B3173" w:rsidRPr="002015A0" w:rsidRDefault="002015A0" w:rsidP="0053219E">
      <w:pPr>
        <w:pStyle w:val="Default"/>
        <w:ind w:firstLine="708"/>
        <w:rPr>
          <w:rStyle w:val="l-L2Char"/>
          <w:rFonts w:ascii="Times New Roman" w:hAnsi="Times New Roman"/>
          <w:szCs w:val="22"/>
        </w:rPr>
      </w:pPr>
      <w:bookmarkStart w:id="4" w:name="_Hlk36122845"/>
      <w:bookmarkStart w:id="5" w:name="_Hlk36122353"/>
      <w:r>
        <w:rPr>
          <w:i/>
          <w:iCs/>
          <w:sz w:val="22"/>
          <w:szCs w:val="22"/>
        </w:rPr>
        <w:t>(Cena bude uváděna na haléře, tj. na 2 desetinná místa)</w:t>
      </w:r>
      <w:bookmarkEnd w:id="4"/>
      <w:bookmarkEnd w:id="5"/>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533991DA" w:rsidR="004E7FB7" w:rsidRPr="00461E82" w:rsidRDefault="000708A3" w:rsidP="004E7FB7">
      <w:pPr>
        <w:pStyle w:val="l-L1"/>
        <w:keepNext w:val="0"/>
        <w:numPr>
          <w:ilvl w:val="1"/>
          <w:numId w:val="37"/>
        </w:numPr>
        <w:spacing w:before="120" w:after="120"/>
        <w:jc w:val="both"/>
        <w:rPr>
          <w:b w:val="0"/>
          <w:szCs w:val="22"/>
          <w:u w:val="none"/>
        </w:rPr>
      </w:pPr>
      <w:r w:rsidRPr="00461E82">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461E82">
        <w:rPr>
          <w:rStyle w:val="l-L2Char"/>
          <w:rFonts w:cs="Arial"/>
          <w:b w:val="0"/>
          <w:szCs w:val="22"/>
          <w:u w:val="none"/>
        </w:rPr>
        <w:t>datem</w:t>
      </w:r>
      <w:r w:rsidRPr="00461E82">
        <w:rPr>
          <w:rStyle w:val="l-L2Char"/>
          <w:rFonts w:cs="Arial"/>
          <w:b w:val="0"/>
          <w:szCs w:val="22"/>
          <w:u w:val="none"/>
        </w:rPr>
        <w:t>splatnosti</w:t>
      </w:r>
      <w:proofErr w:type="spellEnd"/>
      <w:r w:rsidRPr="00461E82">
        <w:rPr>
          <w:rStyle w:val="l-L2Char"/>
          <w:rFonts w:cs="Arial"/>
          <w:b w:val="0"/>
          <w:szCs w:val="22"/>
          <w:u w:val="none"/>
        </w:rPr>
        <w:t>. V takovém případě není objednatel v prodlení s</w:t>
      </w:r>
      <w:r w:rsidR="00A91766" w:rsidRPr="00461E82">
        <w:rPr>
          <w:rStyle w:val="l-L2Char"/>
          <w:rFonts w:cs="Arial"/>
          <w:b w:val="0"/>
          <w:szCs w:val="22"/>
          <w:u w:val="none"/>
        </w:rPr>
        <w:t xml:space="preserve"> její </w:t>
      </w:r>
      <w:r w:rsidRPr="00461E82">
        <w:rPr>
          <w:rStyle w:val="l-L2Char"/>
          <w:rFonts w:cs="Arial"/>
          <w:b w:val="0"/>
          <w:szCs w:val="22"/>
          <w:u w:val="none"/>
        </w:rPr>
        <w:t>úhradou.</w:t>
      </w:r>
      <w:r w:rsidR="00054689" w:rsidRPr="00461E82">
        <w:rPr>
          <w:rStyle w:val="l-L2Char"/>
          <w:rFonts w:cs="Arial"/>
          <w:b w:val="0"/>
          <w:szCs w:val="22"/>
          <w:u w:val="none"/>
        </w:rPr>
        <w:t xml:space="preserve"> </w:t>
      </w:r>
      <w:r w:rsidR="004E7FB7" w:rsidRPr="00461E82">
        <w:rPr>
          <w:b w:val="0"/>
          <w:bCs/>
          <w:szCs w:val="22"/>
          <w:u w:val="none"/>
        </w:rPr>
        <w:t xml:space="preserve"> </w:t>
      </w:r>
      <w:r w:rsidR="004E7FB7" w:rsidRPr="00461E82">
        <w:rPr>
          <w:rFonts w:ascii="Arial" w:hAnsi="Arial" w:cs="Arial"/>
          <w:b w:val="0"/>
          <w:szCs w:val="22"/>
          <w:u w:val="none"/>
        </w:rPr>
        <w:t xml:space="preserve">Přílohou faktury bude protokol o předání a převzetí díla, ze kterého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46A1E8E4" w14:textId="0D3EFFAB" w:rsidR="00C75A45" w:rsidRPr="00085C16" w:rsidRDefault="00C75A45" w:rsidP="00085C16">
      <w:pPr>
        <w:pStyle w:val="l-L1"/>
        <w:keepNext w:val="0"/>
        <w:numPr>
          <w:ilvl w:val="0"/>
          <w:numId w:val="0"/>
        </w:numPr>
        <w:spacing w:before="120" w:after="120"/>
        <w:ind w:left="708" w:firstLine="27"/>
        <w:jc w:val="both"/>
        <w:rPr>
          <w:rStyle w:val="l-L2Char"/>
          <w:rFonts w:cs="Arial"/>
          <w:b w:val="0"/>
          <w:szCs w:val="22"/>
          <w:u w:val="none"/>
        </w:rPr>
      </w:pPr>
      <w:r w:rsidRPr="004D5F78">
        <w:rPr>
          <w:rStyle w:val="l-L2Char"/>
          <w:rFonts w:cs="Arial"/>
          <w:b w:val="0"/>
          <w:szCs w:val="22"/>
          <w:u w:val="none"/>
        </w:rPr>
        <w:t>Konečný příjemce: Státní pozemkový úřad</w:t>
      </w:r>
      <w:r w:rsidR="00461E82">
        <w:rPr>
          <w:rStyle w:val="l-L2Char"/>
          <w:rFonts w:cs="Arial"/>
          <w:b w:val="0"/>
          <w:szCs w:val="22"/>
          <w:u w:val="none"/>
        </w:rPr>
        <w:t xml:space="preserve">, </w:t>
      </w:r>
      <w:r w:rsidRPr="00085C16">
        <w:rPr>
          <w:rStyle w:val="l-L2Char"/>
          <w:rFonts w:cs="Arial"/>
          <w:b w:val="0"/>
          <w:szCs w:val="22"/>
          <w:u w:val="none"/>
        </w:rPr>
        <w:t xml:space="preserve">Pobočka </w:t>
      </w:r>
      <w:r w:rsidR="004C45F0" w:rsidRPr="00085C16">
        <w:rPr>
          <w:rFonts w:ascii="Arial" w:hAnsi="Arial" w:cs="Arial"/>
          <w:b w:val="0"/>
          <w:szCs w:val="22"/>
          <w:u w:val="none"/>
          <w:lang w:val="en-US"/>
        </w:rPr>
        <w:t>Mělník, Bezručova 109, 276 01 Mělník</w:t>
      </w:r>
      <w:r w:rsidRPr="00085C16">
        <w:rPr>
          <w:rStyle w:val="l-L2Char"/>
          <w:rFonts w:cs="Arial"/>
          <w:b w:val="0"/>
          <w:szCs w:val="22"/>
          <w:u w:val="none"/>
        </w:rPr>
        <w:t xml:space="preserve"> </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w:t>
      </w:r>
      <w:r w:rsidR="00380D9B" w:rsidRPr="004D5F78">
        <w:rPr>
          <w:rFonts w:ascii="Arial" w:hAnsi="Arial" w:cs="Arial"/>
          <w:b w:val="0"/>
          <w:szCs w:val="22"/>
          <w:u w:val="none"/>
        </w:rPr>
        <w:lastRenderedPageBreak/>
        <w:t>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1EA9F1EC"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1800BB" w:rsidRPr="004D5F78"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A01367">
        <w:rPr>
          <w:rStyle w:val="l-L2Char"/>
          <w:rFonts w:cs="Arial"/>
          <w:b w:val="0"/>
          <w:szCs w:val="22"/>
          <w:u w:val="none"/>
        </w:rPr>
        <w:t>.</w:t>
      </w:r>
      <w:r w:rsidR="00054689">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6"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6"/>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lastRenderedPageBreak/>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6BAB88EC" w:rsidR="00712A60" w:rsidRPr="00674417" w:rsidRDefault="00674417" w:rsidP="00674417">
      <w:pPr>
        <w:spacing w:after="200" w:line="276" w:lineRule="auto"/>
        <w:ind w:left="705" w:hanging="705"/>
        <w:jc w:val="both"/>
        <w:rPr>
          <w:rFonts w:cs="Arial"/>
          <w:szCs w:val="22"/>
          <w:highlight w:val="green"/>
        </w:rPr>
      </w:pPr>
      <w:bookmarkStart w:id="7"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9E5C2A">
        <w:rPr>
          <w:rFonts w:cs="Arial"/>
        </w:rPr>
        <w:t>350</w:t>
      </w:r>
      <w:proofErr w:type="gramEnd"/>
      <w:r w:rsidR="008A1839">
        <w:rPr>
          <w:rFonts w:cs="Arial"/>
        </w:rPr>
        <w:t> </w:t>
      </w:r>
      <w:r w:rsidR="009E5C2A">
        <w:rPr>
          <w:rFonts w:cs="Arial"/>
        </w:rPr>
        <w:t>000</w:t>
      </w:r>
      <w:r w:rsidR="008A1839" w:rsidRPr="008A1839">
        <w:rPr>
          <w:rFonts w:cs="Arial"/>
        </w:rPr>
        <w:t xml:space="preserve">,- </w:t>
      </w:r>
      <w:r w:rsidR="00DD6B00" w:rsidRPr="008A1839">
        <w:rPr>
          <w:rFonts w:cs="Arial"/>
          <w:b/>
          <w:szCs w:val="22"/>
        </w:rPr>
        <w:t xml:space="preserve"> </w:t>
      </w:r>
      <w:r w:rsidR="00BB1545" w:rsidRPr="008A1839">
        <w:rPr>
          <w:rFonts w:cs="Arial"/>
          <w:szCs w:val="22"/>
        </w:rPr>
        <w:t>Kč</w:t>
      </w:r>
      <w:r w:rsidR="00BB1545" w:rsidRPr="008A1839">
        <w:rPr>
          <w:rFonts w:cs="Arial"/>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7"/>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8" w:name="_Ref376798291"/>
      <w:r w:rsidRPr="004D5F78">
        <w:rPr>
          <w:rFonts w:ascii="Arial" w:hAnsi="Arial" w:cs="Arial"/>
          <w:szCs w:val="22"/>
        </w:rPr>
        <w:t>Licenční ujednání</w:t>
      </w:r>
      <w:bookmarkEnd w:id="8"/>
    </w:p>
    <w:p w14:paraId="28A7233B" w14:textId="5294981D"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000760" w:rsidRPr="00000760">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7383D5B2"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000760" w:rsidRPr="00000760">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t xml:space="preserve"> </w:t>
      </w:r>
      <w:r w:rsidR="00261C1F" w:rsidRPr="00261C1F">
        <w:rPr>
          <w:rStyle w:val="l-L2Char"/>
          <w:rFonts w:cs="Arial"/>
          <w:b w:val="0"/>
          <w:szCs w:val="22"/>
          <w:u w:val="none"/>
        </w:rPr>
        <w:t xml:space="preserve">bez DPH  dle čl. V </w:t>
      </w:r>
      <w:r w:rsidR="00261C1F" w:rsidRPr="00A01367">
        <w:rPr>
          <w:rStyle w:val="l-L2Char"/>
          <w:rFonts w:cs="Arial"/>
          <w:b w:val="0"/>
          <w:szCs w:val="22"/>
          <w:u w:val="none"/>
        </w:rPr>
        <w:t>odst. 5.2 dle</w:t>
      </w:r>
      <w:r w:rsidR="00261C1F" w:rsidRPr="00261C1F">
        <w:rPr>
          <w:rStyle w:val="l-L2Char"/>
          <w:rFonts w:cs="Arial"/>
          <w:b w:val="0"/>
          <w:szCs w:val="22"/>
          <w:u w:val="none"/>
        </w:rPr>
        <w:t xml:space="preserve"> Smlouvy  za každý byť i jen započatý den prodlení.</w:t>
      </w:r>
    </w:p>
    <w:p w14:paraId="1E4F22FF" w14:textId="4C2DE30D"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000760">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9"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9"/>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0"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1" w:name="_Hlk72742281"/>
      <w:bookmarkEnd w:id="10"/>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2" w:name="_Hlk71720356"/>
      <w:r w:rsidRPr="00CD1317">
        <w:rPr>
          <w:rStyle w:val="l-L2Char"/>
          <w:rFonts w:cs="Arial"/>
          <w:szCs w:val="22"/>
          <w:lang w:eastAsia="en-US"/>
        </w:rPr>
        <w:t>Smlouva může být ukončena rovněž vzájemnou dohodou smluvních stran.</w:t>
      </w:r>
    </w:p>
    <w:bookmarkEnd w:id="12"/>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11"/>
    <w:p w14:paraId="4F9B62EA" w14:textId="665989A7" w:rsidR="00E839E9" w:rsidRDefault="00E839E9">
      <w:pPr>
        <w:spacing w:after="0" w:line="240" w:lineRule="auto"/>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3" w:name="_Hlk72140552"/>
      <w:bookmarkStart w:id="14"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w:t>
      </w:r>
      <w:r w:rsidRPr="009B3CA0">
        <w:rPr>
          <w:rStyle w:val="l-L2Char"/>
          <w:rFonts w:cs="Arial"/>
          <w:szCs w:val="22"/>
        </w:rPr>
        <w:lastRenderedPageBreak/>
        <w:t xml:space="preserve">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5F12E18B" w:rsidR="00B63BC9" w:rsidRPr="008377B5" w:rsidRDefault="00B63BC9" w:rsidP="007E7248">
      <w:pPr>
        <w:ind w:left="709" w:hanging="1"/>
        <w:jc w:val="both"/>
        <w:rPr>
          <w:rFonts w:cs="Arial"/>
          <w:szCs w:val="22"/>
        </w:rPr>
      </w:pPr>
      <w:r w:rsidRPr="008377B5">
        <w:rPr>
          <w:rFonts w:cs="Arial"/>
          <w:szCs w:val="22"/>
        </w:rPr>
        <w:t>Za objednatele:</w:t>
      </w:r>
      <w:r w:rsidR="00D4532E">
        <w:rPr>
          <w:rFonts w:cs="Arial"/>
          <w:szCs w:val="22"/>
        </w:rPr>
        <w:t xml:space="preserve"> </w:t>
      </w:r>
    </w:p>
    <w:p w14:paraId="3BD49D1A" w14:textId="6009C262" w:rsidR="00B63BC9" w:rsidRPr="008377B5" w:rsidRDefault="00B63BC9" w:rsidP="00847518">
      <w:pPr>
        <w:ind w:left="709" w:hanging="1"/>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D4532E">
        <w:rPr>
          <w:rFonts w:cs="Arial"/>
          <w:szCs w:val="22"/>
        </w:rPr>
        <w:t>Bc. Jana Machulková DiS.</w:t>
      </w:r>
    </w:p>
    <w:p w14:paraId="669BCD01" w14:textId="17919E82" w:rsidR="00B63BC9" w:rsidRPr="008377B5" w:rsidRDefault="00B63BC9" w:rsidP="007E7248">
      <w:pPr>
        <w:ind w:left="426" w:firstLine="282"/>
        <w:jc w:val="both"/>
        <w:rPr>
          <w:rFonts w:cs="Arial"/>
          <w:szCs w:val="22"/>
        </w:rPr>
      </w:pPr>
      <w:r w:rsidRPr="008377B5">
        <w:rPr>
          <w:rFonts w:cs="Arial"/>
          <w:szCs w:val="22"/>
        </w:rPr>
        <w:t>Tel.:</w:t>
      </w:r>
      <w:r w:rsidR="00D4532E">
        <w:rPr>
          <w:rFonts w:cs="Arial"/>
          <w:szCs w:val="22"/>
        </w:rPr>
        <w:t xml:space="preserve"> +420 777 864 422</w:t>
      </w:r>
      <w:r w:rsidRPr="008377B5">
        <w:rPr>
          <w:rFonts w:cs="Arial"/>
          <w:szCs w:val="22"/>
        </w:rPr>
        <w:tab/>
      </w:r>
    </w:p>
    <w:p w14:paraId="0214820C" w14:textId="49870A45" w:rsidR="00B63BC9" w:rsidRPr="008377B5"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557308">
        <w:rPr>
          <w:rFonts w:cs="Arial"/>
          <w:szCs w:val="22"/>
        </w:rPr>
        <w:t>j.machulkova@spucr.cz</w:t>
      </w:r>
    </w:p>
    <w:p w14:paraId="47AF5171" w14:textId="77777777" w:rsidR="00557308" w:rsidRDefault="00557308" w:rsidP="007E7248">
      <w:pPr>
        <w:ind w:left="426" w:firstLine="282"/>
        <w:jc w:val="both"/>
        <w:rPr>
          <w:rFonts w:cs="Arial"/>
          <w:szCs w:val="22"/>
        </w:rPr>
      </w:pPr>
    </w:p>
    <w:p w14:paraId="67CDC24D" w14:textId="5A995719"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53443B0A"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557308">
        <w:rPr>
          <w:rFonts w:cs="Arial"/>
          <w:szCs w:val="22"/>
        </w:rPr>
        <w:t xml:space="preserve"> </w:t>
      </w:r>
      <w:r w:rsidR="001427F9">
        <w:rPr>
          <w:rFonts w:cs="Arial"/>
          <w:bCs/>
          <w:snapToGrid w:val="0"/>
          <w:szCs w:val="22"/>
        </w:rPr>
        <w:t>XXXXX</w:t>
      </w:r>
      <w:r w:rsidRPr="008377B5">
        <w:rPr>
          <w:rFonts w:cs="Arial"/>
          <w:szCs w:val="22"/>
        </w:rPr>
        <w:tab/>
      </w:r>
    </w:p>
    <w:p w14:paraId="3A4D488C" w14:textId="6F5B93BB" w:rsidR="00B63BC9" w:rsidRPr="008377B5" w:rsidRDefault="00B63BC9" w:rsidP="007E7248">
      <w:pPr>
        <w:ind w:left="426" w:firstLine="282"/>
        <w:jc w:val="both"/>
        <w:rPr>
          <w:rFonts w:cs="Arial"/>
          <w:szCs w:val="22"/>
        </w:rPr>
      </w:pPr>
      <w:r w:rsidRPr="008377B5">
        <w:rPr>
          <w:rFonts w:cs="Arial"/>
          <w:szCs w:val="22"/>
        </w:rPr>
        <w:t>Tel.:</w:t>
      </w:r>
      <w:r w:rsidR="00557308">
        <w:rPr>
          <w:rFonts w:cs="Arial"/>
          <w:szCs w:val="22"/>
        </w:rPr>
        <w:t xml:space="preserve"> </w:t>
      </w:r>
      <w:r w:rsidR="001427F9">
        <w:rPr>
          <w:rFonts w:cs="Arial"/>
          <w:bCs/>
          <w:snapToGrid w:val="0"/>
          <w:szCs w:val="22"/>
        </w:rPr>
        <w:t>XXXXX</w:t>
      </w:r>
    </w:p>
    <w:p w14:paraId="063E2D8B" w14:textId="503809A9" w:rsidR="003F0EEF" w:rsidRDefault="00B63BC9" w:rsidP="007E7248">
      <w:pPr>
        <w:ind w:left="426" w:firstLine="282"/>
        <w:jc w:val="both"/>
      </w:pPr>
      <w:r w:rsidRPr="008377B5">
        <w:rPr>
          <w:rFonts w:cs="Arial"/>
          <w:szCs w:val="22"/>
        </w:rPr>
        <w:t>E-mail:</w:t>
      </w:r>
      <w:r w:rsidR="00557308">
        <w:rPr>
          <w:rFonts w:cs="Arial"/>
          <w:szCs w:val="22"/>
        </w:rPr>
        <w:t xml:space="preserve"> </w:t>
      </w:r>
      <w:bookmarkEnd w:id="13"/>
      <w:r w:rsidR="001427F9">
        <w:rPr>
          <w:rFonts w:cs="Arial"/>
          <w:bCs/>
          <w:snapToGrid w:val="0"/>
          <w:szCs w:val="22"/>
        </w:rPr>
        <w:t>XXXXX</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4"/>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 xml:space="preserve">Smluvní strany berou na vědomí a souhlasí s tím, že tato smlouva, včetně jejích případných změn, bude zveřejněna na základě zákona č. 106/1999 Sb., o svobodném </w:t>
      </w:r>
      <w:r w:rsidRPr="00843160">
        <w:rPr>
          <w:rStyle w:val="l-L2Char"/>
          <w:rFonts w:cs="Arial"/>
          <w:b w:val="0"/>
          <w:szCs w:val="22"/>
          <w:u w:val="none"/>
        </w:rPr>
        <w:lastRenderedPageBreak/>
        <w:t>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5B1CE92D" w:rsidR="00CB55C3" w:rsidRPr="004D5F78" w:rsidRDefault="00CB55C3" w:rsidP="00847518">
            <w:pPr>
              <w:spacing w:line="288" w:lineRule="auto"/>
              <w:rPr>
                <w:rFonts w:cs="Arial"/>
                <w:szCs w:val="22"/>
              </w:rPr>
            </w:pPr>
            <w:r w:rsidRPr="004D5F78">
              <w:rPr>
                <w:rFonts w:cs="Arial"/>
                <w:szCs w:val="22"/>
              </w:rPr>
              <w:t>V</w:t>
            </w:r>
            <w:r w:rsidR="0042274A">
              <w:rPr>
                <w:rFonts w:cs="Arial"/>
                <w:szCs w:val="22"/>
              </w:rPr>
              <w:t> </w:t>
            </w:r>
            <w:r w:rsidR="00557308">
              <w:rPr>
                <w:rFonts w:cs="Arial"/>
                <w:szCs w:val="22"/>
              </w:rPr>
              <w:t>Mělníku</w:t>
            </w:r>
            <w:r w:rsidR="0042274A">
              <w:rPr>
                <w:rFonts w:cs="Arial"/>
                <w:szCs w:val="22"/>
              </w:rPr>
              <w:t xml:space="preserve"> </w:t>
            </w:r>
            <w:r w:rsidR="007A3404">
              <w:rPr>
                <w:rFonts w:cs="Arial"/>
                <w:szCs w:val="22"/>
              </w:rPr>
              <w:t xml:space="preserve">dne </w:t>
            </w:r>
            <w:r w:rsidR="005A6160">
              <w:rPr>
                <w:rFonts w:cs="Arial"/>
                <w:szCs w:val="22"/>
              </w:rPr>
              <w:t>10. 5. 2024</w:t>
            </w:r>
          </w:p>
        </w:tc>
        <w:tc>
          <w:tcPr>
            <w:tcW w:w="4606" w:type="dxa"/>
            <w:shd w:val="clear" w:color="auto" w:fill="auto"/>
          </w:tcPr>
          <w:p w14:paraId="0C4852A3" w14:textId="7450C26C" w:rsidR="00CB55C3" w:rsidRPr="004D5F78" w:rsidRDefault="00CB55C3" w:rsidP="003E1831">
            <w:pPr>
              <w:spacing w:line="288" w:lineRule="auto"/>
              <w:rPr>
                <w:rFonts w:cs="Arial"/>
                <w:szCs w:val="22"/>
              </w:rPr>
            </w:pPr>
            <w:r w:rsidRPr="004D5F78">
              <w:rPr>
                <w:rFonts w:cs="Arial"/>
                <w:szCs w:val="22"/>
              </w:rPr>
              <w:t>V</w:t>
            </w:r>
            <w:r w:rsidR="003E1831">
              <w:rPr>
                <w:rFonts w:cs="Arial"/>
                <w:szCs w:val="22"/>
              </w:rPr>
              <w:t xml:space="preserve"> Plzni</w:t>
            </w:r>
            <w:r w:rsidR="007A3404">
              <w:rPr>
                <w:rFonts w:cs="Arial"/>
                <w:szCs w:val="22"/>
              </w:rPr>
              <w:t xml:space="preserve"> dne </w:t>
            </w:r>
            <w:r w:rsidR="005A6160">
              <w:rPr>
                <w:rFonts w:cs="Arial"/>
                <w:szCs w:val="22"/>
              </w:rPr>
              <w:t>9. 5. 2024</w:t>
            </w:r>
          </w:p>
        </w:tc>
      </w:tr>
      <w:tr w:rsidR="00CB55C3" w:rsidRPr="004D5F78" w14:paraId="5EE2D6A9" w14:textId="77777777" w:rsidTr="0077220E">
        <w:tc>
          <w:tcPr>
            <w:tcW w:w="4606" w:type="dxa"/>
            <w:shd w:val="clear" w:color="auto" w:fill="auto"/>
          </w:tcPr>
          <w:p w14:paraId="01E00737" w14:textId="77777777" w:rsidR="00CB55C3" w:rsidRDefault="00CB55C3" w:rsidP="00AE2DC5">
            <w:pPr>
              <w:spacing w:line="288" w:lineRule="auto"/>
              <w:jc w:val="center"/>
              <w:rPr>
                <w:rFonts w:cs="Arial"/>
                <w:szCs w:val="22"/>
              </w:rPr>
            </w:pPr>
          </w:p>
          <w:p w14:paraId="24346A52" w14:textId="77777777" w:rsidR="00C764C4" w:rsidRDefault="00C764C4" w:rsidP="00AE2DC5">
            <w:pPr>
              <w:spacing w:line="288" w:lineRule="auto"/>
              <w:jc w:val="center"/>
              <w:rPr>
                <w:rFonts w:cs="Arial"/>
                <w:szCs w:val="22"/>
              </w:rPr>
            </w:pPr>
          </w:p>
          <w:p w14:paraId="335A0718" w14:textId="77777777" w:rsidR="00C764C4" w:rsidRPr="004D5F78" w:rsidRDefault="00C764C4"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641DA747" w14:textId="77777777" w:rsidR="003A6CA4" w:rsidRDefault="003A6CA4" w:rsidP="00AE2DC5">
            <w:pPr>
              <w:spacing w:line="288" w:lineRule="auto"/>
              <w:jc w:val="center"/>
              <w:rPr>
                <w:rFonts w:cs="Arial"/>
                <w:b/>
                <w:szCs w:val="22"/>
              </w:rPr>
            </w:pPr>
            <w:r>
              <w:rPr>
                <w:rFonts w:cs="Arial"/>
                <w:b/>
                <w:szCs w:val="22"/>
              </w:rPr>
              <w:t>Ing. Jiří Veselý</w:t>
            </w:r>
          </w:p>
          <w:p w14:paraId="0EDDB484" w14:textId="77777777" w:rsidR="003A6CA4" w:rsidRDefault="003A6CA4" w:rsidP="00AE2DC5">
            <w:pPr>
              <w:spacing w:line="288" w:lineRule="auto"/>
              <w:jc w:val="center"/>
              <w:rPr>
                <w:rFonts w:cs="Arial"/>
                <w:b/>
                <w:szCs w:val="22"/>
              </w:rPr>
            </w:pPr>
            <w:r>
              <w:rPr>
                <w:rFonts w:cs="Arial"/>
                <w:b/>
                <w:szCs w:val="22"/>
              </w:rPr>
              <w:t>ředitel KPÚ pro Středočeský kraj a hlavní město Praha</w:t>
            </w:r>
          </w:p>
          <w:p w14:paraId="4A2EABB3" w14:textId="1321B306"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515F3DCE" w14:textId="2B53CC00" w:rsidR="003A6CA4" w:rsidRDefault="00B750BC" w:rsidP="00AE2DC5">
            <w:pPr>
              <w:spacing w:line="288" w:lineRule="auto"/>
              <w:jc w:val="center"/>
              <w:rPr>
                <w:rFonts w:cs="Arial"/>
                <w:b/>
                <w:bCs/>
              </w:rPr>
            </w:pPr>
            <w:r w:rsidRPr="003E1831">
              <w:rPr>
                <w:rFonts w:cs="Arial"/>
                <w:b/>
                <w:bCs/>
              </w:rPr>
              <w:t>Martin Vondráček</w:t>
            </w:r>
          </w:p>
          <w:p w14:paraId="6CF0D0B9" w14:textId="73B17B22" w:rsidR="00B750BC" w:rsidRDefault="00B750BC" w:rsidP="00AE2DC5">
            <w:pPr>
              <w:spacing w:line="288" w:lineRule="auto"/>
              <w:jc w:val="center"/>
              <w:rPr>
                <w:rFonts w:cs="Arial"/>
                <w:b/>
                <w:bCs/>
              </w:rPr>
            </w:pPr>
            <w:r>
              <w:rPr>
                <w:rFonts w:cs="Arial"/>
                <w:b/>
                <w:bCs/>
              </w:rPr>
              <w:t>jednatel GEOREAL spol. s r.o.</w:t>
            </w:r>
          </w:p>
          <w:p w14:paraId="7B7DC438" w14:textId="124DE538" w:rsidR="00CB55C3" w:rsidRPr="004D5F78" w:rsidRDefault="00CB55C3" w:rsidP="00AE2DC5">
            <w:pPr>
              <w:spacing w:line="288" w:lineRule="auto"/>
              <w:jc w:val="center"/>
              <w:rPr>
                <w:rFonts w:cs="Arial"/>
                <w:b/>
                <w:szCs w:val="22"/>
              </w:rPr>
            </w:pPr>
            <w:r w:rsidRPr="004D5F78">
              <w:rPr>
                <w:rFonts w:cs="Arial"/>
                <w:b/>
                <w:szCs w:val="22"/>
              </w:rPr>
              <w:t>zhotovitel</w:t>
            </w:r>
          </w:p>
        </w:tc>
      </w:tr>
    </w:tbl>
    <w:p w14:paraId="2BB05355" w14:textId="77777777" w:rsidR="000524D5" w:rsidRPr="004D5F78" w:rsidRDefault="000524D5" w:rsidP="00AE2DC5">
      <w:pPr>
        <w:spacing w:line="276" w:lineRule="auto"/>
        <w:rPr>
          <w:rFonts w:cs="Arial"/>
          <w:szCs w:val="22"/>
        </w:rPr>
      </w:pPr>
    </w:p>
    <w:p w14:paraId="5F39A8EF" w14:textId="77777777" w:rsidR="003A6CA4" w:rsidRDefault="003A6CA4" w:rsidP="006D50D1">
      <w:pPr>
        <w:pStyle w:val="Nadpis1"/>
        <w:keepNext w:val="0"/>
        <w:jc w:val="center"/>
        <w:rPr>
          <w:sz w:val="22"/>
          <w:szCs w:val="22"/>
        </w:rPr>
      </w:pPr>
    </w:p>
    <w:p w14:paraId="66312954" w14:textId="77777777" w:rsidR="003A6CA4" w:rsidRDefault="003A6CA4" w:rsidP="006D50D1">
      <w:pPr>
        <w:pStyle w:val="Nadpis1"/>
        <w:keepNext w:val="0"/>
        <w:jc w:val="center"/>
        <w:rPr>
          <w:sz w:val="22"/>
          <w:szCs w:val="22"/>
        </w:rPr>
      </w:pPr>
    </w:p>
    <w:p w14:paraId="5E4727B8" w14:textId="77777777" w:rsidR="00C764C4" w:rsidRDefault="00C764C4" w:rsidP="006D50D1">
      <w:pPr>
        <w:pStyle w:val="Nadpis1"/>
        <w:keepNext w:val="0"/>
        <w:jc w:val="center"/>
        <w:rPr>
          <w:sz w:val="22"/>
          <w:szCs w:val="22"/>
        </w:rPr>
      </w:pPr>
    </w:p>
    <w:p w14:paraId="20432DD1" w14:textId="77777777" w:rsidR="00C764C4" w:rsidRDefault="00C764C4" w:rsidP="006D50D1">
      <w:pPr>
        <w:pStyle w:val="Nadpis1"/>
        <w:keepNext w:val="0"/>
        <w:jc w:val="center"/>
        <w:rPr>
          <w:sz w:val="22"/>
          <w:szCs w:val="22"/>
        </w:rPr>
      </w:pPr>
    </w:p>
    <w:p w14:paraId="5741107B" w14:textId="7FC26E69" w:rsidR="00C764C4" w:rsidRPr="00743FF9" w:rsidRDefault="00743FF9" w:rsidP="00AE52C1">
      <w:pPr>
        <w:pStyle w:val="Nadpis1"/>
        <w:keepNext w:val="0"/>
        <w:rPr>
          <w:b w:val="0"/>
          <w:bCs w:val="0"/>
          <w:sz w:val="18"/>
          <w:szCs w:val="18"/>
        </w:rPr>
      </w:pPr>
      <w:r w:rsidRPr="00743FF9">
        <w:rPr>
          <w:b w:val="0"/>
          <w:bCs w:val="0"/>
          <w:sz w:val="18"/>
          <w:szCs w:val="18"/>
        </w:rPr>
        <w:t>Za správnost: Gabriela Poláková</w:t>
      </w:r>
    </w:p>
    <w:p w14:paraId="153EBC6A" w14:textId="77777777" w:rsidR="00C764C4" w:rsidRDefault="00C764C4" w:rsidP="006D50D1">
      <w:pPr>
        <w:pStyle w:val="Nadpis1"/>
        <w:keepNext w:val="0"/>
        <w:jc w:val="center"/>
        <w:rPr>
          <w:sz w:val="22"/>
          <w:szCs w:val="22"/>
        </w:rPr>
      </w:pPr>
    </w:p>
    <w:p w14:paraId="25B8414E" w14:textId="762219A5"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w:t>
      </w:r>
      <w:r w:rsidRPr="004D5F78">
        <w:rPr>
          <w:rStyle w:val="l-L2Char"/>
          <w:rFonts w:cs="Arial"/>
          <w:b w:val="0"/>
          <w:szCs w:val="22"/>
          <w:u w:val="none"/>
        </w:rPr>
        <w:lastRenderedPageBreak/>
        <w:t>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5C10C258"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w:t>
      </w:r>
      <w:r w:rsidR="00FC0B12">
        <w:rPr>
          <w:rStyle w:val="l-L2Char"/>
          <w:rFonts w:cs="Arial"/>
          <w:b w:val="0"/>
          <w:i/>
          <w:szCs w:val="22"/>
          <w:u w:val="none"/>
        </w:rPr>
        <w:t>,</w:t>
      </w:r>
      <w:r w:rsidR="005E6D45" w:rsidRPr="004D5F78">
        <w:rPr>
          <w:rStyle w:val="l-L2Char"/>
          <w:rFonts w:cs="Arial"/>
          <w:b w:val="0"/>
          <w:i/>
          <w:szCs w:val="22"/>
          <w:u w:val="none"/>
        </w:rPr>
        <w:t xml:space="preserv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6A504262" w:rsidR="00F829EA" w:rsidRPr="00A602A2" w:rsidRDefault="00D10A31" w:rsidP="00B70B1E">
      <w:pPr>
        <w:pStyle w:val="l-L1"/>
        <w:keepNext w:val="0"/>
        <w:numPr>
          <w:ilvl w:val="0"/>
          <w:numId w:val="0"/>
        </w:numPr>
        <w:spacing w:before="120" w:after="120"/>
        <w:ind w:left="1212"/>
        <w:jc w:val="left"/>
        <w:rPr>
          <w:rStyle w:val="l-L2Char"/>
          <w:rFonts w:cs="Arial"/>
          <w:b w:val="0"/>
          <w:bCs/>
          <w:szCs w:val="22"/>
          <w:u w:val="none"/>
        </w:rPr>
      </w:pPr>
      <w:proofErr w:type="spellStart"/>
      <w:r w:rsidRPr="00A602A2">
        <w:rPr>
          <w:rFonts w:ascii="Arial" w:hAnsi="Arial" w:cs="Arial"/>
          <w:b w:val="0"/>
          <w:bCs/>
          <w:szCs w:val="22"/>
          <w:u w:val="none"/>
          <w:lang w:val="en-US"/>
        </w:rPr>
        <w:t>Stručná</w:t>
      </w:r>
      <w:proofErr w:type="spellEnd"/>
      <w:r w:rsidRPr="00A602A2">
        <w:rPr>
          <w:rFonts w:ascii="Arial" w:hAnsi="Arial" w:cs="Arial"/>
          <w:b w:val="0"/>
          <w:bCs/>
          <w:szCs w:val="22"/>
          <w:u w:val="none"/>
          <w:lang w:val="en-US"/>
        </w:rPr>
        <w:t xml:space="preserve"> </w:t>
      </w:r>
      <w:proofErr w:type="spellStart"/>
      <w:r w:rsidRPr="00A602A2">
        <w:rPr>
          <w:rFonts w:ascii="Arial" w:hAnsi="Arial" w:cs="Arial"/>
          <w:b w:val="0"/>
          <w:bCs/>
          <w:szCs w:val="22"/>
          <w:u w:val="none"/>
          <w:lang w:val="en-US"/>
        </w:rPr>
        <w:t>technická</w:t>
      </w:r>
      <w:proofErr w:type="spellEnd"/>
      <w:r w:rsidRPr="00A602A2">
        <w:rPr>
          <w:rFonts w:ascii="Arial" w:hAnsi="Arial" w:cs="Arial"/>
          <w:b w:val="0"/>
          <w:bCs/>
          <w:szCs w:val="22"/>
          <w:u w:val="none"/>
          <w:lang w:val="en-US"/>
        </w:rPr>
        <w:t xml:space="preserve"> </w:t>
      </w:r>
      <w:proofErr w:type="spellStart"/>
      <w:r w:rsidRPr="00A602A2">
        <w:rPr>
          <w:rFonts w:ascii="Arial" w:hAnsi="Arial" w:cs="Arial"/>
          <w:b w:val="0"/>
          <w:bCs/>
          <w:szCs w:val="22"/>
          <w:u w:val="none"/>
          <w:lang w:val="en-US"/>
        </w:rPr>
        <w:t>zpráva</w:t>
      </w:r>
      <w:proofErr w:type="spellEnd"/>
      <w:r w:rsidRPr="00A602A2">
        <w:rPr>
          <w:rFonts w:ascii="Arial" w:hAnsi="Arial" w:cs="Arial"/>
          <w:b w:val="0"/>
          <w:bCs/>
          <w:szCs w:val="22"/>
          <w:u w:val="none"/>
          <w:lang w:val="en-US"/>
        </w:rPr>
        <w:t xml:space="preserve">, </w:t>
      </w:r>
      <w:proofErr w:type="spellStart"/>
      <w:r w:rsidRPr="00A602A2">
        <w:rPr>
          <w:rFonts w:ascii="Arial" w:hAnsi="Arial" w:cs="Arial"/>
          <w:b w:val="0"/>
          <w:bCs/>
          <w:szCs w:val="22"/>
          <w:u w:val="none"/>
          <w:lang w:val="en-US"/>
        </w:rPr>
        <w:t>grafické</w:t>
      </w:r>
      <w:proofErr w:type="spellEnd"/>
      <w:r w:rsidRPr="00A602A2">
        <w:rPr>
          <w:rFonts w:ascii="Arial" w:hAnsi="Arial" w:cs="Arial"/>
          <w:b w:val="0"/>
          <w:bCs/>
          <w:szCs w:val="22"/>
          <w:u w:val="none"/>
          <w:lang w:val="en-US"/>
        </w:rPr>
        <w:t xml:space="preserve"> a </w:t>
      </w:r>
      <w:proofErr w:type="spellStart"/>
      <w:r w:rsidRPr="00A602A2">
        <w:rPr>
          <w:rFonts w:ascii="Arial" w:hAnsi="Arial" w:cs="Arial"/>
          <w:b w:val="0"/>
          <w:bCs/>
          <w:szCs w:val="22"/>
          <w:u w:val="none"/>
          <w:lang w:val="en-US"/>
        </w:rPr>
        <w:t>textové</w:t>
      </w:r>
      <w:proofErr w:type="spellEnd"/>
      <w:r w:rsidRPr="00A602A2">
        <w:rPr>
          <w:rFonts w:ascii="Arial" w:hAnsi="Arial" w:cs="Arial"/>
          <w:b w:val="0"/>
          <w:bCs/>
          <w:szCs w:val="22"/>
          <w:u w:val="none"/>
          <w:lang w:val="en-US"/>
        </w:rPr>
        <w:t xml:space="preserve"> </w:t>
      </w:r>
      <w:proofErr w:type="spellStart"/>
      <w:r w:rsidRPr="00A602A2">
        <w:rPr>
          <w:rFonts w:ascii="Arial" w:hAnsi="Arial" w:cs="Arial"/>
          <w:b w:val="0"/>
          <w:bCs/>
          <w:szCs w:val="22"/>
          <w:u w:val="none"/>
          <w:lang w:val="en-US"/>
        </w:rPr>
        <w:t>přílohy</w:t>
      </w:r>
      <w:proofErr w:type="spellEnd"/>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4E9309B5" w:rsidR="00F829EA" w:rsidRPr="00A602A2" w:rsidRDefault="00A602A2" w:rsidP="00E172A7">
      <w:pPr>
        <w:pStyle w:val="l-L1"/>
        <w:keepNext w:val="0"/>
        <w:numPr>
          <w:ilvl w:val="0"/>
          <w:numId w:val="0"/>
        </w:numPr>
        <w:spacing w:before="120" w:after="120"/>
        <w:ind w:left="1212"/>
        <w:jc w:val="left"/>
        <w:rPr>
          <w:rStyle w:val="l-L2Char"/>
          <w:rFonts w:cs="Arial"/>
          <w:b w:val="0"/>
          <w:bCs/>
          <w:szCs w:val="22"/>
          <w:u w:val="none"/>
        </w:rPr>
      </w:pPr>
      <w:r w:rsidRPr="00A602A2">
        <w:rPr>
          <w:rStyle w:val="l-L2Char"/>
          <w:rFonts w:cs="Arial"/>
          <w:b w:val="0"/>
          <w:bCs/>
          <w:szCs w:val="22"/>
          <w:u w:val="none"/>
        </w:rPr>
        <w:t>PSZ KoPÚ Lobeč u Mšena</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F06D75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047FEF1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3B03E799"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D4EAA58" w:rsidR="005A32C1" w:rsidRPr="0006284B" w:rsidRDefault="005A32C1" w:rsidP="0006284B">
      <w:pPr>
        <w:spacing w:after="0" w:line="240" w:lineRule="auto"/>
        <w:rPr>
          <w:rFonts w:cs="Arial"/>
          <w:szCs w:val="22"/>
          <w:lang w:eastAsia="en-US"/>
        </w:rPr>
      </w:pP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lastRenderedPageBreak/>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lastRenderedPageBreak/>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sectPr w:rsidR="001A027C" w:rsidRPr="004D5F78" w:rsidSect="0046236E">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FFB8" w14:textId="77777777" w:rsidR="00CE633D" w:rsidRDefault="00CE633D">
      <w:r>
        <w:separator/>
      </w:r>
    </w:p>
  </w:endnote>
  <w:endnote w:type="continuationSeparator" w:id="0">
    <w:p w14:paraId="3C8C2A46" w14:textId="77777777" w:rsidR="00CE633D" w:rsidRDefault="00CE633D">
      <w:r>
        <w:continuationSeparator/>
      </w:r>
    </w:p>
  </w:endnote>
  <w:endnote w:type="continuationNotice" w:id="1">
    <w:p w14:paraId="446B1F29" w14:textId="77777777" w:rsidR="00CE633D" w:rsidRDefault="00CE633D"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44296458"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E574E">
      <w:rPr>
        <w:rStyle w:val="slostrnky"/>
        <w:noProof/>
      </w:rPr>
      <w:t>3</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7C5A" w14:textId="77777777" w:rsidR="00CE633D" w:rsidRDefault="00CE633D">
      <w:r>
        <w:separator/>
      </w:r>
    </w:p>
  </w:footnote>
  <w:footnote w:type="continuationSeparator" w:id="0">
    <w:p w14:paraId="042C0F8D" w14:textId="77777777" w:rsidR="00CE633D" w:rsidRDefault="00CE633D">
      <w:r>
        <w:continuationSeparator/>
      </w:r>
    </w:p>
  </w:footnote>
  <w:footnote w:type="continuationNotice" w:id="1">
    <w:p w14:paraId="783BAABA" w14:textId="77777777" w:rsidR="00CE633D" w:rsidRDefault="00CE633D"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68407D2E" w:rsidR="0053219E" w:rsidRDefault="0053219E" w:rsidP="00C17D61">
    <w:pPr>
      <w:pStyle w:val="Zhlav"/>
      <w:jc w:val="right"/>
      <w:rPr>
        <w:sz w:val="16"/>
        <w:szCs w:val="16"/>
      </w:rPr>
    </w:pPr>
    <w:r>
      <w:t xml:space="preserve">                                                                                   </w:t>
    </w:r>
    <w:r w:rsidR="004E49D6">
      <w:tab/>
    </w:r>
    <w:r>
      <w:t xml:space="preserve"> </w:t>
    </w:r>
    <w:r w:rsidRPr="0015467D">
      <w:rPr>
        <w:sz w:val="16"/>
        <w:szCs w:val="16"/>
      </w:rPr>
      <w:t>Číslo smlouvy objednatele:</w:t>
    </w:r>
    <w:r w:rsidR="00F014DC">
      <w:rPr>
        <w:sz w:val="16"/>
        <w:szCs w:val="16"/>
      </w:rPr>
      <w:t xml:space="preserve"> </w:t>
    </w:r>
    <w:r w:rsidR="00F014DC" w:rsidRPr="00F014DC">
      <w:rPr>
        <w:sz w:val="16"/>
        <w:szCs w:val="16"/>
      </w:rPr>
      <w:t>327-2024-537207</w:t>
    </w:r>
  </w:p>
  <w:p w14:paraId="5980D755" w14:textId="6CE02AA4" w:rsidR="00C17D61" w:rsidRPr="0015467D" w:rsidRDefault="00C17D61" w:rsidP="00C17D61">
    <w:pPr>
      <w:pStyle w:val="Zhlav"/>
      <w:jc w:val="right"/>
      <w:rPr>
        <w:sz w:val="16"/>
        <w:szCs w:val="16"/>
      </w:rPr>
    </w:pPr>
    <w:r>
      <w:rPr>
        <w:sz w:val="16"/>
        <w:szCs w:val="16"/>
      </w:rPr>
      <w:t xml:space="preserve">Číslo jednací objednatele: </w:t>
    </w:r>
    <w:r w:rsidRPr="00C17D61">
      <w:rPr>
        <w:sz w:val="16"/>
        <w:szCs w:val="16"/>
      </w:rPr>
      <w:t>SPU 178576/2024</w:t>
    </w:r>
  </w:p>
  <w:p w14:paraId="3CED7CE2" w14:textId="336296D0" w:rsidR="0053219E" w:rsidRPr="00B16ADC" w:rsidRDefault="0053219E" w:rsidP="00C17D61">
    <w:pPr>
      <w:pStyle w:val="Zhlav"/>
      <w:jc w:val="right"/>
      <w:rPr>
        <w:sz w:val="16"/>
        <w:szCs w:val="16"/>
      </w:rPr>
    </w:pPr>
    <w:r w:rsidRPr="0015467D">
      <w:rPr>
        <w:sz w:val="16"/>
        <w:szCs w:val="16"/>
      </w:rPr>
      <w:t xml:space="preserve">                                                                                  </w:t>
    </w:r>
    <w:r>
      <w:rPr>
        <w:sz w:val="16"/>
        <w:szCs w:val="16"/>
      </w:rPr>
      <w:t xml:space="preserve">                                 </w:t>
    </w:r>
    <w:r w:rsidRPr="0015467D">
      <w:rPr>
        <w:sz w:val="16"/>
        <w:szCs w:val="16"/>
      </w:rPr>
      <w:t xml:space="preserve"> </w:t>
    </w:r>
    <w:r w:rsidR="004E49D6">
      <w:rPr>
        <w:sz w:val="16"/>
        <w:szCs w:val="16"/>
      </w:rPr>
      <w:tab/>
    </w:r>
    <w:r w:rsidRPr="0015467D">
      <w:rPr>
        <w:sz w:val="16"/>
        <w:szCs w:val="16"/>
      </w:rPr>
      <w:t xml:space="preserve"> </w:t>
    </w:r>
    <w:r w:rsidRPr="00B16ADC">
      <w:rPr>
        <w:sz w:val="16"/>
        <w:szCs w:val="16"/>
      </w:rPr>
      <w:t>Číslo smlouvy</w:t>
    </w:r>
    <w:r w:rsidRPr="0015467D">
      <w:rPr>
        <w:sz w:val="16"/>
        <w:szCs w:val="16"/>
      </w:rPr>
      <w:t xml:space="preserve"> zhotovitele:      </w:t>
    </w:r>
  </w:p>
  <w:p w14:paraId="7DDCB2C7" w14:textId="324C4793" w:rsidR="0053219E" w:rsidRPr="0047679A" w:rsidRDefault="0053219E" w:rsidP="00C17D61">
    <w:pPr>
      <w:pStyle w:val="Zhlav"/>
      <w:jc w:val="right"/>
      <w:rPr>
        <w:sz w:val="16"/>
        <w:szCs w:val="16"/>
      </w:rPr>
    </w:pPr>
    <w:r>
      <w:rPr>
        <w:sz w:val="16"/>
        <w:szCs w:val="16"/>
      </w:rPr>
      <w:tab/>
      <w:t xml:space="preserve">               </w:t>
    </w:r>
    <w:r w:rsidR="004E49D6">
      <w:rPr>
        <w:sz w:val="16"/>
        <w:szCs w:val="16"/>
      </w:rPr>
      <w:tab/>
    </w:r>
    <w:proofErr w:type="gramStart"/>
    <w:r w:rsidR="004E49D6">
      <w:rPr>
        <w:sz w:val="16"/>
        <w:szCs w:val="16"/>
      </w:rPr>
      <w:t xml:space="preserve">UID: </w:t>
    </w:r>
    <w:r>
      <w:rPr>
        <w:sz w:val="16"/>
        <w:szCs w:val="16"/>
      </w:rPr>
      <w:t xml:space="preserve"> </w:t>
    </w:r>
    <w:r w:rsidR="004E49D6" w:rsidRPr="004E49D6">
      <w:rPr>
        <w:sz w:val="16"/>
        <w:szCs w:val="16"/>
      </w:rPr>
      <w:t>spudms</w:t>
    </w:r>
    <w:proofErr w:type="gramEnd"/>
    <w:r w:rsidR="004E49D6" w:rsidRPr="004E49D6">
      <w:rPr>
        <w:sz w:val="16"/>
        <w:szCs w:val="16"/>
      </w:rPr>
      <w:t>00000014550742</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00D687F"/>
    <w:multiLevelType w:val="hybridMultilevel"/>
    <w:tmpl w:val="1AF808DE"/>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7"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8"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10"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2"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7D76A88"/>
    <w:multiLevelType w:val="hybridMultilevel"/>
    <w:tmpl w:val="491E9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2"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6"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1"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2"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4"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40"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6"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F82383"/>
    <w:multiLevelType w:val="hybridMultilevel"/>
    <w:tmpl w:val="2B443742"/>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0"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51"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2" w15:restartNumberingAfterBreak="0">
    <w:nsid w:val="7E6840C9"/>
    <w:multiLevelType w:val="hybridMultilevel"/>
    <w:tmpl w:val="2DA46DE8"/>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3"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4"/>
  </w:num>
  <w:num w:numId="2" w16cid:durableId="2114930269">
    <w:abstractNumId w:val="33"/>
  </w:num>
  <w:num w:numId="3" w16cid:durableId="1583028044">
    <w:abstractNumId w:val="5"/>
  </w:num>
  <w:num w:numId="4" w16cid:durableId="1835758606">
    <w:abstractNumId w:val="39"/>
  </w:num>
  <w:num w:numId="5" w16cid:durableId="1697150642">
    <w:abstractNumId w:val="17"/>
  </w:num>
  <w:num w:numId="6" w16cid:durableId="1571454710">
    <w:abstractNumId w:val="19"/>
  </w:num>
  <w:num w:numId="7" w16cid:durableId="1761486639">
    <w:abstractNumId w:val="24"/>
  </w:num>
  <w:num w:numId="8" w16cid:durableId="2006738790">
    <w:abstractNumId w:val="41"/>
  </w:num>
  <w:num w:numId="9" w16cid:durableId="762074396">
    <w:abstractNumId w:val="23"/>
  </w:num>
  <w:num w:numId="10" w16cid:durableId="1864318767">
    <w:abstractNumId w:val="50"/>
  </w:num>
  <w:num w:numId="11" w16cid:durableId="1475369711">
    <w:abstractNumId w:val="43"/>
  </w:num>
  <w:num w:numId="12" w16cid:durableId="1533031338">
    <w:abstractNumId w:val="11"/>
  </w:num>
  <w:num w:numId="13" w16cid:durableId="1546485031">
    <w:abstractNumId w:val="9"/>
  </w:num>
  <w:num w:numId="14" w16cid:durableId="1382049682">
    <w:abstractNumId w:val="29"/>
  </w:num>
  <w:num w:numId="15" w16cid:durableId="1314410056">
    <w:abstractNumId w:val="1"/>
  </w:num>
  <w:num w:numId="16" w16cid:durableId="2110806494">
    <w:abstractNumId w:val="6"/>
  </w:num>
  <w:num w:numId="17" w16cid:durableId="1958099373">
    <w:abstractNumId w:val="35"/>
  </w:num>
  <w:num w:numId="18" w16cid:durableId="1563248476">
    <w:abstractNumId w:val="44"/>
  </w:num>
  <w:num w:numId="19" w16cid:durableId="377126311">
    <w:abstractNumId w:val="25"/>
  </w:num>
  <w:num w:numId="20" w16cid:durableId="1677882057">
    <w:abstractNumId w:val="21"/>
  </w:num>
  <w:num w:numId="21" w16cid:durableId="324018152">
    <w:abstractNumId w:val="42"/>
  </w:num>
  <w:num w:numId="22" w16cid:durableId="604003052">
    <w:abstractNumId w:val="46"/>
  </w:num>
  <w:num w:numId="23" w16cid:durableId="607667109">
    <w:abstractNumId w:val="48"/>
  </w:num>
  <w:num w:numId="24" w16cid:durableId="1071390893">
    <w:abstractNumId w:val="14"/>
  </w:num>
  <w:num w:numId="25" w16cid:durableId="915554219">
    <w:abstractNumId w:val="32"/>
  </w:num>
  <w:num w:numId="26" w16cid:durableId="1075981442">
    <w:abstractNumId w:val="45"/>
  </w:num>
  <w:num w:numId="27" w16cid:durableId="1604877227">
    <w:abstractNumId w:val="54"/>
  </w:num>
  <w:num w:numId="28" w16cid:durableId="933707985">
    <w:abstractNumId w:val="26"/>
  </w:num>
  <w:num w:numId="29" w16cid:durableId="1851724463">
    <w:abstractNumId w:val="27"/>
  </w:num>
  <w:num w:numId="30" w16cid:durableId="1888832780">
    <w:abstractNumId w:val="12"/>
  </w:num>
  <w:num w:numId="31" w16cid:durableId="776146725">
    <w:abstractNumId w:val="22"/>
  </w:num>
  <w:num w:numId="32" w16cid:durableId="1828863905">
    <w:abstractNumId w:val="31"/>
  </w:num>
  <w:num w:numId="33" w16cid:durableId="1035159206">
    <w:abstractNumId w:val="31"/>
  </w:num>
  <w:num w:numId="34" w16cid:durableId="1667435199">
    <w:abstractNumId w:val="20"/>
  </w:num>
  <w:num w:numId="35" w16cid:durableId="1290817555">
    <w:abstractNumId w:val="47"/>
  </w:num>
  <w:num w:numId="36" w16cid:durableId="93786096">
    <w:abstractNumId w:val="16"/>
  </w:num>
  <w:num w:numId="37" w16cid:durableId="632642394">
    <w:abstractNumId w:val="10"/>
  </w:num>
  <w:num w:numId="38" w16cid:durableId="1201086418">
    <w:abstractNumId w:val="15"/>
  </w:num>
  <w:num w:numId="39" w16cid:durableId="1789274272">
    <w:abstractNumId w:val="10"/>
  </w:num>
  <w:num w:numId="40" w16cid:durableId="1333408867">
    <w:abstractNumId w:val="10"/>
  </w:num>
  <w:num w:numId="41" w16cid:durableId="1905413027">
    <w:abstractNumId w:val="10"/>
  </w:num>
  <w:num w:numId="42" w16cid:durableId="960695404">
    <w:abstractNumId w:val="10"/>
  </w:num>
  <w:num w:numId="43" w16cid:durableId="722485955">
    <w:abstractNumId w:val="10"/>
  </w:num>
  <w:num w:numId="44" w16cid:durableId="1545826192">
    <w:abstractNumId w:val="10"/>
  </w:num>
  <w:num w:numId="45" w16cid:durableId="896549748">
    <w:abstractNumId w:val="10"/>
  </w:num>
  <w:num w:numId="46" w16cid:durableId="1847095564">
    <w:abstractNumId w:val="10"/>
  </w:num>
  <w:num w:numId="47" w16cid:durableId="1099716300">
    <w:abstractNumId w:val="10"/>
  </w:num>
  <w:num w:numId="48" w16cid:durableId="1391077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10"/>
  </w:num>
  <w:num w:numId="50" w16cid:durableId="717781654">
    <w:abstractNumId w:val="10"/>
  </w:num>
  <w:num w:numId="51" w16cid:durableId="1054621514">
    <w:abstractNumId w:val="10"/>
  </w:num>
  <w:num w:numId="52" w16cid:durableId="1458790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10"/>
  </w:num>
  <w:num w:numId="54" w16cid:durableId="1200165992">
    <w:abstractNumId w:val="10"/>
  </w:num>
  <w:num w:numId="55" w16cid:durableId="1945455533">
    <w:abstractNumId w:val="10"/>
  </w:num>
  <w:num w:numId="56" w16cid:durableId="60911033">
    <w:abstractNumId w:val="10"/>
  </w:num>
  <w:num w:numId="57" w16cid:durableId="1706372595">
    <w:abstractNumId w:val="10"/>
  </w:num>
  <w:num w:numId="58" w16cid:durableId="58750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40"/>
  </w:num>
  <w:num w:numId="61" w16cid:durableId="1237323314">
    <w:abstractNumId w:val="10"/>
  </w:num>
  <w:num w:numId="62" w16cid:durableId="616571493">
    <w:abstractNumId w:val="10"/>
  </w:num>
  <w:num w:numId="63" w16cid:durableId="947539231">
    <w:abstractNumId w:val="10"/>
  </w:num>
  <w:num w:numId="64" w16cid:durableId="1000542103">
    <w:abstractNumId w:val="10"/>
  </w:num>
  <w:num w:numId="65" w16cid:durableId="1892841366">
    <w:abstractNumId w:val="10"/>
  </w:num>
  <w:num w:numId="66" w16cid:durableId="1954435298">
    <w:abstractNumId w:val="10"/>
  </w:num>
  <w:num w:numId="67" w16cid:durableId="1270818950">
    <w:abstractNumId w:val="10"/>
  </w:num>
  <w:num w:numId="68" w16cid:durableId="47652877">
    <w:abstractNumId w:val="10"/>
  </w:num>
  <w:num w:numId="69" w16cid:durableId="118035713">
    <w:abstractNumId w:val="4"/>
  </w:num>
  <w:num w:numId="70" w16cid:durableId="1089547974">
    <w:abstractNumId w:val="10"/>
  </w:num>
  <w:num w:numId="71" w16cid:durableId="110785907">
    <w:abstractNumId w:val="37"/>
  </w:num>
  <w:num w:numId="72" w16cid:durableId="1090663296">
    <w:abstractNumId w:val="13"/>
  </w:num>
  <w:num w:numId="73" w16cid:durableId="1548222853">
    <w:abstractNumId w:val="8"/>
  </w:num>
  <w:num w:numId="74" w16cid:durableId="423914998">
    <w:abstractNumId w:val="7"/>
  </w:num>
  <w:num w:numId="75" w16cid:durableId="783765203">
    <w:abstractNumId w:val="51"/>
  </w:num>
  <w:num w:numId="76" w16cid:durableId="1875381046">
    <w:abstractNumId w:val="0"/>
  </w:num>
  <w:num w:numId="77" w16cid:durableId="1879003982">
    <w:abstractNumId w:val="30"/>
  </w:num>
  <w:num w:numId="78" w16cid:durableId="270010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10"/>
  </w:num>
  <w:num w:numId="80" w16cid:durableId="364915471">
    <w:abstractNumId w:val="28"/>
  </w:num>
  <w:num w:numId="81" w16cid:durableId="340395965">
    <w:abstractNumId w:val="36"/>
  </w:num>
  <w:num w:numId="82" w16cid:durableId="782844615">
    <w:abstractNumId w:val="38"/>
  </w:num>
  <w:num w:numId="83" w16cid:durableId="2144418042">
    <w:abstractNumId w:val="2"/>
  </w:num>
  <w:num w:numId="84" w16cid:durableId="336732324">
    <w:abstractNumId w:val="10"/>
  </w:num>
  <w:num w:numId="85" w16cid:durableId="659315654">
    <w:abstractNumId w:val="53"/>
  </w:num>
  <w:num w:numId="86" w16cid:durableId="1687554905">
    <w:abstractNumId w:val="18"/>
  </w:num>
  <w:num w:numId="87" w16cid:durableId="2060545004">
    <w:abstractNumId w:val="3"/>
  </w:num>
  <w:num w:numId="88" w16cid:durableId="1945378593">
    <w:abstractNumId w:val="49"/>
  </w:num>
  <w:num w:numId="89" w16cid:durableId="811139731">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0760"/>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2DB1"/>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7697A"/>
    <w:rsid w:val="000827FC"/>
    <w:rsid w:val="0008462F"/>
    <w:rsid w:val="00085C16"/>
    <w:rsid w:val="000917DD"/>
    <w:rsid w:val="00093A1A"/>
    <w:rsid w:val="00095603"/>
    <w:rsid w:val="000957E4"/>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0DDB"/>
    <w:rsid w:val="000E286B"/>
    <w:rsid w:val="000E6E9C"/>
    <w:rsid w:val="000E778C"/>
    <w:rsid w:val="000F2F2F"/>
    <w:rsid w:val="000F51BD"/>
    <w:rsid w:val="000F5BF7"/>
    <w:rsid w:val="000F6065"/>
    <w:rsid w:val="000F648D"/>
    <w:rsid w:val="000F73CB"/>
    <w:rsid w:val="000F76EF"/>
    <w:rsid w:val="00104895"/>
    <w:rsid w:val="001074D7"/>
    <w:rsid w:val="00112534"/>
    <w:rsid w:val="001146F6"/>
    <w:rsid w:val="00114CB8"/>
    <w:rsid w:val="001177C9"/>
    <w:rsid w:val="00117BB8"/>
    <w:rsid w:val="00124A59"/>
    <w:rsid w:val="00126736"/>
    <w:rsid w:val="00127763"/>
    <w:rsid w:val="00130F68"/>
    <w:rsid w:val="00131905"/>
    <w:rsid w:val="00131B02"/>
    <w:rsid w:val="00132376"/>
    <w:rsid w:val="00133D00"/>
    <w:rsid w:val="001343FF"/>
    <w:rsid w:val="00136F2C"/>
    <w:rsid w:val="0013772F"/>
    <w:rsid w:val="001407A0"/>
    <w:rsid w:val="00141545"/>
    <w:rsid w:val="001427F9"/>
    <w:rsid w:val="00142F4B"/>
    <w:rsid w:val="00146399"/>
    <w:rsid w:val="00146F73"/>
    <w:rsid w:val="00152458"/>
    <w:rsid w:val="00152C73"/>
    <w:rsid w:val="001533E5"/>
    <w:rsid w:val="0015467D"/>
    <w:rsid w:val="00155DAE"/>
    <w:rsid w:val="00157543"/>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0338"/>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5A0"/>
    <w:rsid w:val="002024DC"/>
    <w:rsid w:val="00205F0D"/>
    <w:rsid w:val="00205F6B"/>
    <w:rsid w:val="002067C5"/>
    <w:rsid w:val="00207745"/>
    <w:rsid w:val="00210EB4"/>
    <w:rsid w:val="0021173D"/>
    <w:rsid w:val="00213ADC"/>
    <w:rsid w:val="002147D8"/>
    <w:rsid w:val="002161FC"/>
    <w:rsid w:val="0022069F"/>
    <w:rsid w:val="00225932"/>
    <w:rsid w:val="00232DA4"/>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539"/>
    <w:rsid w:val="00256FEE"/>
    <w:rsid w:val="00261C1F"/>
    <w:rsid w:val="00264B9B"/>
    <w:rsid w:val="00267084"/>
    <w:rsid w:val="002742B7"/>
    <w:rsid w:val="00275FDD"/>
    <w:rsid w:val="00277B16"/>
    <w:rsid w:val="002803B4"/>
    <w:rsid w:val="00280842"/>
    <w:rsid w:val="00281157"/>
    <w:rsid w:val="00285FFE"/>
    <w:rsid w:val="002921CB"/>
    <w:rsid w:val="002954A2"/>
    <w:rsid w:val="002954D1"/>
    <w:rsid w:val="002B0CFD"/>
    <w:rsid w:val="002B4C24"/>
    <w:rsid w:val="002B6870"/>
    <w:rsid w:val="002C0E34"/>
    <w:rsid w:val="002C113C"/>
    <w:rsid w:val="002C6FAE"/>
    <w:rsid w:val="002D10A3"/>
    <w:rsid w:val="002D245C"/>
    <w:rsid w:val="002D35D2"/>
    <w:rsid w:val="002D4C3E"/>
    <w:rsid w:val="002D5ABD"/>
    <w:rsid w:val="002D7772"/>
    <w:rsid w:val="002E0D1A"/>
    <w:rsid w:val="002E4CC8"/>
    <w:rsid w:val="002E57D6"/>
    <w:rsid w:val="002E7E2A"/>
    <w:rsid w:val="002F02E0"/>
    <w:rsid w:val="002F3A87"/>
    <w:rsid w:val="002F4C31"/>
    <w:rsid w:val="002F6773"/>
    <w:rsid w:val="002F782A"/>
    <w:rsid w:val="00306D5E"/>
    <w:rsid w:val="003106B8"/>
    <w:rsid w:val="003117A0"/>
    <w:rsid w:val="0031253C"/>
    <w:rsid w:val="00313A91"/>
    <w:rsid w:val="00313C79"/>
    <w:rsid w:val="003142FB"/>
    <w:rsid w:val="00314977"/>
    <w:rsid w:val="00317B95"/>
    <w:rsid w:val="00321E30"/>
    <w:rsid w:val="00323892"/>
    <w:rsid w:val="00325FC3"/>
    <w:rsid w:val="00326B18"/>
    <w:rsid w:val="00327B76"/>
    <w:rsid w:val="00330BCE"/>
    <w:rsid w:val="00332C92"/>
    <w:rsid w:val="00336FA6"/>
    <w:rsid w:val="003468FB"/>
    <w:rsid w:val="003534A5"/>
    <w:rsid w:val="00353EA1"/>
    <w:rsid w:val="00357DE0"/>
    <w:rsid w:val="00360D9F"/>
    <w:rsid w:val="003629B9"/>
    <w:rsid w:val="00362FAF"/>
    <w:rsid w:val="003653EF"/>
    <w:rsid w:val="003659C2"/>
    <w:rsid w:val="00370FDB"/>
    <w:rsid w:val="00372A83"/>
    <w:rsid w:val="00372F2C"/>
    <w:rsid w:val="003732BF"/>
    <w:rsid w:val="0037518A"/>
    <w:rsid w:val="00380D9B"/>
    <w:rsid w:val="003823D0"/>
    <w:rsid w:val="003902CD"/>
    <w:rsid w:val="003937BC"/>
    <w:rsid w:val="00394CD0"/>
    <w:rsid w:val="00397AB8"/>
    <w:rsid w:val="003A0D94"/>
    <w:rsid w:val="003A222E"/>
    <w:rsid w:val="003A3EEB"/>
    <w:rsid w:val="003A65CB"/>
    <w:rsid w:val="003A6CA4"/>
    <w:rsid w:val="003A7EF3"/>
    <w:rsid w:val="003B2A34"/>
    <w:rsid w:val="003B5CE7"/>
    <w:rsid w:val="003B5DCD"/>
    <w:rsid w:val="003B7031"/>
    <w:rsid w:val="003C2212"/>
    <w:rsid w:val="003C2775"/>
    <w:rsid w:val="003C4DDC"/>
    <w:rsid w:val="003C6C55"/>
    <w:rsid w:val="003C7DFA"/>
    <w:rsid w:val="003D006E"/>
    <w:rsid w:val="003D4D11"/>
    <w:rsid w:val="003D4E11"/>
    <w:rsid w:val="003D65B3"/>
    <w:rsid w:val="003D6DA3"/>
    <w:rsid w:val="003E1831"/>
    <w:rsid w:val="003E1E1C"/>
    <w:rsid w:val="003E6C22"/>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274A"/>
    <w:rsid w:val="00426FA0"/>
    <w:rsid w:val="00430580"/>
    <w:rsid w:val="004358C9"/>
    <w:rsid w:val="00436873"/>
    <w:rsid w:val="00436878"/>
    <w:rsid w:val="00437B7E"/>
    <w:rsid w:val="00437BA6"/>
    <w:rsid w:val="00443C71"/>
    <w:rsid w:val="00453B0F"/>
    <w:rsid w:val="00455978"/>
    <w:rsid w:val="00456216"/>
    <w:rsid w:val="0046000F"/>
    <w:rsid w:val="00461D16"/>
    <w:rsid w:val="00461E82"/>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C2BB4"/>
    <w:rsid w:val="004C45F0"/>
    <w:rsid w:val="004D037A"/>
    <w:rsid w:val="004D2D12"/>
    <w:rsid w:val="004D3145"/>
    <w:rsid w:val="004D3F19"/>
    <w:rsid w:val="004D5F78"/>
    <w:rsid w:val="004D659D"/>
    <w:rsid w:val="004D687E"/>
    <w:rsid w:val="004E02BE"/>
    <w:rsid w:val="004E29A9"/>
    <w:rsid w:val="004E2CB2"/>
    <w:rsid w:val="004E4176"/>
    <w:rsid w:val="004E49D6"/>
    <w:rsid w:val="004E4DA6"/>
    <w:rsid w:val="004E69ED"/>
    <w:rsid w:val="004E723B"/>
    <w:rsid w:val="004E7FB7"/>
    <w:rsid w:val="004F13F9"/>
    <w:rsid w:val="004F154E"/>
    <w:rsid w:val="004F38A5"/>
    <w:rsid w:val="004F3F4E"/>
    <w:rsid w:val="004F64EF"/>
    <w:rsid w:val="00500D7A"/>
    <w:rsid w:val="00501669"/>
    <w:rsid w:val="005026DF"/>
    <w:rsid w:val="00502DDF"/>
    <w:rsid w:val="00505CB7"/>
    <w:rsid w:val="00506188"/>
    <w:rsid w:val="00510351"/>
    <w:rsid w:val="00510C7F"/>
    <w:rsid w:val="00511D68"/>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17A0"/>
    <w:rsid w:val="00552932"/>
    <w:rsid w:val="00552E97"/>
    <w:rsid w:val="005533C8"/>
    <w:rsid w:val="00553C44"/>
    <w:rsid w:val="0055443D"/>
    <w:rsid w:val="00554F69"/>
    <w:rsid w:val="0055538F"/>
    <w:rsid w:val="005553AE"/>
    <w:rsid w:val="00557308"/>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6160"/>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2BA"/>
    <w:rsid w:val="0066162B"/>
    <w:rsid w:val="00661B1A"/>
    <w:rsid w:val="00661CD2"/>
    <w:rsid w:val="00662182"/>
    <w:rsid w:val="00663C13"/>
    <w:rsid w:val="00666E0D"/>
    <w:rsid w:val="00670F32"/>
    <w:rsid w:val="00673F30"/>
    <w:rsid w:val="00674417"/>
    <w:rsid w:val="00674E35"/>
    <w:rsid w:val="006867E4"/>
    <w:rsid w:val="00687EC8"/>
    <w:rsid w:val="00690BC3"/>
    <w:rsid w:val="00690C9D"/>
    <w:rsid w:val="00692028"/>
    <w:rsid w:val="0069418B"/>
    <w:rsid w:val="00696B45"/>
    <w:rsid w:val="006A0F9D"/>
    <w:rsid w:val="006A14DA"/>
    <w:rsid w:val="006A2BA3"/>
    <w:rsid w:val="006A2FB2"/>
    <w:rsid w:val="006A4DDF"/>
    <w:rsid w:val="006A4E33"/>
    <w:rsid w:val="006A70E8"/>
    <w:rsid w:val="006A7309"/>
    <w:rsid w:val="006B0081"/>
    <w:rsid w:val="006B21C5"/>
    <w:rsid w:val="006B2BF9"/>
    <w:rsid w:val="006B4B17"/>
    <w:rsid w:val="006C2DB8"/>
    <w:rsid w:val="006C4AC4"/>
    <w:rsid w:val="006C527F"/>
    <w:rsid w:val="006C581F"/>
    <w:rsid w:val="006C70A1"/>
    <w:rsid w:val="006D0667"/>
    <w:rsid w:val="006D0B98"/>
    <w:rsid w:val="006D0CCE"/>
    <w:rsid w:val="006D50D1"/>
    <w:rsid w:val="006D5E6C"/>
    <w:rsid w:val="006D7BFB"/>
    <w:rsid w:val="006E2293"/>
    <w:rsid w:val="006E2996"/>
    <w:rsid w:val="006F3CD0"/>
    <w:rsid w:val="006F630C"/>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3FF9"/>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3404"/>
    <w:rsid w:val="007A7E6A"/>
    <w:rsid w:val="007B467E"/>
    <w:rsid w:val="007B4FE3"/>
    <w:rsid w:val="007B5B8F"/>
    <w:rsid w:val="007B5D2C"/>
    <w:rsid w:val="007B7420"/>
    <w:rsid w:val="007C4C02"/>
    <w:rsid w:val="007C7BDD"/>
    <w:rsid w:val="007E1651"/>
    <w:rsid w:val="007E28CE"/>
    <w:rsid w:val="007E2CFA"/>
    <w:rsid w:val="007E3837"/>
    <w:rsid w:val="007E595C"/>
    <w:rsid w:val="007E70CD"/>
    <w:rsid w:val="007E7248"/>
    <w:rsid w:val="007F2936"/>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E89"/>
    <w:rsid w:val="008401E3"/>
    <w:rsid w:val="00843160"/>
    <w:rsid w:val="008459F2"/>
    <w:rsid w:val="00846463"/>
    <w:rsid w:val="0084737C"/>
    <w:rsid w:val="00847518"/>
    <w:rsid w:val="00852019"/>
    <w:rsid w:val="00853FFD"/>
    <w:rsid w:val="00855106"/>
    <w:rsid w:val="008627AE"/>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53AA"/>
    <w:rsid w:val="008960AA"/>
    <w:rsid w:val="008A1839"/>
    <w:rsid w:val="008A32E0"/>
    <w:rsid w:val="008A4391"/>
    <w:rsid w:val="008A52EE"/>
    <w:rsid w:val="008A64CA"/>
    <w:rsid w:val="008B058E"/>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502"/>
    <w:rsid w:val="008E7C88"/>
    <w:rsid w:val="008F09ED"/>
    <w:rsid w:val="008F23DA"/>
    <w:rsid w:val="008F7684"/>
    <w:rsid w:val="00901FEF"/>
    <w:rsid w:val="00904729"/>
    <w:rsid w:val="00904CF0"/>
    <w:rsid w:val="00915447"/>
    <w:rsid w:val="00916885"/>
    <w:rsid w:val="009264F2"/>
    <w:rsid w:val="00926A5C"/>
    <w:rsid w:val="00927633"/>
    <w:rsid w:val="00927D9B"/>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5C2A"/>
    <w:rsid w:val="009E6563"/>
    <w:rsid w:val="009F2861"/>
    <w:rsid w:val="009F3075"/>
    <w:rsid w:val="009F30D6"/>
    <w:rsid w:val="009F3720"/>
    <w:rsid w:val="009F5452"/>
    <w:rsid w:val="009F72AB"/>
    <w:rsid w:val="009F7877"/>
    <w:rsid w:val="00A00B54"/>
    <w:rsid w:val="00A01367"/>
    <w:rsid w:val="00A02163"/>
    <w:rsid w:val="00A04035"/>
    <w:rsid w:val="00A05F9D"/>
    <w:rsid w:val="00A06C18"/>
    <w:rsid w:val="00A10143"/>
    <w:rsid w:val="00A10274"/>
    <w:rsid w:val="00A1147A"/>
    <w:rsid w:val="00A126CD"/>
    <w:rsid w:val="00A12FB6"/>
    <w:rsid w:val="00A13487"/>
    <w:rsid w:val="00A14402"/>
    <w:rsid w:val="00A21EC6"/>
    <w:rsid w:val="00A2728C"/>
    <w:rsid w:val="00A30EED"/>
    <w:rsid w:val="00A31242"/>
    <w:rsid w:val="00A31465"/>
    <w:rsid w:val="00A35FE5"/>
    <w:rsid w:val="00A3678B"/>
    <w:rsid w:val="00A368F4"/>
    <w:rsid w:val="00A375CC"/>
    <w:rsid w:val="00A37679"/>
    <w:rsid w:val="00A46A9B"/>
    <w:rsid w:val="00A4753F"/>
    <w:rsid w:val="00A47981"/>
    <w:rsid w:val="00A50845"/>
    <w:rsid w:val="00A508F9"/>
    <w:rsid w:val="00A5565A"/>
    <w:rsid w:val="00A5589B"/>
    <w:rsid w:val="00A56274"/>
    <w:rsid w:val="00A602A2"/>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3FA8"/>
    <w:rsid w:val="00AB7CC6"/>
    <w:rsid w:val="00AC144C"/>
    <w:rsid w:val="00AC34F9"/>
    <w:rsid w:val="00AD1275"/>
    <w:rsid w:val="00AD170C"/>
    <w:rsid w:val="00AD1AA0"/>
    <w:rsid w:val="00AD1C77"/>
    <w:rsid w:val="00AD57A0"/>
    <w:rsid w:val="00AD5D34"/>
    <w:rsid w:val="00AD7B06"/>
    <w:rsid w:val="00AE2DC5"/>
    <w:rsid w:val="00AE33D5"/>
    <w:rsid w:val="00AE43D3"/>
    <w:rsid w:val="00AE52C1"/>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292A"/>
    <w:rsid w:val="00B43E16"/>
    <w:rsid w:val="00B448D2"/>
    <w:rsid w:val="00B5015A"/>
    <w:rsid w:val="00B51571"/>
    <w:rsid w:val="00B5161D"/>
    <w:rsid w:val="00B52FDD"/>
    <w:rsid w:val="00B53CDD"/>
    <w:rsid w:val="00B55E15"/>
    <w:rsid w:val="00B5642E"/>
    <w:rsid w:val="00B63BC9"/>
    <w:rsid w:val="00B63C61"/>
    <w:rsid w:val="00B648B8"/>
    <w:rsid w:val="00B6547F"/>
    <w:rsid w:val="00B65FFB"/>
    <w:rsid w:val="00B671FC"/>
    <w:rsid w:val="00B67653"/>
    <w:rsid w:val="00B70B1E"/>
    <w:rsid w:val="00B729EE"/>
    <w:rsid w:val="00B73391"/>
    <w:rsid w:val="00B73916"/>
    <w:rsid w:val="00B74698"/>
    <w:rsid w:val="00B750BC"/>
    <w:rsid w:val="00B774A9"/>
    <w:rsid w:val="00B77AA2"/>
    <w:rsid w:val="00B804D6"/>
    <w:rsid w:val="00B8338E"/>
    <w:rsid w:val="00B857F4"/>
    <w:rsid w:val="00B87A91"/>
    <w:rsid w:val="00B94443"/>
    <w:rsid w:val="00BA432B"/>
    <w:rsid w:val="00BB1545"/>
    <w:rsid w:val="00BB1CB0"/>
    <w:rsid w:val="00BB4624"/>
    <w:rsid w:val="00BB71C6"/>
    <w:rsid w:val="00BB7CB3"/>
    <w:rsid w:val="00BC0636"/>
    <w:rsid w:val="00BC11BB"/>
    <w:rsid w:val="00BC247C"/>
    <w:rsid w:val="00BC4D5C"/>
    <w:rsid w:val="00BD0A14"/>
    <w:rsid w:val="00BD18E9"/>
    <w:rsid w:val="00BD3F3B"/>
    <w:rsid w:val="00BD41D3"/>
    <w:rsid w:val="00BD435A"/>
    <w:rsid w:val="00BD672E"/>
    <w:rsid w:val="00BD7C99"/>
    <w:rsid w:val="00BD7EF8"/>
    <w:rsid w:val="00BE258E"/>
    <w:rsid w:val="00BE7676"/>
    <w:rsid w:val="00BF097D"/>
    <w:rsid w:val="00BF3694"/>
    <w:rsid w:val="00BF7EAF"/>
    <w:rsid w:val="00C00631"/>
    <w:rsid w:val="00C0340E"/>
    <w:rsid w:val="00C0493E"/>
    <w:rsid w:val="00C058C6"/>
    <w:rsid w:val="00C05F45"/>
    <w:rsid w:val="00C1165E"/>
    <w:rsid w:val="00C15A1C"/>
    <w:rsid w:val="00C1681E"/>
    <w:rsid w:val="00C17D61"/>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2AFF"/>
    <w:rsid w:val="00C642F1"/>
    <w:rsid w:val="00C657AE"/>
    <w:rsid w:val="00C66CE6"/>
    <w:rsid w:val="00C671F9"/>
    <w:rsid w:val="00C71812"/>
    <w:rsid w:val="00C71B13"/>
    <w:rsid w:val="00C72DAB"/>
    <w:rsid w:val="00C74767"/>
    <w:rsid w:val="00C75A45"/>
    <w:rsid w:val="00C764C4"/>
    <w:rsid w:val="00C84B6E"/>
    <w:rsid w:val="00C84F97"/>
    <w:rsid w:val="00C94A47"/>
    <w:rsid w:val="00CA04E5"/>
    <w:rsid w:val="00CA082A"/>
    <w:rsid w:val="00CA7DF3"/>
    <w:rsid w:val="00CB55C3"/>
    <w:rsid w:val="00CB6687"/>
    <w:rsid w:val="00CB68CC"/>
    <w:rsid w:val="00CB6BAC"/>
    <w:rsid w:val="00CC04D6"/>
    <w:rsid w:val="00CC1BF4"/>
    <w:rsid w:val="00CD1317"/>
    <w:rsid w:val="00CD6EB6"/>
    <w:rsid w:val="00CD7D78"/>
    <w:rsid w:val="00CE23F2"/>
    <w:rsid w:val="00CE2C1C"/>
    <w:rsid w:val="00CE2E6A"/>
    <w:rsid w:val="00CE347B"/>
    <w:rsid w:val="00CE4E2C"/>
    <w:rsid w:val="00CE4F6C"/>
    <w:rsid w:val="00CE56BB"/>
    <w:rsid w:val="00CE633D"/>
    <w:rsid w:val="00CF0678"/>
    <w:rsid w:val="00CF6E49"/>
    <w:rsid w:val="00CF724C"/>
    <w:rsid w:val="00D019EB"/>
    <w:rsid w:val="00D02123"/>
    <w:rsid w:val="00D021D9"/>
    <w:rsid w:val="00D039D4"/>
    <w:rsid w:val="00D0456B"/>
    <w:rsid w:val="00D05BB8"/>
    <w:rsid w:val="00D06754"/>
    <w:rsid w:val="00D10072"/>
    <w:rsid w:val="00D10A31"/>
    <w:rsid w:val="00D161F3"/>
    <w:rsid w:val="00D16E9B"/>
    <w:rsid w:val="00D21E70"/>
    <w:rsid w:val="00D243AF"/>
    <w:rsid w:val="00D306D5"/>
    <w:rsid w:val="00D316A9"/>
    <w:rsid w:val="00D33925"/>
    <w:rsid w:val="00D37F97"/>
    <w:rsid w:val="00D40491"/>
    <w:rsid w:val="00D44836"/>
    <w:rsid w:val="00D45076"/>
    <w:rsid w:val="00D4532E"/>
    <w:rsid w:val="00D46D29"/>
    <w:rsid w:val="00D50182"/>
    <w:rsid w:val="00D50F27"/>
    <w:rsid w:val="00D52E4B"/>
    <w:rsid w:val="00D53965"/>
    <w:rsid w:val="00D57FE6"/>
    <w:rsid w:val="00D62408"/>
    <w:rsid w:val="00D63D05"/>
    <w:rsid w:val="00D67603"/>
    <w:rsid w:val="00D7102A"/>
    <w:rsid w:val="00D72186"/>
    <w:rsid w:val="00D8162E"/>
    <w:rsid w:val="00D95427"/>
    <w:rsid w:val="00DB2E76"/>
    <w:rsid w:val="00DB31DA"/>
    <w:rsid w:val="00DB3718"/>
    <w:rsid w:val="00DB4A73"/>
    <w:rsid w:val="00DB4D6D"/>
    <w:rsid w:val="00DC0156"/>
    <w:rsid w:val="00DC2688"/>
    <w:rsid w:val="00DD200E"/>
    <w:rsid w:val="00DD696F"/>
    <w:rsid w:val="00DD6B00"/>
    <w:rsid w:val="00DE04FD"/>
    <w:rsid w:val="00DE1361"/>
    <w:rsid w:val="00DE17AF"/>
    <w:rsid w:val="00DE24B6"/>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17595"/>
    <w:rsid w:val="00E23090"/>
    <w:rsid w:val="00E26CC5"/>
    <w:rsid w:val="00E277FD"/>
    <w:rsid w:val="00E32805"/>
    <w:rsid w:val="00E34283"/>
    <w:rsid w:val="00E34B11"/>
    <w:rsid w:val="00E35F4D"/>
    <w:rsid w:val="00E36B9F"/>
    <w:rsid w:val="00E37C15"/>
    <w:rsid w:val="00E37C17"/>
    <w:rsid w:val="00E449B9"/>
    <w:rsid w:val="00E44CDD"/>
    <w:rsid w:val="00E44EC3"/>
    <w:rsid w:val="00E46FD4"/>
    <w:rsid w:val="00E539D4"/>
    <w:rsid w:val="00E600D0"/>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870"/>
    <w:rsid w:val="00EC4DD8"/>
    <w:rsid w:val="00EC5C90"/>
    <w:rsid w:val="00EC621E"/>
    <w:rsid w:val="00EC62D2"/>
    <w:rsid w:val="00EC759D"/>
    <w:rsid w:val="00ED2619"/>
    <w:rsid w:val="00ED3898"/>
    <w:rsid w:val="00ED562F"/>
    <w:rsid w:val="00EE12FA"/>
    <w:rsid w:val="00EE230D"/>
    <w:rsid w:val="00EE2607"/>
    <w:rsid w:val="00EE35A9"/>
    <w:rsid w:val="00EE574E"/>
    <w:rsid w:val="00EE6A0B"/>
    <w:rsid w:val="00EE6DAE"/>
    <w:rsid w:val="00EF21A8"/>
    <w:rsid w:val="00F00F80"/>
    <w:rsid w:val="00F014DC"/>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02EE"/>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12"/>
    <w:rsid w:val="00FC0B97"/>
    <w:rsid w:val="00FC6B30"/>
    <w:rsid w:val="00FD20AF"/>
    <w:rsid w:val="00FD2100"/>
    <w:rsid w:val="00FD2BEE"/>
    <w:rsid w:val="00FD32B1"/>
    <w:rsid w:val="00FD4C87"/>
    <w:rsid w:val="00FD5197"/>
    <w:rsid w:val="00FE0914"/>
    <w:rsid w:val="00FE17D8"/>
    <w:rsid w:val="00FE36CA"/>
    <w:rsid w:val="00FE6020"/>
    <w:rsid w:val="00FE713F"/>
    <w:rsid w:val="00FF092B"/>
    <w:rsid w:val="00FF1689"/>
    <w:rsid w:val="00FF5467"/>
    <w:rsid w:val="00FF5604"/>
    <w:rsid w:val="00FF6C5C"/>
    <w:rsid w:val="00FF7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aliases w:val="Odstavec 1.1."/>
    <w:basedOn w:val="Normln"/>
    <w:link w:val="OdstavecseseznamemChar"/>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customStyle="1" w:styleId="OdstavecseseznamemChar">
    <w:name w:val="Odstavec se seznamem Char"/>
    <w:aliases w:val="Odstavec 1.1. Char"/>
    <w:basedOn w:val="Standardnpsmoodstavce"/>
    <w:link w:val="Odstavecseseznamem"/>
    <w:uiPriority w:val="34"/>
    <w:locked/>
    <w:rsid w:val="00D306D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2.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4.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5.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6.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7.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8.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5508</Words>
  <Characters>32498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Poláková Gabriela</cp:lastModifiedBy>
  <cp:revision>5</cp:revision>
  <cp:lastPrinted>2024-05-07T05:14:00Z</cp:lastPrinted>
  <dcterms:created xsi:type="dcterms:W3CDTF">2024-05-10T07:24:00Z</dcterms:created>
  <dcterms:modified xsi:type="dcterms:W3CDTF">2024-05-10T07:35:00Z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