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9D" w:rsidRDefault="00152685">
      <w:pPr>
        <w:spacing w:line="1" w:lineRule="exact"/>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5439410</wp:posOffset>
                </wp:positionH>
                <wp:positionV relativeFrom="page">
                  <wp:posOffset>1069975</wp:posOffset>
                </wp:positionV>
                <wp:extent cx="1515745" cy="0"/>
                <wp:effectExtent l="0" t="0" r="0" b="0"/>
                <wp:wrapNone/>
                <wp:docPr id="1" name="Shape 1"/>
                <wp:cNvGraphicFramePr/>
                <a:graphic xmlns:a="http://schemas.openxmlformats.org/drawingml/2006/main">
                  <a:graphicData uri="http://schemas.microsoft.com/office/word/2010/wordprocessingShape">
                    <wps:wsp>
                      <wps:cNvCnPr/>
                      <wps:spPr>
                        <a:xfrm>
                          <a:off x="0" y="0"/>
                          <a:ext cx="1515745" cy="0"/>
                        </a:xfrm>
                        <a:prstGeom prst="straightConnector1">
                          <a:avLst/>
                        </a:prstGeom>
                        <a:ln w="11430">
                          <a:solidFill/>
                        </a:ln>
                      </wps:spPr>
                      <wps:bodyPr/>
                    </wps:wsp>
                  </a:graphicData>
                </a:graphic>
              </wp:anchor>
            </w:drawing>
          </mc:Choice>
          <mc:Fallback xmlns:w15="http://schemas.microsoft.com/office/word/2012/wordml">
            <w:pict>
              <v:shape o:spt="32" o:oned="true" path="m,l21600,21600e" style="position:absolute;margin-left:428.30000000000001pt;margin-top:84.25pt;width:119.34999999999999pt;height:0;z-index:-251658240;mso-position-horizontal-relative:page;mso-position-vertical-relative:page">
                <v:stroke weight="0.90000000000000002pt"/>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5439410</wp:posOffset>
                </wp:positionH>
                <wp:positionV relativeFrom="page">
                  <wp:posOffset>1069975</wp:posOffset>
                </wp:positionV>
                <wp:extent cx="0" cy="233045"/>
                <wp:effectExtent l="0" t="0" r="0" b="0"/>
                <wp:wrapNone/>
                <wp:docPr id="2" name="Shape 2"/>
                <wp:cNvGraphicFramePr/>
                <a:graphic xmlns:a="http://schemas.openxmlformats.org/drawingml/2006/main">
                  <a:graphicData uri="http://schemas.microsoft.com/office/word/2010/wordprocessingShape">
                    <wps:wsp>
                      <wps:cNvCnPr/>
                      <wps:spPr>
                        <a:xfrm>
                          <a:off x="0" y="0"/>
                          <a:ext cx="0" cy="233045"/>
                        </a:xfrm>
                        <a:prstGeom prst="straightConnector1">
                          <a:avLst/>
                        </a:prstGeom>
                        <a:ln w="11430">
                          <a:solidFill/>
                        </a:ln>
                      </wps:spPr>
                      <wps:bodyPr/>
                    </wps:wsp>
                  </a:graphicData>
                </a:graphic>
              </wp:anchor>
            </w:drawing>
          </mc:Choice>
          <mc:Fallback xmlns:w15="http://schemas.microsoft.com/office/word/2012/wordml">
            <w:pict>
              <v:shape o:spt="32" o:oned="true" path="m,l21600,21600e" style="position:absolute;margin-left:428.30000000000001pt;margin-top:84.25pt;width:0;height:18.350000000000001pt;z-index:-251658240;mso-position-horizontal-relative:page;mso-position-vertical-relative:page">
                <v:stroke weight="0.90000000000000002pt"/>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5439410</wp:posOffset>
                </wp:positionH>
                <wp:positionV relativeFrom="page">
                  <wp:posOffset>1303020</wp:posOffset>
                </wp:positionV>
                <wp:extent cx="1515745" cy="0"/>
                <wp:effectExtent l="0" t="0" r="0" b="0"/>
                <wp:wrapNone/>
                <wp:docPr id="3" name="Shape 3"/>
                <wp:cNvGraphicFramePr/>
                <a:graphic xmlns:a="http://schemas.openxmlformats.org/drawingml/2006/main">
                  <a:graphicData uri="http://schemas.microsoft.com/office/word/2010/wordprocessingShape">
                    <wps:wsp>
                      <wps:cNvCnPr/>
                      <wps:spPr>
                        <a:xfrm>
                          <a:off x="0" y="0"/>
                          <a:ext cx="1515745" cy="0"/>
                        </a:xfrm>
                        <a:prstGeom prst="straightConnector1">
                          <a:avLst/>
                        </a:prstGeom>
                        <a:ln w="11430">
                          <a:solidFill/>
                        </a:ln>
                      </wps:spPr>
                      <wps:bodyPr/>
                    </wps:wsp>
                  </a:graphicData>
                </a:graphic>
              </wp:anchor>
            </w:drawing>
          </mc:Choice>
          <mc:Fallback xmlns:w15="http://schemas.microsoft.com/office/word/2012/wordml">
            <w:pict>
              <v:shape o:spt="32" o:oned="true" path="m,l21600,21600e" style="position:absolute;margin-left:428.30000000000001pt;margin-top:102.59999999999999pt;width:119.34999999999999pt;height:0;z-index:-251658240;mso-position-horizontal-relative:page;mso-position-vertical-relative:page">
                <v:stroke weight="0.90000000000000002pt"/>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6955155</wp:posOffset>
                </wp:positionH>
                <wp:positionV relativeFrom="page">
                  <wp:posOffset>1069975</wp:posOffset>
                </wp:positionV>
                <wp:extent cx="0" cy="233045"/>
                <wp:effectExtent l="0" t="0" r="0" b="0"/>
                <wp:wrapNone/>
                <wp:docPr id="4" name="Shape 4"/>
                <wp:cNvGraphicFramePr/>
                <a:graphic xmlns:a="http://schemas.openxmlformats.org/drawingml/2006/main">
                  <a:graphicData uri="http://schemas.microsoft.com/office/word/2010/wordprocessingShape">
                    <wps:wsp>
                      <wps:cNvCnPr/>
                      <wps:spPr>
                        <a:xfrm>
                          <a:off x="0" y="0"/>
                          <a:ext cx="0" cy="233045"/>
                        </a:xfrm>
                        <a:prstGeom prst="straightConnector1">
                          <a:avLst/>
                        </a:prstGeom>
                        <a:ln w="11430">
                          <a:solidFill/>
                        </a:ln>
                      </wps:spPr>
                      <wps:bodyPr/>
                    </wps:wsp>
                  </a:graphicData>
                </a:graphic>
              </wp:anchor>
            </w:drawing>
          </mc:Choice>
          <mc:Fallback xmlns:w15="http://schemas.microsoft.com/office/word/2012/wordml">
            <w:pict>
              <v:shape o:spt="32" o:oned="true" path="m,l21600,21600e" style="position:absolute;margin-left:547.64999999999998pt;margin-top:84.25pt;width:0;height:18.350000000000001pt;z-index:-251658240;mso-position-horizontal-relative:page;mso-position-vertical-relative:page">
                <v:stroke weight="0.90000000000000002pt"/>
              </v:shape>
            </w:pict>
          </mc:Fallback>
        </mc:AlternateContent>
      </w:r>
    </w:p>
    <w:p w:rsidR="0053759D" w:rsidRDefault="00152685">
      <w:pPr>
        <w:pStyle w:val="Nadpis30"/>
        <w:framePr w:w="1501" w:h="644" w:hRule="exact" w:wrap="none" w:vAnchor="page" w:hAnchor="page" w:x="1961" w:y="588"/>
        <w:shd w:val="clear" w:color="auto" w:fill="auto"/>
      </w:pPr>
      <w:bookmarkStart w:id="0" w:name="bookmark0"/>
      <w:bookmarkStart w:id="1" w:name="bookmark1"/>
      <w:proofErr w:type="spellStart"/>
      <w:r>
        <w:t>Raiffeisen</w:t>
      </w:r>
      <w:bookmarkEnd w:id="0"/>
      <w:bookmarkEnd w:id="1"/>
      <w:proofErr w:type="spellEnd"/>
    </w:p>
    <w:p w:rsidR="0053759D" w:rsidRDefault="00234ABB">
      <w:pPr>
        <w:pStyle w:val="Zkladntext30"/>
        <w:framePr w:w="1501" w:h="644" w:hRule="exact" w:wrap="none" w:vAnchor="page" w:hAnchor="page" w:x="1961" w:y="588"/>
        <w:shd w:val="clear" w:color="auto" w:fill="auto"/>
        <w:spacing w:line="209" w:lineRule="auto"/>
      </w:pPr>
      <w:r>
        <w:rPr>
          <w:b w:val="0"/>
          <w:bCs w:val="0"/>
        </w:rPr>
        <w:t>Leasi</w:t>
      </w:r>
      <w:r w:rsidR="00152685">
        <w:rPr>
          <w:b w:val="0"/>
          <w:bCs w:val="0"/>
        </w:rPr>
        <w:t>ng</w:t>
      </w:r>
    </w:p>
    <w:p w:rsidR="0053759D" w:rsidRDefault="00152685">
      <w:pPr>
        <w:pStyle w:val="Zkladntext30"/>
        <w:framePr w:wrap="none" w:vAnchor="page" w:hAnchor="page" w:x="809" w:y="1632"/>
        <w:shd w:val="clear" w:color="auto" w:fill="auto"/>
        <w:spacing w:line="240" w:lineRule="auto"/>
        <w:ind w:right="18"/>
      </w:pPr>
      <w:r>
        <w:t xml:space="preserve"> Kupní smlouva (ŘUK)</w:t>
      </w:r>
    </w:p>
    <w:p w:rsidR="0053759D" w:rsidRDefault="00152685">
      <w:pPr>
        <w:pStyle w:val="Nadpis30"/>
        <w:framePr w:wrap="none" w:vAnchor="page" w:hAnchor="page" w:x="8639" w:y="1686"/>
        <w:shd w:val="clear" w:color="auto" w:fill="auto"/>
      </w:pPr>
      <w:bookmarkStart w:id="2" w:name="bookmark4"/>
      <w:bookmarkStart w:id="3" w:name="bookmark5"/>
      <w:r>
        <w:t>7008004752</w:t>
      </w:r>
      <w:bookmarkEnd w:id="2"/>
      <w:bookmarkEnd w:id="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828"/>
        <w:gridCol w:w="4828"/>
      </w:tblGrid>
      <w:tr w:rsidR="0053759D">
        <w:tblPrEx>
          <w:tblCellMar>
            <w:top w:w="0" w:type="dxa"/>
            <w:bottom w:w="0" w:type="dxa"/>
          </w:tblCellMar>
        </w:tblPrEx>
        <w:trPr>
          <w:trHeight w:hRule="exact" w:val="464"/>
        </w:trPr>
        <w:tc>
          <w:tcPr>
            <w:tcW w:w="4828" w:type="dxa"/>
            <w:tcBorders>
              <w:top w:val="single" w:sz="4" w:space="0" w:color="auto"/>
              <w:lef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rPr>
                <w:sz w:val="17"/>
                <w:szCs w:val="17"/>
              </w:rPr>
            </w:pPr>
            <w:r>
              <w:rPr>
                <w:b/>
                <w:bCs/>
                <w:sz w:val="17"/>
                <w:szCs w:val="17"/>
              </w:rPr>
              <w:t>DOPRAVNÍ PODNIK měst Mostu a Litvínova, a.s.</w:t>
            </w:r>
          </w:p>
        </w:tc>
        <w:tc>
          <w:tcPr>
            <w:tcW w:w="4828" w:type="dxa"/>
            <w:tcBorders>
              <w:top w:val="single" w:sz="4" w:space="0" w:color="auto"/>
              <w:left w:val="single" w:sz="4" w:space="0" w:color="auto"/>
              <w:righ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rPr>
                <w:sz w:val="17"/>
                <w:szCs w:val="17"/>
              </w:rPr>
            </w:pPr>
            <w:proofErr w:type="spellStart"/>
            <w:r>
              <w:rPr>
                <w:b/>
                <w:bCs/>
                <w:sz w:val="17"/>
                <w:szCs w:val="17"/>
              </w:rPr>
              <w:t>Raiffeisen</w:t>
            </w:r>
            <w:proofErr w:type="spellEnd"/>
            <w:r>
              <w:rPr>
                <w:b/>
                <w:bCs/>
                <w:sz w:val="17"/>
                <w:szCs w:val="17"/>
              </w:rPr>
              <w:t xml:space="preserve"> - Leasing, s.r.o.</w:t>
            </w:r>
          </w:p>
        </w:tc>
      </w:tr>
      <w:tr w:rsidR="0053759D">
        <w:tblPrEx>
          <w:tblCellMar>
            <w:top w:w="0" w:type="dxa"/>
            <w:bottom w:w="0" w:type="dxa"/>
          </w:tblCellMar>
        </w:tblPrEx>
        <w:trPr>
          <w:trHeight w:hRule="exact" w:val="457"/>
        </w:trPr>
        <w:tc>
          <w:tcPr>
            <w:tcW w:w="4828" w:type="dxa"/>
            <w:tcBorders>
              <w:top w:val="single" w:sz="4" w:space="0" w:color="auto"/>
              <w:lef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pPr>
            <w:r>
              <w:t>sídlo tř. Budovatelů 1395/23,43401 Most</w:t>
            </w:r>
          </w:p>
        </w:tc>
        <w:tc>
          <w:tcPr>
            <w:tcW w:w="4828" w:type="dxa"/>
            <w:tcBorders>
              <w:top w:val="single" w:sz="4" w:space="0" w:color="auto"/>
              <w:left w:val="single" w:sz="4" w:space="0" w:color="auto"/>
              <w:righ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pPr>
            <w:r>
              <w:t>sídlo Hvězdová 1 716/2b, 140 00 Praha 4</w:t>
            </w:r>
          </w:p>
        </w:tc>
      </w:tr>
      <w:tr w:rsidR="0053759D">
        <w:tblPrEx>
          <w:tblCellMar>
            <w:top w:w="0" w:type="dxa"/>
            <w:bottom w:w="0" w:type="dxa"/>
          </w:tblCellMar>
        </w:tblPrEx>
        <w:trPr>
          <w:trHeight w:hRule="exact" w:val="234"/>
        </w:trPr>
        <w:tc>
          <w:tcPr>
            <w:tcW w:w="4828" w:type="dxa"/>
            <w:tcBorders>
              <w:top w:val="single" w:sz="4" w:space="0" w:color="auto"/>
              <w:lef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pPr>
            <w:r>
              <w:t>IČ 62242504</w:t>
            </w:r>
          </w:p>
        </w:tc>
        <w:tc>
          <w:tcPr>
            <w:tcW w:w="4828" w:type="dxa"/>
            <w:tcBorders>
              <w:top w:val="single" w:sz="4" w:space="0" w:color="auto"/>
              <w:left w:val="single" w:sz="4" w:space="0" w:color="auto"/>
              <w:righ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pPr>
            <w:r>
              <w:t>IČ 61467863</w:t>
            </w:r>
          </w:p>
        </w:tc>
      </w:tr>
      <w:tr w:rsidR="0053759D">
        <w:tblPrEx>
          <w:tblCellMar>
            <w:top w:w="0" w:type="dxa"/>
            <w:bottom w:w="0" w:type="dxa"/>
          </w:tblCellMar>
        </w:tblPrEx>
        <w:trPr>
          <w:trHeight w:hRule="exact" w:val="234"/>
        </w:trPr>
        <w:tc>
          <w:tcPr>
            <w:tcW w:w="4828" w:type="dxa"/>
            <w:tcBorders>
              <w:top w:val="single" w:sz="4" w:space="0" w:color="auto"/>
              <w:lef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pPr>
            <w:r>
              <w:t xml:space="preserve">DIČ </w:t>
            </w:r>
            <w:r>
              <w:t>CZ62242504</w:t>
            </w:r>
          </w:p>
        </w:tc>
        <w:tc>
          <w:tcPr>
            <w:tcW w:w="4828" w:type="dxa"/>
            <w:tcBorders>
              <w:top w:val="single" w:sz="4" w:space="0" w:color="auto"/>
              <w:left w:val="single" w:sz="4" w:space="0" w:color="auto"/>
              <w:righ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pPr>
            <w:r>
              <w:t>DIČ CZ61 467863</w:t>
            </w:r>
          </w:p>
        </w:tc>
      </w:tr>
      <w:tr w:rsidR="0053759D">
        <w:tblPrEx>
          <w:tblCellMar>
            <w:top w:w="0" w:type="dxa"/>
            <w:bottom w:w="0" w:type="dxa"/>
          </w:tblCellMar>
        </w:tblPrEx>
        <w:trPr>
          <w:trHeight w:hRule="exact" w:val="580"/>
        </w:trPr>
        <w:tc>
          <w:tcPr>
            <w:tcW w:w="4828" w:type="dxa"/>
            <w:tcBorders>
              <w:top w:val="single" w:sz="4" w:space="0" w:color="auto"/>
              <w:left w:val="single" w:sz="4" w:space="0" w:color="auto"/>
            </w:tcBorders>
            <w:shd w:val="clear" w:color="auto" w:fill="FFFFFF"/>
          </w:tcPr>
          <w:p w:rsidR="0053759D" w:rsidRDefault="00152685">
            <w:pPr>
              <w:pStyle w:val="Jin0"/>
              <w:framePr w:w="9655" w:h="2441" w:wrap="none" w:vAnchor="page" w:hAnchor="page" w:x="1299" w:y="2273"/>
              <w:shd w:val="clear" w:color="auto" w:fill="auto"/>
              <w:spacing w:line="300" w:lineRule="auto"/>
              <w:ind w:firstLine="0"/>
            </w:pPr>
            <w:r>
              <w:t>zapsaná v obchodním rejstříku vedeném Krajským soudem v Ústí nad Labem, oddíl B, vložka 660</w:t>
            </w:r>
          </w:p>
        </w:tc>
        <w:tc>
          <w:tcPr>
            <w:tcW w:w="4828" w:type="dxa"/>
            <w:tcBorders>
              <w:top w:val="single" w:sz="4" w:space="0" w:color="auto"/>
              <w:left w:val="single" w:sz="4" w:space="0" w:color="auto"/>
              <w:right w:val="single" w:sz="4" w:space="0" w:color="auto"/>
            </w:tcBorders>
            <w:shd w:val="clear" w:color="auto" w:fill="FFFFFF"/>
          </w:tcPr>
          <w:p w:rsidR="0053759D" w:rsidRDefault="00152685">
            <w:pPr>
              <w:pStyle w:val="Jin0"/>
              <w:framePr w:w="9655" w:h="2441" w:wrap="none" w:vAnchor="page" w:hAnchor="page" w:x="1299" w:y="2273"/>
              <w:shd w:val="clear" w:color="auto" w:fill="auto"/>
              <w:spacing w:line="240" w:lineRule="auto"/>
              <w:ind w:firstLine="0"/>
            </w:pPr>
            <w:r>
              <w:t>zapsaná v obchodním rejstříku vedeném</w:t>
            </w:r>
          </w:p>
          <w:p w:rsidR="0053759D" w:rsidRDefault="00152685">
            <w:pPr>
              <w:pStyle w:val="Jin0"/>
              <w:framePr w:w="9655" w:h="2441" w:wrap="none" w:vAnchor="page" w:hAnchor="page" w:x="1299" w:y="2273"/>
              <w:shd w:val="clear" w:color="auto" w:fill="auto"/>
              <w:spacing w:line="240" w:lineRule="auto"/>
              <w:ind w:firstLine="0"/>
            </w:pPr>
            <w:r>
              <w:t>Městským soudem v Praze, oddíl C, vložka 29553</w:t>
            </w:r>
          </w:p>
        </w:tc>
      </w:tr>
      <w:tr w:rsidR="0053759D">
        <w:tblPrEx>
          <w:tblCellMar>
            <w:top w:w="0" w:type="dxa"/>
            <w:bottom w:w="0" w:type="dxa"/>
          </w:tblCellMar>
        </w:tblPrEx>
        <w:trPr>
          <w:trHeight w:hRule="exact" w:val="472"/>
        </w:trPr>
        <w:tc>
          <w:tcPr>
            <w:tcW w:w="4828" w:type="dxa"/>
            <w:tcBorders>
              <w:top w:val="single" w:sz="4" w:space="0" w:color="auto"/>
              <w:left w:val="single" w:sz="4" w:space="0" w:color="auto"/>
              <w:bottom w:val="single" w:sz="4" w:space="0" w:color="auto"/>
            </w:tcBorders>
            <w:shd w:val="clear" w:color="auto" w:fill="FFFFFF"/>
            <w:vAlign w:val="bottom"/>
          </w:tcPr>
          <w:p w:rsidR="0053759D" w:rsidRDefault="00152685">
            <w:pPr>
              <w:pStyle w:val="Jin0"/>
              <w:framePr w:w="9655" w:h="2441" w:wrap="none" w:vAnchor="page" w:hAnchor="page" w:x="1299" w:y="2273"/>
              <w:shd w:val="clear" w:color="auto" w:fill="auto"/>
              <w:spacing w:line="317" w:lineRule="auto"/>
              <w:ind w:firstLine="0"/>
              <w:rPr>
                <w:sz w:val="17"/>
                <w:szCs w:val="17"/>
              </w:rPr>
            </w:pPr>
            <w:r>
              <w:t xml:space="preserve">příjemce leasingu a kupující dále jen </w:t>
            </w:r>
            <w:r>
              <w:rPr>
                <w:b/>
                <w:bCs/>
                <w:sz w:val="17"/>
                <w:szCs w:val="17"/>
              </w:rPr>
              <w:t>"Kupující"</w:t>
            </w:r>
          </w:p>
        </w:tc>
        <w:tc>
          <w:tcPr>
            <w:tcW w:w="4828" w:type="dxa"/>
            <w:tcBorders>
              <w:top w:val="single" w:sz="4" w:space="0" w:color="auto"/>
              <w:left w:val="single" w:sz="4" w:space="0" w:color="auto"/>
              <w:bottom w:val="single" w:sz="4" w:space="0" w:color="auto"/>
              <w:right w:val="single" w:sz="4" w:space="0" w:color="auto"/>
            </w:tcBorders>
            <w:shd w:val="clear" w:color="auto" w:fill="FFFFFF"/>
            <w:vAlign w:val="bottom"/>
          </w:tcPr>
          <w:p w:rsidR="0053759D" w:rsidRDefault="00152685">
            <w:pPr>
              <w:pStyle w:val="Jin0"/>
              <w:framePr w:w="9655" w:h="2441" w:wrap="none" w:vAnchor="page" w:hAnchor="page" w:x="1299" w:y="2273"/>
              <w:shd w:val="clear" w:color="auto" w:fill="auto"/>
              <w:spacing w:line="317" w:lineRule="auto"/>
              <w:ind w:firstLine="0"/>
              <w:rPr>
                <w:sz w:val="17"/>
                <w:szCs w:val="17"/>
              </w:rPr>
            </w:pPr>
            <w:r>
              <w:t xml:space="preserve">poskytovatel leasingu a prodávající dále jen </w:t>
            </w:r>
            <w:r>
              <w:rPr>
                <w:b/>
                <w:bCs/>
                <w:sz w:val="17"/>
                <w:szCs w:val="17"/>
              </w:rPr>
              <w:t>"Prodávající"</w:t>
            </w:r>
          </w:p>
        </w:tc>
      </w:tr>
    </w:tbl>
    <w:p w:rsidR="0053759D" w:rsidRDefault="00152685">
      <w:pPr>
        <w:pStyle w:val="Zkladntext1"/>
        <w:framePr w:w="10145" w:h="472" w:hRule="exact" w:wrap="none" w:vAnchor="page" w:hAnchor="page" w:x="809" w:y="4839"/>
        <w:shd w:val="clear" w:color="auto" w:fill="auto"/>
        <w:spacing w:line="295" w:lineRule="auto"/>
        <w:ind w:left="480" w:firstLine="40"/>
      </w:pPr>
      <w:r>
        <w:t>Kupující a Prodávající ve smyslu § 2079 a násl. zákona č. 89/201 2 Sb., občanský zákoník, ve znění pozdějších předpisů (dále jen "OZ"), uzavírají tuto kupní smlouvu:</w:t>
      </w:r>
    </w:p>
    <w:p w:rsidR="0053759D" w:rsidRDefault="00152685">
      <w:pPr>
        <w:pStyle w:val="Nadpis40"/>
        <w:framePr w:w="10145" w:h="1159" w:hRule="exact" w:wrap="none" w:vAnchor="page" w:hAnchor="page" w:x="809" w:y="5376"/>
        <w:shd w:val="clear" w:color="auto" w:fill="auto"/>
        <w:spacing w:line="276" w:lineRule="auto"/>
        <w:ind w:left="480" w:firstLine="40"/>
      </w:pPr>
      <w:bookmarkStart w:id="4" w:name="bookmark6"/>
      <w:bookmarkStart w:id="5" w:name="bookmark7"/>
      <w:r>
        <w:t>I. Předmět smlouvy</w:t>
      </w:r>
      <w:bookmarkEnd w:id="4"/>
      <w:bookmarkEnd w:id="5"/>
    </w:p>
    <w:p w:rsidR="0053759D" w:rsidRDefault="00152685">
      <w:pPr>
        <w:pStyle w:val="Zkladntext1"/>
        <w:framePr w:w="10145" w:h="1159" w:hRule="exact" w:wrap="none" w:vAnchor="page" w:hAnchor="page" w:x="809" w:y="5376"/>
        <w:numPr>
          <w:ilvl w:val="0"/>
          <w:numId w:val="1"/>
        </w:numPr>
        <w:shd w:val="clear" w:color="auto" w:fill="auto"/>
        <w:tabs>
          <w:tab w:val="left" w:pos="987"/>
        </w:tabs>
        <w:spacing w:line="293" w:lineRule="auto"/>
        <w:ind w:left="480" w:firstLine="40"/>
      </w:pPr>
      <w:r>
        <w:t>Prodávající</w:t>
      </w:r>
      <w:r>
        <w:t xml:space="preserve"> se zavazuje dodat Kupujícímu níže uvedené Zboží v souladu s touto smlouvou a převést na Kupujícího vlastnické právo ke Zboží. Kupující se zavazuje Zboží převzít a zaplatit za něj Prodávajícímu Kupní cenu.</w:t>
      </w:r>
    </w:p>
    <w:p w:rsidR="0053759D" w:rsidRDefault="00152685">
      <w:pPr>
        <w:pStyle w:val="Zkladntext1"/>
        <w:framePr w:w="10145" w:h="1159" w:hRule="exact" w:wrap="none" w:vAnchor="page" w:hAnchor="page" w:x="809" w:y="5376"/>
        <w:numPr>
          <w:ilvl w:val="0"/>
          <w:numId w:val="1"/>
        </w:numPr>
        <w:shd w:val="clear" w:color="auto" w:fill="auto"/>
        <w:tabs>
          <w:tab w:val="left" w:pos="987"/>
        </w:tabs>
        <w:spacing w:line="293" w:lineRule="auto"/>
        <w:ind w:left="480" w:firstLine="40"/>
      </w:pPr>
      <w:r>
        <w:t>Kupující prohlašuje, že se seznámil se stavem Zbož</w:t>
      </w:r>
      <w:r>
        <w:t xml:space="preserve">í a ve stavu, ve kterém se nachází ke dni podpisu této smlouvy, Zboží kupuje. Kupující tímto výslovně prohlašuje, že si je vědom toho, že nekupuje Zboží nové, ale Zboží použité a že souhlasí s ustanovením sub </w:t>
      </w:r>
      <w:proofErr w:type="gramStart"/>
      <w:r>
        <w:t>IV.3.</w:t>
      </w:r>
      <w:proofErr w:type="gramEnd"/>
    </w:p>
    <w:p w:rsidR="0053759D" w:rsidRDefault="00152685">
      <w:pPr>
        <w:pStyle w:val="Titulektabulky0"/>
        <w:framePr w:wrap="none" w:vAnchor="page" w:hAnchor="page" w:x="1313" w:y="6596"/>
        <w:shd w:val="clear" w:color="auto" w:fill="auto"/>
        <w:tabs>
          <w:tab w:val="left" w:pos="465"/>
        </w:tabs>
        <w:ind w:left="11" w:right="11"/>
      </w:pPr>
      <w:r>
        <w:t>II.</w:t>
      </w:r>
      <w:r>
        <w:tab/>
        <w:t>Zboží, dodání Zboží a Kupní cena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94"/>
        <w:gridCol w:w="6768"/>
      </w:tblGrid>
      <w:tr w:rsidR="0053759D">
        <w:tblPrEx>
          <w:tblCellMar>
            <w:top w:w="0" w:type="dxa"/>
            <w:bottom w:w="0" w:type="dxa"/>
          </w:tblCellMar>
        </w:tblPrEx>
        <w:trPr>
          <w:trHeight w:hRule="exact" w:val="248"/>
        </w:trPr>
        <w:tc>
          <w:tcPr>
            <w:tcW w:w="2894" w:type="dxa"/>
            <w:tcBorders>
              <w:top w:val="single" w:sz="4" w:space="0" w:color="auto"/>
              <w:lef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Obec</w:t>
            </w:r>
            <w:r>
              <w:t>ná specifikace Zboží</w:t>
            </w:r>
          </w:p>
        </w:tc>
        <w:tc>
          <w:tcPr>
            <w:tcW w:w="6768" w:type="dxa"/>
            <w:tcBorders>
              <w:top w:val="single" w:sz="4" w:space="0" w:color="auto"/>
              <w:left w:val="single" w:sz="4" w:space="0" w:color="auto"/>
              <w:righ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IVECO bus URBANWAY 1 8</w:t>
            </w:r>
          </w:p>
        </w:tc>
      </w:tr>
      <w:tr w:rsidR="0053759D">
        <w:tblPrEx>
          <w:tblCellMar>
            <w:top w:w="0" w:type="dxa"/>
            <w:bottom w:w="0" w:type="dxa"/>
          </w:tblCellMar>
        </w:tblPrEx>
        <w:trPr>
          <w:trHeight w:hRule="exact" w:val="230"/>
        </w:trPr>
        <w:tc>
          <w:tcPr>
            <w:tcW w:w="2894" w:type="dxa"/>
            <w:tcBorders>
              <w:top w:val="single" w:sz="4" w:space="0" w:color="auto"/>
              <w:lef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Typ Zboží</w:t>
            </w:r>
          </w:p>
        </w:tc>
        <w:tc>
          <w:tcPr>
            <w:tcW w:w="6768" w:type="dxa"/>
            <w:tcBorders>
              <w:top w:val="single" w:sz="4" w:space="0" w:color="auto"/>
              <w:left w:val="single" w:sz="4" w:space="0" w:color="auto"/>
              <w:right w:val="single" w:sz="4" w:space="0" w:color="auto"/>
            </w:tcBorders>
            <w:shd w:val="clear" w:color="auto" w:fill="FFFFFF"/>
          </w:tcPr>
          <w:p w:rsidR="0053759D" w:rsidRDefault="0053759D">
            <w:pPr>
              <w:framePr w:w="9662" w:h="2822" w:wrap="none" w:vAnchor="page" w:hAnchor="page" w:x="1292" w:y="6823"/>
              <w:rPr>
                <w:sz w:val="10"/>
                <w:szCs w:val="10"/>
              </w:rPr>
            </w:pPr>
          </w:p>
        </w:tc>
      </w:tr>
      <w:tr w:rsidR="0053759D">
        <w:tblPrEx>
          <w:tblCellMar>
            <w:top w:w="0" w:type="dxa"/>
            <w:bottom w:w="0" w:type="dxa"/>
          </w:tblCellMar>
        </w:tblPrEx>
        <w:trPr>
          <w:trHeight w:hRule="exact" w:val="238"/>
        </w:trPr>
        <w:tc>
          <w:tcPr>
            <w:tcW w:w="2894" w:type="dxa"/>
            <w:tcBorders>
              <w:top w:val="single" w:sz="4" w:space="0" w:color="auto"/>
              <w:lef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Výrobní číslo / VIN</w:t>
            </w:r>
          </w:p>
        </w:tc>
        <w:tc>
          <w:tcPr>
            <w:tcW w:w="6768" w:type="dxa"/>
            <w:tcBorders>
              <w:top w:val="single" w:sz="4" w:space="0" w:color="auto"/>
              <w:left w:val="single" w:sz="4" w:space="0" w:color="auto"/>
              <w:righ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VNE422CP500308694</w:t>
            </w:r>
          </w:p>
        </w:tc>
      </w:tr>
      <w:tr w:rsidR="0053759D">
        <w:tblPrEx>
          <w:tblCellMar>
            <w:top w:w="0" w:type="dxa"/>
            <w:bottom w:w="0" w:type="dxa"/>
          </w:tblCellMar>
        </w:tblPrEx>
        <w:trPr>
          <w:trHeight w:hRule="exact" w:val="230"/>
        </w:trPr>
        <w:tc>
          <w:tcPr>
            <w:tcW w:w="2894" w:type="dxa"/>
            <w:tcBorders>
              <w:top w:val="single" w:sz="4" w:space="0" w:color="auto"/>
              <w:lef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Rok výroby / Rok uvedení do provozu</w:t>
            </w:r>
          </w:p>
        </w:tc>
        <w:tc>
          <w:tcPr>
            <w:tcW w:w="6768" w:type="dxa"/>
            <w:tcBorders>
              <w:top w:val="single" w:sz="4" w:space="0" w:color="auto"/>
              <w:left w:val="single" w:sz="4" w:space="0" w:color="auto"/>
              <w:right w:val="single" w:sz="4" w:space="0" w:color="auto"/>
            </w:tcBorders>
            <w:shd w:val="clear" w:color="auto" w:fill="FFFFFF"/>
          </w:tcPr>
          <w:p w:rsidR="0053759D" w:rsidRDefault="0053759D">
            <w:pPr>
              <w:framePr w:w="9662" w:h="2822" w:wrap="none" w:vAnchor="page" w:hAnchor="page" w:x="1292" w:y="6823"/>
              <w:rPr>
                <w:sz w:val="10"/>
                <w:szCs w:val="10"/>
              </w:rPr>
            </w:pPr>
          </w:p>
        </w:tc>
      </w:tr>
      <w:tr w:rsidR="0053759D">
        <w:tblPrEx>
          <w:tblCellMar>
            <w:top w:w="0" w:type="dxa"/>
            <w:bottom w:w="0" w:type="dxa"/>
          </w:tblCellMar>
        </w:tblPrEx>
        <w:trPr>
          <w:trHeight w:hRule="exact" w:val="238"/>
        </w:trPr>
        <w:tc>
          <w:tcPr>
            <w:tcW w:w="2894" w:type="dxa"/>
            <w:tcBorders>
              <w:top w:val="single" w:sz="4" w:space="0" w:color="auto"/>
              <w:left w:val="single" w:sz="4" w:space="0" w:color="auto"/>
            </w:tcBorders>
            <w:shd w:val="clear" w:color="auto" w:fill="FFFFFF"/>
          </w:tcPr>
          <w:p w:rsidR="0053759D" w:rsidRDefault="00152685">
            <w:pPr>
              <w:pStyle w:val="Jin0"/>
              <w:framePr w:w="9662" w:h="2822" w:wrap="none" w:vAnchor="page" w:hAnchor="page" w:x="1292" w:y="6823"/>
              <w:shd w:val="clear" w:color="auto" w:fill="auto"/>
              <w:spacing w:line="240" w:lineRule="auto"/>
              <w:ind w:firstLine="0"/>
            </w:pPr>
            <w:r>
              <w:t>Příslušenství</w:t>
            </w:r>
          </w:p>
        </w:tc>
        <w:tc>
          <w:tcPr>
            <w:tcW w:w="6768" w:type="dxa"/>
            <w:tcBorders>
              <w:top w:val="single" w:sz="4" w:space="0" w:color="auto"/>
              <w:left w:val="single" w:sz="4" w:space="0" w:color="auto"/>
              <w:right w:val="single" w:sz="4" w:space="0" w:color="auto"/>
            </w:tcBorders>
            <w:shd w:val="clear" w:color="auto" w:fill="FFFFFF"/>
          </w:tcPr>
          <w:p w:rsidR="0053759D" w:rsidRDefault="0053759D">
            <w:pPr>
              <w:framePr w:w="9662" w:h="2822" w:wrap="none" w:vAnchor="page" w:hAnchor="page" w:x="1292" w:y="6823"/>
              <w:rPr>
                <w:sz w:val="10"/>
                <w:szCs w:val="10"/>
              </w:rPr>
            </w:pPr>
          </w:p>
        </w:tc>
      </w:tr>
      <w:tr w:rsidR="0053759D">
        <w:tblPrEx>
          <w:tblCellMar>
            <w:top w:w="0" w:type="dxa"/>
            <w:bottom w:w="0" w:type="dxa"/>
          </w:tblCellMar>
        </w:tblPrEx>
        <w:trPr>
          <w:trHeight w:hRule="exact" w:val="241"/>
        </w:trPr>
        <w:tc>
          <w:tcPr>
            <w:tcW w:w="2894" w:type="dxa"/>
            <w:tcBorders>
              <w:top w:val="single" w:sz="4" w:space="0" w:color="auto"/>
              <w:lef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Ostatní specifikace</w:t>
            </w:r>
          </w:p>
        </w:tc>
        <w:tc>
          <w:tcPr>
            <w:tcW w:w="6768" w:type="dxa"/>
            <w:tcBorders>
              <w:top w:val="single" w:sz="4" w:space="0" w:color="auto"/>
              <w:left w:val="single" w:sz="4" w:space="0" w:color="auto"/>
              <w:right w:val="single" w:sz="4" w:space="0" w:color="auto"/>
            </w:tcBorders>
            <w:shd w:val="clear" w:color="auto" w:fill="FFFFFF"/>
          </w:tcPr>
          <w:p w:rsidR="0053759D" w:rsidRDefault="0053759D">
            <w:pPr>
              <w:framePr w:w="9662" w:h="2822" w:wrap="none" w:vAnchor="page" w:hAnchor="page" w:x="1292" w:y="6823"/>
              <w:rPr>
                <w:sz w:val="10"/>
                <w:szCs w:val="10"/>
              </w:rPr>
            </w:pPr>
          </w:p>
        </w:tc>
      </w:tr>
      <w:tr w:rsidR="0053759D">
        <w:tblPrEx>
          <w:tblCellMar>
            <w:top w:w="0" w:type="dxa"/>
            <w:bottom w:w="0" w:type="dxa"/>
          </w:tblCellMar>
        </w:tblPrEx>
        <w:trPr>
          <w:trHeight w:hRule="exact" w:val="238"/>
        </w:trPr>
        <w:tc>
          <w:tcPr>
            <w:tcW w:w="2894" w:type="dxa"/>
            <w:tcBorders>
              <w:top w:val="single" w:sz="4" w:space="0" w:color="auto"/>
              <w:lef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Kupní cena bez DPH</w:t>
            </w:r>
          </w:p>
        </w:tc>
        <w:tc>
          <w:tcPr>
            <w:tcW w:w="6768" w:type="dxa"/>
            <w:tcBorders>
              <w:top w:val="single" w:sz="4" w:space="0" w:color="auto"/>
              <w:left w:val="single" w:sz="4" w:space="0" w:color="auto"/>
              <w:righ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420"/>
              <w:jc w:val="both"/>
            </w:pPr>
            <w:r>
              <w:t>1 000,00Kč</w:t>
            </w:r>
          </w:p>
        </w:tc>
      </w:tr>
      <w:tr w:rsidR="0053759D">
        <w:tblPrEx>
          <w:tblCellMar>
            <w:top w:w="0" w:type="dxa"/>
            <w:bottom w:w="0" w:type="dxa"/>
          </w:tblCellMar>
        </w:tblPrEx>
        <w:trPr>
          <w:trHeight w:hRule="exact" w:val="234"/>
        </w:trPr>
        <w:tc>
          <w:tcPr>
            <w:tcW w:w="2894" w:type="dxa"/>
            <w:tcBorders>
              <w:top w:val="single" w:sz="4" w:space="0" w:color="auto"/>
              <w:lef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DPH</w:t>
            </w:r>
          </w:p>
        </w:tc>
        <w:tc>
          <w:tcPr>
            <w:tcW w:w="6768" w:type="dxa"/>
            <w:tcBorders>
              <w:top w:val="single" w:sz="4" w:space="0" w:color="auto"/>
              <w:left w:val="single" w:sz="4" w:space="0" w:color="auto"/>
              <w:righ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560"/>
              <w:jc w:val="both"/>
            </w:pPr>
            <w:r>
              <w:t>210,00Kč</w:t>
            </w:r>
          </w:p>
        </w:tc>
      </w:tr>
      <w:tr w:rsidR="0053759D">
        <w:tblPrEx>
          <w:tblCellMar>
            <w:top w:w="0" w:type="dxa"/>
            <w:bottom w:w="0" w:type="dxa"/>
          </w:tblCellMar>
        </w:tblPrEx>
        <w:trPr>
          <w:trHeight w:hRule="exact" w:val="234"/>
        </w:trPr>
        <w:tc>
          <w:tcPr>
            <w:tcW w:w="2894" w:type="dxa"/>
            <w:tcBorders>
              <w:top w:val="single" w:sz="4" w:space="0" w:color="auto"/>
              <w:lef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0"/>
            </w:pPr>
            <w:r>
              <w:t>Kupní cena s DPH</w:t>
            </w:r>
          </w:p>
        </w:tc>
        <w:tc>
          <w:tcPr>
            <w:tcW w:w="6768" w:type="dxa"/>
            <w:tcBorders>
              <w:top w:val="single" w:sz="4" w:space="0" w:color="auto"/>
              <w:left w:val="single" w:sz="4" w:space="0" w:color="auto"/>
              <w:righ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240" w:lineRule="auto"/>
              <w:ind w:firstLine="420"/>
              <w:jc w:val="both"/>
            </w:pPr>
            <w:r>
              <w:t>1 210,00 Kč</w:t>
            </w:r>
          </w:p>
        </w:tc>
      </w:tr>
      <w:tr w:rsidR="0053759D">
        <w:tblPrEx>
          <w:tblCellMar>
            <w:top w:w="0" w:type="dxa"/>
            <w:bottom w:w="0" w:type="dxa"/>
          </w:tblCellMar>
        </w:tblPrEx>
        <w:trPr>
          <w:trHeight w:hRule="exact" w:val="691"/>
        </w:trPr>
        <w:tc>
          <w:tcPr>
            <w:tcW w:w="9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3759D" w:rsidRDefault="00152685">
            <w:pPr>
              <w:pStyle w:val="Jin0"/>
              <w:framePr w:w="9662" w:h="2822" w:wrap="none" w:vAnchor="page" w:hAnchor="page" w:x="1292" w:y="6823"/>
              <w:shd w:val="clear" w:color="auto" w:fill="auto"/>
              <w:spacing w:line="302" w:lineRule="auto"/>
              <w:ind w:firstLine="0"/>
            </w:pPr>
            <w:r>
              <w:t xml:space="preserve">Kupní </w:t>
            </w:r>
            <w:r>
              <w:t>cena je splatná nejpozději v den podpisu této smlouvy Kupujícím, případně v den splatnosti uvedené na daňovém dokladu vystaveném Prodávajícím, je-li tento odlišný ode dne podpisu této smlouvy Kupujícím, na účet Prodávajícího uvedený na daňovém dokladu a po</w:t>
            </w:r>
            <w:r>
              <w:t>d variabilním symbolem uvedeným tamtéž.</w:t>
            </w:r>
          </w:p>
        </w:tc>
      </w:tr>
    </w:tbl>
    <w:p w:rsidR="0053759D" w:rsidRDefault="00152685">
      <w:pPr>
        <w:pStyle w:val="Nadpis40"/>
        <w:framePr w:w="10145" w:h="6019" w:hRule="exact" w:wrap="none" w:vAnchor="page" w:hAnchor="page" w:x="809" w:y="9746"/>
        <w:numPr>
          <w:ilvl w:val="0"/>
          <w:numId w:val="2"/>
        </w:numPr>
        <w:shd w:val="clear" w:color="auto" w:fill="auto"/>
        <w:tabs>
          <w:tab w:val="left" w:pos="987"/>
        </w:tabs>
        <w:ind w:left="0" w:firstLine="480"/>
      </w:pPr>
      <w:bookmarkStart w:id="6" w:name="bookmark8"/>
      <w:bookmarkStart w:id="7" w:name="bookmark9"/>
      <w:r>
        <w:t>Dodací podmínky a přechod vlastnického práva</w:t>
      </w:r>
      <w:bookmarkEnd w:id="6"/>
      <w:bookmarkEnd w:id="7"/>
    </w:p>
    <w:p w:rsidR="0053759D" w:rsidRDefault="00152685">
      <w:pPr>
        <w:pStyle w:val="Zkladntext1"/>
        <w:framePr w:w="10145" w:h="6019" w:hRule="exact" w:wrap="none" w:vAnchor="page" w:hAnchor="page" w:x="809" w:y="9746"/>
        <w:numPr>
          <w:ilvl w:val="0"/>
          <w:numId w:val="3"/>
        </w:numPr>
        <w:shd w:val="clear" w:color="auto" w:fill="auto"/>
        <w:tabs>
          <w:tab w:val="left" w:pos="829"/>
        </w:tabs>
        <w:spacing w:line="269" w:lineRule="auto"/>
        <w:ind w:firstLine="480"/>
      </w:pPr>
      <w:r>
        <w:rPr>
          <w:b/>
          <w:bCs/>
          <w:sz w:val="17"/>
          <w:szCs w:val="17"/>
        </w:rPr>
        <w:t xml:space="preserve">1. </w:t>
      </w:r>
      <w:r>
        <w:t>Kupující tímto výslovně potvrzuje, že:</w:t>
      </w:r>
    </w:p>
    <w:p w:rsidR="0053759D" w:rsidRDefault="00152685">
      <w:pPr>
        <w:pStyle w:val="Zkladntext1"/>
        <w:framePr w:w="10145" w:h="6019" w:hRule="exact" w:wrap="none" w:vAnchor="page" w:hAnchor="page" w:x="809" w:y="9746"/>
        <w:numPr>
          <w:ilvl w:val="0"/>
          <w:numId w:val="4"/>
        </w:numPr>
        <w:shd w:val="clear" w:color="auto" w:fill="auto"/>
        <w:tabs>
          <w:tab w:val="left" w:pos="998"/>
        </w:tabs>
        <w:spacing w:line="269" w:lineRule="auto"/>
        <w:ind w:firstLine="700"/>
      </w:pPr>
      <w:r>
        <w:t>povinnost Prodávajícího dodat zboží již byla splněna, neboť Kupující má Zboží v držení</w:t>
      </w:r>
    </w:p>
    <w:p w:rsidR="0053759D" w:rsidRDefault="00152685">
      <w:pPr>
        <w:pStyle w:val="Zkladntext1"/>
        <w:framePr w:w="10145" w:h="6019" w:hRule="exact" w:wrap="none" w:vAnchor="page" w:hAnchor="page" w:x="809" w:y="9746"/>
        <w:numPr>
          <w:ilvl w:val="0"/>
          <w:numId w:val="4"/>
        </w:numPr>
        <w:shd w:val="clear" w:color="auto" w:fill="auto"/>
        <w:tabs>
          <w:tab w:val="left" w:pos="1034"/>
        </w:tabs>
        <w:spacing w:line="288" w:lineRule="auto"/>
        <w:ind w:left="700" w:firstLine="20"/>
      </w:pPr>
      <w:r>
        <w:t xml:space="preserve">Kupujícímu je dobře znám stav Zboží, </w:t>
      </w:r>
      <w:r>
        <w:t>neboť jej používal jako předmět leasingu dle Leasingové smlouvy, tedy je si vědom toho, že nekupuje Zboží nové, ale Zboží použité, a ve stavu, v němž se Zboží ke dni uzavření této smlouvy nachází, jej kupuje.</w:t>
      </w:r>
    </w:p>
    <w:p w:rsidR="0053759D" w:rsidRDefault="00152685">
      <w:pPr>
        <w:pStyle w:val="Zkladntext1"/>
        <w:framePr w:w="10145" w:h="6019" w:hRule="exact" w:wrap="none" w:vAnchor="page" w:hAnchor="page" w:x="809" w:y="9746"/>
        <w:numPr>
          <w:ilvl w:val="0"/>
          <w:numId w:val="5"/>
        </w:numPr>
        <w:shd w:val="clear" w:color="auto" w:fill="auto"/>
        <w:tabs>
          <w:tab w:val="left" w:pos="1005"/>
        </w:tabs>
        <w:spacing w:line="288" w:lineRule="auto"/>
        <w:ind w:left="440" w:firstLine="80"/>
      </w:pPr>
      <w:r>
        <w:t xml:space="preserve">Vlastnictví ke Zboží přechází na Kupujícího </w:t>
      </w:r>
      <w:r>
        <w:t>dnem zaplacení kupní ceny, přičemž zaplacením se rozumí připsání kupní ceny v plné výši na účet Prodávajícího.</w:t>
      </w:r>
    </w:p>
    <w:p w:rsidR="0053759D" w:rsidRDefault="00152685">
      <w:pPr>
        <w:pStyle w:val="Zkladntext1"/>
        <w:framePr w:w="10145" w:h="6019" w:hRule="exact" w:wrap="none" w:vAnchor="page" w:hAnchor="page" w:x="809" w:y="9746"/>
        <w:numPr>
          <w:ilvl w:val="0"/>
          <w:numId w:val="5"/>
        </w:numPr>
        <w:shd w:val="clear" w:color="auto" w:fill="auto"/>
        <w:tabs>
          <w:tab w:val="left" w:pos="1034"/>
        </w:tabs>
        <w:spacing w:line="269" w:lineRule="auto"/>
        <w:ind w:left="440" w:firstLine="80"/>
      </w:pPr>
      <w:r>
        <w:t>Prodávající se bez zbytečného odkladu po úplném uhrazení kupní ceny Zboží dle této smlouvy zavazuje:</w:t>
      </w:r>
    </w:p>
    <w:p w:rsidR="0053759D" w:rsidRDefault="00152685">
      <w:pPr>
        <w:pStyle w:val="Zkladntext1"/>
        <w:framePr w:w="10145" w:h="6019" w:hRule="exact" w:wrap="none" w:vAnchor="page" w:hAnchor="page" w:x="809" w:y="9746"/>
        <w:numPr>
          <w:ilvl w:val="0"/>
          <w:numId w:val="6"/>
        </w:numPr>
        <w:shd w:val="clear" w:color="auto" w:fill="auto"/>
        <w:tabs>
          <w:tab w:val="left" w:pos="1031"/>
        </w:tabs>
        <w:spacing w:line="288" w:lineRule="auto"/>
        <w:ind w:left="700" w:firstLine="20"/>
      </w:pPr>
      <w:r>
        <w:t xml:space="preserve">vystavit Kupujícímu plnou moc k provedení </w:t>
      </w:r>
      <w:r>
        <w:t xml:space="preserve">příslušného zápisu (výmazu) týkajícího se Zboží do obecně </w:t>
      </w:r>
      <w:proofErr w:type="gramStart"/>
      <w:r>
        <w:t>závazným</w:t>
      </w:r>
      <w:proofErr w:type="gramEnd"/>
      <w:r>
        <w:t xml:space="preserve"> právním předpisem předepsaného registru, jestliže je Zboží zapisováno do takového registru</w:t>
      </w:r>
    </w:p>
    <w:p w:rsidR="0053759D" w:rsidRDefault="00152685">
      <w:pPr>
        <w:pStyle w:val="Zkladntext1"/>
        <w:framePr w:w="10145" w:h="6019" w:hRule="exact" w:wrap="none" w:vAnchor="page" w:hAnchor="page" w:x="809" w:y="9746"/>
        <w:numPr>
          <w:ilvl w:val="0"/>
          <w:numId w:val="6"/>
        </w:numPr>
        <w:shd w:val="clear" w:color="auto" w:fill="auto"/>
        <w:tabs>
          <w:tab w:val="left" w:pos="1034"/>
        </w:tabs>
        <w:spacing w:line="288" w:lineRule="auto"/>
        <w:ind w:left="700" w:firstLine="20"/>
      </w:pPr>
      <w:r>
        <w:t xml:space="preserve">zaslat Kupujícímu technický průkaz náležející ke Zboží, případně další dokumenty vztahující se ke </w:t>
      </w:r>
      <w:r>
        <w:t>Zboží, jež má Prodávající k dispozici, jestliže ke Zboží takové doklady náležejí</w:t>
      </w:r>
    </w:p>
    <w:p w:rsidR="0053759D" w:rsidRDefault="00152685">
      <w:pPr>
        <w:pStyle w:val="Zkladntext1"/>
        <w:framePr w:w="10145" w:h="6019" w:hRule="exact" w:wrap="none" w:vAnchor="page" w:hAnchor="page" w:x="809" w:y="9746"/>
        <w:numPr>
          <w:ilvl w:val="0"/>
          <w:numId w:val="5"/>
        </w:numPr>
        <w:shd w:val="clear" w:color="auto" w:fill="auto"/>
        <w:tabs>
          <w:tab w:val="left" w:pos="994"/>
        </w:tabs>
        <w:spacing w:line="269" w:lineRule="auto"/>
        <w:ind w:firstLine="480"/>
      </w:pPr>
      <w:r>
        <w:t>V případě, že je Zboží evidováno v registru vozidel, je Kupující povinen bezodkladně, nejpozději však do 10 pracovních</w:t>
      </w:r>
    </w:p>
    <w:p w:rsidR="0053759D" w:rsidRDefault="00152685">
      <w:pPr>
        <w:pStyle w:val="Zkladntext1"/>
        <w:framePr w:w="10145" w:h="6019" w:hRule="exact" w:wrap="none" w:vAnchor="page" w:hAnchor="page" w:x="809" w:y="9746"/>
        <w:shd w:val="clear" w:color="auto" w:fill="auto"/>
        <w:spacing w:line="307" w:lineRule="auto"/>
        <w:ind w:left="440" w:firstLine="20"/>
      </w:pPr>
      <w:r>
        <w:t xml:space="preserve">dnů od nabytí vlastnického práva, a v souladu s obecně </w:t>
      </w:r>
      <w:r>
        <w:t>závaznými právními předpisy, podat u příslušného orgánu veřejné moci žádost o zápis zněny vlastníka a provozovatele Zboží tak, aby v příslušném registru byl jako vlastník Zboží uveden Kupující a jako provozovatel Zboží byl uveden Kupující, případně třetí o</w:t>
      </w:r>
      <w:r>
        <w:t xml:space="preserve">soba odlišná od Prodávajícího; za tímto účelem Prodávající udělí Kupujícímu plnou moc. Kupující je povinen doložit Prodávajícímu technický průkaz se zápisem Kupujícího jako vlastníka Zboží nejpozději do 1 5 pracovních dnů ode dne nabytí vlastnického práva </w:t>
      </w:r>
      <w:r>
        <w:t>ke Zboží Kupujícím. V případě, že po převodu vlastnického práva ke Zboží z Prodávajícího na Kupujícího bude vlastnické právo ke Zboží dále převedeno z Kupujícího na třetí osobu, aniž v mezidobí došlo k zápisu změny vlastníka a provozovatele v příslušném re</w:t>
      </w:r>
      <w:r>
        <w:t xml:space="preserve">gistru dle tohoto ustanovení </w:t>
      </w:r>
      <w:proofErr w:type="gramStart"/>
      <w:r>
        <w:t>III.4 věty</w:t>
      </w:r>
      <w:proofErr w:type="gramEnd"/>
      <w:r>
        <w:t xml:space="preserve"> první, je Kupující povinen doložit Prodávajícímu provedení zápisu změny vlastníka a provozovatele Zboží v příslušném registru tak, že vlastníkem a provozovatelem Zboží je třetí osoba odlišná od Prodávajícího, a to ne</w:t>
      </w:r>
      <w:r>
        <w:t>prodleně po provedení zápisu změn do příslušného registru. V případě, že Kupující zápis změny vlastníka a provozovatele Zboží v příslušném registru a technickém průkazu řádně a včas nezajistí, zavazuje se Kupující o tom Prodávajícího bezodkladně písemně in</w:t>
      </w:r>
      <w:r>
        <w:t>formovat a předložit mu všechny potřebné listiny k tomu, aby mohl zápis změny v registru vozidel provést sám Prodávající, zejména je povinen předložit Prodávajícímu podepsanou žádost o zápis změny v registru vozidel, technický průkaz a osvědčení o registra</w:t>
      </w:r>
      <w:r>
        <w:t>ci Zboží, zelenou kartu ke Zboží, není-li Zboží vyřazeno z provozu. Kupující je současně povinen nahradit Prodávajícímu veškeré náklady, které Prodávajícímu v této souvislosti vzniknou.</w:t>
      </w:r>
    </w:p>
    <w:p w:rsidR="0053759D" w:rsidRDefault="00152685">
      <w:pPr>
        <w:pStyle w:val="Zkladntext1"/>
        <w:framePr w:wrap="none" w:vAnchor="page" w:hAnchor="page" w:x="809" w:y="16043"/>
        <w:shd w:val="clear" w:color="auto" w:fill="auto"/>
        <w:spacing w:line="240" w:lineRule="auto"/>
        <w:ind w:left="10" w:right="6912" w:firstLine="480"/>
      </w:pPr>
      <w:r>
        <w:t xml:space="preserve">Verze 1 39 02 platná </w:t>
      </w:r>
      <w:proofErr w:type="gramStart"/>
      <w:r>
        <w:t>od</w:t>
      </w:r>
      <w:proofErr w:type="gramEnd"/>
      <w:r>
        <w:t xml:space="preserve">: </w:t>
      </w:r>
      <w:proofErr w:type="gramStart"/>
      <w:r>
        <w:t>01 .04 2023</w:t>
      </w:r>
      <w:proofErr w:type="gramEnd"/>
    </w:p>
    <w:p w:rsidR="0053759D" w:rsidRDefault="00152685">
      <w:pPr>
        <w:pStyle w:val="Zkladntext1"/>
        <w:framePr w:wrap="none" w:vAnchor="page" w:hAnchor="page" w:x="10198" w:y="16057"/>
        <w:shd w:val="clear" w:color="auto" w:fill="auto"/>
        <w:spacing w:line="240" w:lineRule="auto"/>
        <w:ind w:left="32" w:right="4" w:firstLine="0"/>
      </w:pPr>
      <w:r>
        <w:t>&gt;</w:t>
      </w:r>
      <w:proofErr w:type="spellStart"/>
      <w:r>
        <w:t>trana</w:t>
      </w:r>
      <w:proofErr w:type="spellEnd"/>
      <w:r>
        <w:t xml:space="preserve"> 1</w:t>
      </w:r>
    </w:p>
    <w:p w:rsidR="0053759D" w:rsidRDefault="0053759D">
      <w:pPr>
        <w:spacing w:line="1" w:lineRule="exact"/>
        <w:sectPr w:rsidR="0053759D">
          <w:pgSz w:w="11900" w:h="16840"/>
          <w:pgMar w:top="360" w:right="360" w:bottom="360" w:left="360" w:header="0" w:footer="3" w:gutter="0"/>
          <w:cols w:space="720"/>
          <w:noEndnote/>
          <w:docGrid w:linePitch="360"/>
        </w:sectPr>
      </w:pPr>
    </w:p>
    <w:p w:rsidR="0053759D" w:rsidRDefault="0053759D">
      <w:pPr>
        <w:spacing w:line="1" w:lineRule="exact"/>
      </w:pPr>
    </w:p>
    <w:p w:rsidR="0053759D" w:rsidRDefault="00152685">
      <w:pPr>
        <w:pStyle w:val="Zkladntext1"/>
        <w:framePr w:w="10145" w:h="12726" w:hRule="exact" w:wrap="none" w:vAnchor="page" w:hAnchor="page" w:x="814" w:y="344"/>
        <w:numPr>
          <w:ilvl w:val="0"/>
          <w:numId w:val="7"/>
        </w:numPr>
        <w:shd w:val="clear" w:color="auto" w:fill="auto"/>
        <w:tabs>
          <w:tab w:val="left" w:pos="862"/>
        </w:tabs>
        <w:spacing w:line="266" w:lineRule="auto"/>
        <w:ind w:firstLine="520"/>
        <w:jc w:val="both"/>
      </w:pPr>
      <w:r>
        <w:rPr>
          <w:b/>
          <w:bCs/>
          <w:sz w:val="17"/>
          <w:szCs w:val="17"/>
        </w:rPr>
        <w:t xml:space="preserve">5. </w:t>
      </w:r>
      <w:r>
        <w:t>Pokud Zboží podléhá jakékoliv jiné úřední evidenci, je Kupující povinen po řádném převzetí Zboží a po úhradě Kupní</w:t>
      </w:r>
    </w:p>
    <w:p w:rsidR="0053759D" w:rsidRDefault="00152685">
      <w:pPr>
        <w:pStyle w:val="Zkladntext1"/>
        <w:framePr w:w="10145" w:h="12726" w:hRule="exact" w:wrap="none" w:vAnchor="page" w:hAnchor="page" w:x="814" w:y="344"/>
        <w:shd w:val="clear" w:color="auto" w:fill="auto"/>
        <w:spacing w:after="100" w:line="300" w:lineRule="auto"/>
        <w:ind w:left="460" w:firstLine="20"/>
      </w:pPr>
      <w:r>
        <w:t xml:space="preserve">ceny a případné smluvní pokuty Kupujícím, provést zápis změny vlastníka a/nebo </w:t>
      </w:r>
      <w:r>
        <w:t>provozovatele Zboží v příslušné evidenci, popř. výmaz Zbo</w:t>
      </w:r>
      <w:r>
        <w:t xml:space="preserve">ží z příslušné evidence. V případě, že Kupující jakoukoliv povinnost dle sub 111.4 či sub </w:t>
      </w:r>
      <w:proofErr w:type="gramStart"/>
      <w:r>
        <w:t>III.5 řádně</w:t>
      </w:r>
      <w:proofErr w:type="gramEnd"/>
      <w:r>
        <w:t xml:space="preserve"> a včas nesplní, v důsledku čehož bude Prodávajícímu uložena ze strany orgánů veřejné moci jakákoliv sankce, je Kupující povinen Prodávajícímu takto zaplac</w:t>
      </w:r>
      <w:r>
        <w:t>enou částku na jeho výzvu neprodleně nahradit.</w:t>
      </w:r>
    </w:p>
    <w:p w:rsidR="0053759D" w:rsidRDefault="00152685">
      <w:pPr>
        <w:pStyle w:val="Nadpis40"/>
        <w:framePr w:w="10145" w:h="12726" w:hRule="exact" w:wrap="none" w:vAnchor="page" w:hAnchor="page" w:x="814" w:y="344"/>
        <w:numPr>
          <w:ilvl w:val="0"/>
          <w:numId w:val="7"/>
        </w:numPr>
        <w:shd w:val="clear" w:color="auto" w:fill="auto"/>
        <w:tabs>
          <w:tab w:val="left" w:pos="1016"/>
        </w:tabs>
        <w:spacing w:line="271" w:lineRule="auto"/>
        <w:ind w:firstLine="60"/>
      </w:pPr>
      <w:bookmarkStart w:id="8" w:name="bookmark10"/>
      <w:bookmarkStart w:id="9" w:name="bookmark11"/>
      <w:r>
        <w:t>Další ustanovení</w:t>
      </w:r>
      <w:bookmarkEnd w:id="8"/>
      <w:bookmarkEnd w:id="9"/>
    </w:p>
    <w:p w:rsidR="0053759D" w:rsidRDefault="00152685">
      <w:pPr>
        <w:pStyle w:val="Zkladntext1"/>
        <w:framePr w:w="10145" w:h="12726" w:hRule="exact" w:wrap="none" w:vAnchor="page" w:hAnchor="page" w:x="814" w:y="344"/>
        <w:numPr>
          <w:ilvl w:val="0"/>
          <w:numId w:val="3"/>
        </w:numPr>
        <w:shd w:val="clear" w:color="auto" w:fill="auto"/>
        <w:spacing w:line="288" w:lineRule="auto"/>
        <w:ind w:left="460"/>
      </w:pPr>
      <w:r>
        <w:rPr>
          <w:b/>
          <w:bCs/>
          <w:sz w:val="17"/>
          <w:szCs w:val="17"/>
        </w:rPr>
        <w:t xml:space="preserve">1. </w:t>
      </w:r>
      <w:r>
        <w:t>Zboží bylo předmětem leasingu dle Leasingové smlouvy totožného čísla uzavřené mezi Prodávajícím jako poskytovatelem leasingu a Kupujícím jako příjemcem leasingu.</w:t>
      </w:r>
    </w:p>
    <w:p w:rsidR="0053759D" w:rsidRDefault="00152685">
      <w:pPr>
        <w:pStyle w:val="Zkladntext1"/>
        <w:framePr w:w="10145" w:h="12726" w:hRule="exact" w:wrap="none" w:vAnchor="page" w:hAnchor="page" w:x="814" w:y="344"/>
        <w:numPr>
          <w:ilvl w:val="0"/>
          <w:numId w:val="2"/>
        </w:numPr>
        <w:shd w:val="clear" w:color="auto" w:fill="auto"/>
        <w:spacing w:line="288" w:lineRule="auto"/>
        <w:ind w:left="460"/>
      </w:pPr>
      <w:r>
        <w:rPr>
          <w:b/>
          <w:bCs/>
          <w:sz w:val="17"/>
          <w:szCs w:val="17"/>
        </w:rPr>
        <w:t xml:space="preserve">2. </w:t>
      </w:r>
      <w:r w:rsidR="00234ABB">
        <w:t>Ke d</w:t>
      </w:r>
      <w:r>
        <w:t xml:space="preserve">ni uzavření této </w:t>
      </w:r>
      <w:r>
        <w:t>smlouvy uplynula doba leasingu, na niž byla Leasingová smlouva uzavřena, a zároveň Kupující jako příjemce leasingu splnil všechny své splatné závazky z Leasingové smlouvy.</w:t>
      </w:r>
    </w:p>
    <w:p w:rsidR="0053759D" w:rsidRDefault="00152685">
      <w:pPr>
        <w:pStyle w:val="Zkladntext1"/>
        <w:framePr w:w="10145" w:h="12726" w:hRule="exact" w:wrap="none" w:vAnchor="page" w:hAnchor="page" w:x="814" w:y="344"/>
        <w:numPr>
          <w:ilvl w:val="0"/>
          <w:numId w:val="8"/>
        </w:numPr>
        <w:shd w:val="clear" w:color="auto" w:fill="auto"/>
        <w:tabs>
          <w:tab w:val="left" w:pos="863"/>
        </w:tabs>
        <w:spacing w:after="100" w:line="295" w:lineRule="auto"/>
        <w:ind w:left="460"/>
      </w:pPr>
      <w:r>
        <w:rPr>
          <w:b/>
          <w:bCs/>
          <w:sz w:val="17"/>
          <w:szCs w:val="17"/>
        </w:rPr>
        <w:t xml:space="preserve">3. </w:t>
      </w:r>
      <w:r>
        <w:t>Vzhled</w:t>
      </w:r>
      <w:r>
        <w:t>em ke skutečnostem uvedeným výše Prodávající neposkytuje Kupujícímu záruku</w:t>
      </w:r>
      <w:r>
        <w:t xml:space="preserve"> za jakost Zboží a neodpovídá za faktické ani právní vady z</w:t>
      </w:r>
      <w:r>
        <w:t xml:space="preserve">boží. </w:t>
      </w:r>
      <w:r>
        <w:t>Prodávající a Kupující smluvně vylučují jakékoliv nároky Kupujícího vůči Prodávajícímu na náhradu škody vzniklou v jakékoliv souvislosti s touto smlouvou.</w:t>
      </w:r>
    </w:p>
    <w:p w:rsidR="0053759D" w:rsidRDefault="00152685">
      <w:pPr>
        <w:pStyle w:val="Nadpis40"/>
        <w:framePr w:w="10145" w:h="12726" w:hRule="exact" w:wrap="none" w:vAnchor="page" w:hAnchor="page" w:x="814" w:y="344"/>
        <w:numPr>
          <w:ilvl w:val="0"/>
          <w:numId w:val="8"/>
        </w:numPr>
        <w:shd w:val="clear" w:color="auto" w:fill="auto"/>
        <w:tabs>
          <w:tab w:val="left" w:pos="1016"/>
        </w:tabs>
        <w:ind w:firstLine="60"/>
      </w:pPr>
      <w:bookmarkStart w:id="10" w:name="bookmark12"/>
      <w:bookmarkStart w:id="11" w:name="bookmark13"/>
      <w:r>
        <w:t>Ostatní ustanovení</w:t>
      </w:r>
      <w:bookmarkEnd w:id="10"/>
      <w:bookmarkEnd w:id="11"/>
    </w:p>
    <w:p w:rsidR="0053759D" w:rsidRDefault="00152685">
      <w:pPr>
        <w:pStyle w:val="Zkladntext1"/>
        <w:framePr w:w="10145" w:h="12726" w:hRule="exact" w:wrap="none" w:vAnchor="page" w:hAnchor="page" w:x="814" w:y="344"/>
        <w:numPr>
          <w:ilvl w:val="0"/>
          <w:numId w:val="2"/>
        </w:numPr>
        <w:shd w:val="clear" w:color="auto" w:fill="auto"/>
        <w:spacing w:line="286" w:lineRule="auto"/>
        <w:ind w:left="460"/>
      </w:pPr>
      <w:r>
        <w:rPr>
          <w:b/>
          <w:bCs/>
          <w:sz w:val="17"/>
          <w:szCs w:val="17"/>
        </w:rPr>
        <w:t xml:space="preserve">l. </w:t>
      </w:r>
      <w:r>
        <w:t xml:space="preserve">Práva a </w:t>
      </w:r>
      <w:r>
        <w:t>povinnosti touto smlouvou výslovně neupravené a veškeré právní otázky týkající se vztahu mezi smluvními stranami se řídí právem České republiky, zejména OZ.</w:t>
      </w:r>
    </w:p>
    <w:p w:rsidR="0053759D" w:rsidRDefault="00152685">
      <w:pPr>
        <w:pStyle w:val="Zkladntext1"/>
        <w:framePr w:w="10145" w:h="12726" w:hRule="exact" w:wrap="none" w:vAnchor="page" w:hAnchor="page" w:x="814" w:y="344"/>
        <w:numPr>
          <w:ilvl w:val="0"/>
          <w:numId w:val="3"/>
        </w:numPr>
        <w:shd w:val="clear" w:color="auto" w:fill="auto"/>
        <w:ind w:left="460"/>
      </w:pPr>
      <w:r>
        <w:rPr>
          <w:b/>
          <w:bCs/>
          <w:sz w:val="17"/>
          <w:szCs w:val="17"/>
        </w:rPr>
        <w:t xml:space="preserve">2. </w:t>
      </w:r>
      <w:r>
        <w:t>Smluvní strany se dohodly, že jakákoli písemnost se považuje za doručenou okamžikem, kdy se dost</w:t>
      </w:r>
      <w:r>
        <w:t>ala do sféry dispozice adresáta, tedy zejména kdy byla převzata adresátem, případně dnem, kdy byla - bylo-li doručováno prostřednictvím držitele poštovní licence - uložena u držitele poštovní licence, a v případě, že se vrátila odesílateli jako nedoručitel</w:t>
      </w:r>
      <w:r>
        <w:t>ná s tím, že k uložení nedošlo (např. proto, že adresát je na uvedené adrese neznámý nebo se odstěhoval bez udání adresy), pak 3. dnem od jejího odeslání. Adresou rozhodnou pro doručování je vždy adresa uvedená v záhlaví této smlouvy, není-li ve smlouvě st</w:t>
      </w:r>
      <w:r>
        <w:t>anoveno jinak.</w:t>
      </w:r>
    </w:p>
    <w:p w:rsidR="0053759D" w:rsidRDefault="00152685">
      <w:pPr>
        <w:pStyle w:val="Zkladntext1"/>
        <w:framePr w:w="10145" w:h="12726" w:hRule="exact" w:wrap="none" w:vAnchor="page" w:hAnchor="page" w:x="814" w:y="344"/>
        <w:numPr>
          <w:ilvl w:val="0"/>
          <w:numId w:val="7"/>
        </w:numPr>
        <w:shd w:val="clear" w:color="auto" w:fill="auto"/>
        <w:spacing w:line="302" w:lineRule="auto"/>
        <w:ind w:left="460"/>
      </w:pPr>
      <w:r>
        <w:rPr>
          <w:b/>
          <w:bCs/>
          <w:sz w:val="17"/>
          <w:szCs w:val="17"/>
        </w:rPr>
        <w:t xml:space="preserve">3. </w:t>
      </w:r>
      <w:r>
        <w:t xml:space="preserve">Smluvní strany se dohodly, že veškeré případné majetkové spory mezi nimi vznikající z této smlouvy a v souvislosti s ní </w:t>
      </w:r>
      <w:proofErr w:type="gramStart"/>
      <w:r>
        <w:t xml:space="preserve">budou </w:t>
      </w:r>
      <w:proofErr w:type="spellStart"/>
      <w:r>
        <w:t>budou</w:t>
      </w:r>
      <w:proofErr w:type="spellEnd"/>
      <w:proofErr w:type="gramEnd"/>
      <w:r>
        <w:t xml:space="preserve"> rozhodovány s konečnou platností v rozhodčím řízení jedním rozhodcem, a to ad hoc rozhodcem JUDr. Zdeňkou </w:t>
      </w:r>
      <w:r>
        <w:t xml:space="preserve">Bednářovou, advokátem, ev. č. ČAK 05079; pokud by z jakéhokoli důvodu rozhodce JUDr. Zdeňka Bednářová dotčený spor nemohla rozhodovat (např. odmítla-li by dotčený spor ze zákonných důvodů rozhodovat, byla-li by vyloučena z projednávané věci </w:t>
      </w:r>
      <w:proofErr w:type="spellStart"/>
      <w:r>
        <w:t>apod</w:t>
      </w:r>
      <w:proofErr w:type="spellEnd"/>
      <w:r>
        <w:t>), pak bude</w:t>
      </w:r>
      <w:r w:rsidR="00234ABB">
        <w:t xml:space="preserve"> ad hoc roz</w:t>
      </w:r>
      <w:r>
        <w:t>hodcem Mgr. Martin Vondrouš, advokát, ev. č. ČAK 1 0036. V rozhodčím řízení bude postupováno podle zákona č. 216/1 9,94 Sb., o rozhodčím řízení a výkonu rozhodčích nálezů, ve znění pozdějších předpisů, a podle zákona č. 99/1963 Sb., občanský so</w:t>
      </w:r>
      <w:r>
        <w:t xml:space="preserve">udní řád, ve znění pozdějších předpisů. Náklady rozhodčího řízení jdou k tíži strany, která ve sporu podlehla, a sestávají z paušálního poplatku na administrativní výlohy ve výši 300 Kč a odměny rozhodce stanovené následovně: základ do výše 30.000 </w:t>
      </w:r>
      <w:proofErr w:type="gramStart"/>
      <w:r>
        <w:t>Kč ... 7</w:t>
      </w:r>
      <w:r>
        <w:t>00</w:t>
      </w:r>
      <w:proofErr w:type="gramEnd"/>
      <w:r>
        <w:t xml:space="preserve"> Kč; základ do výše 50.000 </w:t>
      </w:r>
      <w:proofErr w:type="gramStart"/>
      <w:r>
        <w:t>Kč ... 1.700</w:t>
      </w:r>
      <w:proofErr w:type="gramEnd"/>
      <w:r>
        <w:t xml:space="preserve"> Kč; základ do výše 1 00.000 </w:t>
      </w:r>
      <w:proofErr w:type="gramStart"/>
      <w:r>
        <w:t>Kč ... 2.500</w:t>
      </w:r>
      <w:proofErr w:type="gramEnd"/>
      <w:r>
        <w:t xml:space="preserve"> Kč a 3% z částky hodnoty sporu přesahující 50.000 Kč; základ do výše 250.000 </w:t>
      </w:r>
      <w:proofErr w:type="gramStart"/>
      <w:r>
        <w:t>Kč ... 4.000</w:t>
      </w:r>
      <w:proofErr w:type="gramEnd"/>
      <w:r>
        <w:t xml:space="preserve"> Kč a 2,5% z částky hodnoty sporu přesahující 1 00.000 Kč; základ do výše 500.000 </w:t>
      </w:r>
      <w:proofErr w:type="gramStart"/>
      <w:r>
        <w:t>Kč</w:t>
      </w:r>
      <w:r>
        <w:t xml:space="preserve"> ... 7.750</w:t>
      </w:r>
      <w:proofErr w:type="gramEnd"/>
      <w:r>
        <w:t xml:space="preserve"> Kč a 2% z částky hodnoty sporu přesahující 250.000 Kč; základ do výše 1.000.000 </w:t>
      </w:r>
      <w:proofErr w:type="gramStart"/>
      <w:r>
        <w:t>Kč ... 1 2.750</w:t>
      </w:r>
      <w:proofErr w:type="gramEnd"/>
      <w:r>
        <w:t xml:space="preserve"> Kč a 1% z částky hodnoty sporu přesahující 500.000 Kč; základ nad 1.000.000 </w:t>
      </w:r>
      <w:proofErr w:type="gramStart"/>
      <w:r>
        <w:t>Kč ... 1 7.750</w:t>
      </w:r>
      <w:proofErr w:type="gramEnd"/>
      <w:r>
        <w:t xml:space="preserve"> Kč a 0,25% z částky hodnoty sporu převyšující 1,000.000 Kč;</w:t>
      </w:r>
      <w:r>
        <w:t xml:space="preserve"> v případě porušení povinností (kdy nelze předmět řízení ocenit) některou ze smluvních stran, jsou-li tyto povinnosti uvedeny ve </w:t>
      </w:r>
      <w:proofErr w:type="gramStart"/>
      <w:r>
        <w:t>smlouvě ... 2.000</w:t>
      </w:r>
      <w:proofErr w:type="gramEnd"/>
      <w:r>
        <w:t xml:space="preserve"> Kč; v případě ostatních sporů, u nichž nelze předmět řízení ocenit, a nejde-li o porušení povinností uvedenýc</w:t>
      </w:r>
      <w:r>
        <w:t xml:space="preserve">h ve </w:t>
      </w:r>
      <w:proofErr w:type="gramStart"/>
      <w:r>
        <w:t>smlouvě ... 4.000</w:t>
      </w:r>
      <w:proofErr w:type="gramEnd"/>
      <w:r>
        <w:t xml:space="preserve"> Kč. Strana, která ve sporu podlehla, je povinna nahradit druhé straně sporu její náklady řízení, zejména náklady na zaplacené poplatky za rozhodčí řízení (odměnu rozhodce, paušální poplatek na administrativní výlohy, to vše vč. DPH),</w:t>
      </w:r>
      <w:r>
        <w:t xml:space="preserve"> a dále náklady na právní zastoupení ve výši, odpovídající výši přiznávané v občanském soudním řízení.</w:t>
      </w:r>
    </w:p>
    <w:p w:rsidR="0053759D" w:rsidRDefault="00152685">
      <w:pPr>
        <w:pStyle w:val="Zkladntext1"/>
        <w:framePr w:w="10145" w:h="12726" w:hRule="exact" w:wrap="none" w:vAnchor="page" w:hAnchor="page" w:x="814" w:y="344"/>
        <w:shd w:val="clear" w:color="auto" w:fill="auto"/>
        <w:spacing w:line="305" w:lineRule="auto"/>
        <w:ind w:left="460" w:firstLine="20"/>
      </w:pPr>
      <w:r>
        <w:t>Smluvní strany dále sjednávají, že rozhodčí řízení může být pouze písemné a rozhodčí nález nemusí obsahovat odůvodnění. Pokud by z jakéhokoli důvodu žádn</w:t>
      </w:r>
      <w:r>
        <w:t>á z výše uvedených osob nemohla spor rozhodovat (např. odmítly-li by všechny osoby dotčený spor ze zákonných důvodů rozhodovat, nebo byly-li by všechny osoby vyloučeny z projednávané věci apod.), pak budou veškeré případné majetkové spory vznikající z této</w:t>
      </w:r>
      <w:r>
        <w:t xml:space="preserve"> smlouvy a v souvislosti s ní rozhodovány s konečnou platností u Rozhodčího soudu při Hospodářské komoře České republiky a Agrární komoře České republiky podle </w:t>
      </w:r>
      <w:proofErr w:type="gramStart"/>
      <w:r>
        <w:t>jeho</w:t>
      </w:r>
      <w:proofErr w:type="gramEnd"/>
      <w:r>
        <w:t xml:space="preserve"> Rádu a Pravidel jedním rozhodcem jmenovaným předsedou Rozhodčího soudu. Náklady rozhodčího </w:t>
      </w:r>
      <w:r>
        <w:t>řízení jdou k tíži strany, která ve sporu podlehla, a jsou uvedeny v Pravidlech Rozhodčího soudu při Hospodářské komoře České republiky a Agrární komoře České republiky.</w:t>
      </w:r>
    </w:p>
    <w:p w:rsidR="0053759D" w:rsidRDefault="00152685">
      <w:pPr>
        <w:pStyle w:val="Zkladntext1"/>
        <w:framePr w:w="10145" w:h="12726" w:hRule="exact" w:wrap="none" w:vAnchor="page" w:hAnchor="page" w:x="814" w:y="344"/>
        <w:numPr>
          <w:ilvl w:val="0"/>
          <w:numId w:val="9"/>
        </w:numPr>
        <w:shd w:val="clear" w:color="auto" w:fill="auto"/>
        <w:tabs>
          <w:tab w:val="left" w:pos="805"/>
        </w:tabs>
        <w:spacing w:after="100" w:line="286" w:lineRule="auto"/>
        <w:ind w:left="460"/>
      </w:pPr>
      <w:r>
        <w:rPr>
          <w:b/>
          <w:bCs/>
          <w:sz w:val="17"/>
          <w:szCs w:val="17"/>
        </w:rPr>
        <w:t xml:space="preserve">4. </w:t>
      </w:r>
      <w:r>
        <w:t>Tato smlouva obsahuje úplnou dohodu smluvních stran o předmětu této smlouvy a nahra</w:t>
      </w:r>
      <w:r>
        <w:t>zuje všechny předchozí ústní či písemné dohody smluvních stran týkající se předmětu této smlouvy.</w:t>
      </w:r>
    </w:p>
    <w:p w:rsidR="0053759D" w:rsidRDefault="00152685">
      <w:pPr>
        <w:pStyle w:val="Nadpis40"/>
        <w:framePr w:w="10145" w:h="12726" w:hRule="exact" w:wrap="none" w:vAnchor="page" w:hAnchor="page" w:x="814" w:y="344"/>
        <w:numPr>
          <w:ilvl w:val="0"/>
          <w:numId w:val="9"/>
        </w:numPr>
        <w:shd w:val="clear" w:color="auto" w:fill="auto"/>
        <w:tabs>
          <w:tab w:val="left" w:pos="1016"/>
        </w:tabs>
        <w:ind w:left="0" w:firstLine="520"/>
        <w:jc w:val="both"/>
      </w:pPr>
      <w:bookmarkStart w:id="12" w:name="bookmark14"/>
      <w:bookmarkStart w:id="13" w:name="bookmark15"/>
      <w:r>
        <w:t>Závěrečná ustanovení</w:t>
      </w:r>
      <w:bookmarkEnd w:id="12"/>
      <w:bookmarkEnd w:id="13"/>
    </w:p>
    <w:p w:rsidR="0053759D" w:rsidRDefault="00152685">
      <w:pPr>
        <w:pStyle w:val="Zkladntext1"/>
        <w:framePr w:w="10145" w:h="12726" w:hRule="exact" w:wrap="none" w:vAnchor="page" w:hAnchor="page" w:x="814" w:y="344"/>
        <w:numPr>
          <w:ilvl w:val="0"/>
          <w:numId w:val="7"/>
        </w:numPr>
        <w:shd w:val="clear" w:color="auto" w:fill="auto"/>
        <w:spacing w:line="295" w:lineRule="auto"/>
        <w:ind w:left="460"/>
      </w:pPr>
      <w:r>
        <w:rPr>
          <w:b/>
          <w:bCs/>
          <w:sz w:val="17"/>
          <w:szCs w:val="17"/>
        </w:rPr>
        <w:t xml:space="preserve">1. </w:t>
      </w:r>
      <w:r>
        <w:t xml:space="preserve">Tuto smlouvu je možno měnit pouze formou číslovaných písemných dodatků odsouhlasených smluvními stranami; jiná než písemná forma je </w:t>
      </w:r>
      <w:r>
        <w:t xml:space="preserve">vyloučena. Ustanovení § 1 799 a § 1 800 OZ se pro úpravu vztahů Prodávajícího a Kupujícího podle této smlouvy neužijí. Kupující přebírá na sebe riziko změny okolností ve smyslu § 1 765 </w:t>
      </w:r>
      <w:proofErr w:type="gramStart"/>
      <w:r>
        <w:t>odst.2 OZ</w:t>
      </w:r>
      <w:proofErr w:type="gramEnd"/>
      <w:r>
        <w:t xml:space="preserve">; Kupující nemůže uplatňovat práva uvedená v § 1 765 </w:t>
      </w:r>
      <w:proofErr w:type="spellStart"/>
      <w:proofErr w:type="gramStart"/>
      <w:r>
        <w:t>odst.l</w:t>
      </w:r>
      <w:proofErr w:type="spellEnd"/>
      <w:r>
        <w:t xml:space="preserve"> OZ</w:t>
      </w:r>
      <w:proofErr w:type="gramEnd"/>
      <w:r>
        <w:t>.</w:t>
      </w:r>
    </w:p>
    <w:p w:rsidR="0053759D" w:rsidRDefault="00152685">
      <w:pPr>
        <w:pStyle w:val="Zkladntext1"/>
        <w:framePr w:w="10145" w:h="12726" w:hRule="exact" w:wrap="none" w:vAnchor="page" w:hAnchor="page" w:x="814" w:y="344"/>
        <w:numPr>
          <w:ilvl w:val="0"/>
          <w:numId w:val="3"/>
        </w:numPr>
        <w:shd w:val="clear" w:color="auto" w:fill="auto"/>
        <w:spacing w:line="286" w:lineRule="auto"/>
        <w:ind w:left="460"/>
      </w:pPr>
      <w:r>
        <w:rPr>
          <w:b/>
          <w:bCs/>
          <w:sz w:val="17"/>
          <w:szCs w:val="17"/>
        </w:rPr>
        <w:t xml:space="preserve">2. </w:t>
      </w:r>
      <w:r>
        <w:t xml:space="preserve">Tato smlouva je vypracována ve </w:t>
      </w:r>
      <w:r>
        <w:rPr>
          <w:b/>
          <w:bCs/>
          <w:sz w:val="17"/>
          <w:szCs w:val="17"/>
        </w:rPr>
        <w:t xml:space="preserve">dvou </w:t>
      </w:r>
      <w:proofErr w:type="gramStart"/>
      <w:r>
        <w:rPr>
          <w:b/>
          <w:bCs/>
          <w:sz w:val="17"/>
          <w:szCs w:val="17"/>
        </w:rPr>
        <w:t xml:space="preserve">stejnopisech , </w:t>
      </w:r>
      <w:r>
        <w:t>z nichž</w:t>
      </w:r>
      <w:proofErr w:type="gramEnd"/>
      <w:r>
        <w:t xml:space="preserve"> každý má platnost originálu. Každé smluvní straně a vedlejšímu účastníkovi náleží po jednom stejnopisu.</w:t>
      </w:r>
    </w:p>
    <w:p w:rsidR="0053759D" w:rsidRDefault="00152685">
      <w:pPr>
        <w:pStyle w:val="Zkladntext1"/>
        <w:framePr w:w="10145" w:h="12726" w:hRule="exact" w:wrap="none" w:vAnchor="page" w:hAnchor="page" w:x="814" w:y="344"/>
        <w:numPr>
          <w:ilvl w:val="0"/>
          <w:numId w:val="2"/>
        </w:numPr>
        <w:shd w:val="clear" w:color="auto" w:fill="auto"/>
        <w:spacing w:line="286" w:lineRule="auto"/>
        <w:ind w:left="460"/>
      </w:pPr>
      <w:r>
        <w:rPr>
          <w:b/>
          <w:bCs/>
          <w:sz w:val="17"/>
          <w:szCs w:val="17"/>
        </w:rPr>
        <w:t xml:space="preserve">3. </w:t>
      </w:r>
      <w:r>
        <w:t>Na důkaz toho, že se smluvní strany s touto smlouvou před jejím podpisem seznámily, ž</w:t>
      </w:r>
      <w:r>
        <w:t>e s ní souhlasí a že byla uzavřena z jejich pravé a svobodné vůle, připojují smluvní strany svůj podpis.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820"/>
        <w:gridCol w:w="4824"/>
      </w:tblGrid>
      <w:tr w:rsidR="0053759D">
        <w:tblPrEx>
          <w:tblCellMar>
            <w:top w:w="0" w:type="dxa"/>
            <w:bottom w:w="0" w:type="dxa"/>
          </w:tblCellMar>
        </w:tblPrEx>
        <w:trPr>
          <w:trHeight w:hRule="exact" w:val="248"/>
        </w:trPr>
        <w:tc>
          <w:tcPr>
            <w:tcW w:w="4820" w:type="dxa"/>
            <w:tcBorders>
              <w:top w:val="single" w:sz="4" w:space="0" w:color="auto"/>
              <w:left w:val="single" w:sz="4" w:space="0" w:color="auto"/>
            </w:tcBorders>
            <w:shd w:val="clear" w:color="auto" w:fill="FFFFFF"/>
          </w:tcPr>
          <w:p w:rsidR="0053759D" w:rsidRDefault="00152685">
            <w:pPr>
              <w:pStyle w:val="Jin0"/>
              <w:framePr w:w="9644" w:h="2246" w:wrap="none" w:vAnchor="page" w:hAnchor="page" w:x="1285" w:y="13196"/>
              <w:shd w:val="clear" w:color="auto" w:fill="auto"/>
              <w:spacing w:line="240" w:lineRule="auto"/>
              <w:ind w:firstLine="0"/>
            </w:pPr>
            <w:r>
              <w:t>Místo</w:t>
            </w:r>
          </w:p>
        </w:tc>
        <w:tc>
          <w:tcPr>
            <w:tcW w:w="4824" w:type="dxa"/>
            <w:tcBorders>
              <w:top w:val="single" w:sz="4" w:space="0" w:color="auto"/>
              <w:left w:val="single" w:sz="4" w:space="0" w:color="auto"/>
              <w:right w:val="single" w:sz="4" w:space="0" w:color="auto"/>
            </w:tcBorders>
            <w:shd w:val="clear" w:color="auto" w:fill="FFFFFF"/>
          </w:tcPr>
          <w:p w:rsidR="0053759D" w:rsidRDefault="00152685" w:rsidP="00152685">
            <w:pPr>
              <w:pStyle w:val="Jin0"/>
              <w:framePr w:w="9644" w:h="2246" w:wrap="none" w:vAnchor="page" w:hAnchor="page" w:x="1285" w:y="13196"/>
              <w:shd w:val="clear" w:color="auto" w:fill="auto"/>
              <w:tabs>
                <w:tab w:val="left" w:pos="979"/>
                <w:tab w:val="left" w:pos="1595"/>
              </w:tabs>
              <w:spacing w:line="240" w:lineRule="auto"/>
              <w:ind w:firstLine="0"/>
            </w:pPr>
            <w:r>
              <w:t>Mís</w:t>
            </w:r>
            <w:r>
              <w:t>to</w:t>
            </w:r>
            <w:r>
              <w:tab/>
              <w:t>Praha</w:t>
            </w:r>
            <w:bookmarkStart w:id="14" w:name="_GoBack"/>
            <w:bookmarkEnd w:id="14"/>
          </w:p>
        </w:tc>
      </w:tr>
      <w:tr w:rsidR="0053759D">
        <w:tblPrEx>
          <w:tblCellMar>
            <w:top w:w="0" w:type="dxa"/>
            <w:bottom w:w="0" w:type="dxa"/>
          </w:tblCellMar>
        </w:tblPrEx>
        <w:trPr>
          <w:trHeight w:hRule="exact" w:val="230"/>
        </w:trPr>
        <w:tc>
          <w:tcPr>
            <w:tcW w:w="4820" w:type="dxa"/>
            <w:tcBorders>
              <w:top w:val="single" w:sz="4" w:space="0" w:color="auto"/>
              <w:left w:val="single" w:sz="4" w:space="0" w:color="auto"/>
            </w:tcBorders>
            <w:shd w:val="clear" w:color="auto" w:fill="FFFFFF"/>
            <w:vAlign w:val="bottom"/>
          </w:tcPr>
          <w:p w:rsidR="0053759D" w:rsidRDefault="00152685">
            <w:pPr>
              <w:pStyle w:val="Jin0"/>
              <w:framePr w:w="9644" w:h="2246" w:wrap="none" w:vAnchor="page" w:hAnchor="page" w:x="1285" w:y="13196"/>
              <w:shd w:val="clear" w:color="auto" w:fill="auto"/>
              <w:spacing w:line="240" w:lineRule="auto"/>
              <w:ind w:firstLine="0"/>
            </w:pPr>
            <w:r>
              <w:t>Datum</w:t>
            </w:r>
          </w:p>
        </w:tc>
        <w:tc>
          <w:tcPr>
            <w:tcW w:w="4824" w:type="dxa"/>
            <w:tcBorders>
              <w:top w:val="single" w:sz="4" w:space="0" w:color="auto"/>
              <w:left w:val="single" w:sz="4" w:space="0" w:color="auto"/>
              <w:right w:val="single" w:sz="4" w:space="0" w:color="auto"/>
            </w:tcBorders>
            <w:shd w:val="clear" w:color="auto" w:fill="FFFFFF"/>
            <w:vAlign w:val="bottom"/>
          </w:tcPr>
          <w:p w:rsidR="0053759D" w:rsidRDefault="00152685" w:rsidP="00152685">
            <w:pPr>
              <w:pStyle w:val="Jin0"/>
              <w:framePr w:w="9644" w:h="2246" w:wrap="none" w:vAnchor="page" w:hAnchor="page" w:x="1285" w:y="13196"/>
              <w:shd w:val="clear" w:color="auto" w:fill="auto"/>
              <w:tabs>
                <w:tab w:val="left" w:pos="720"/>
              </w:tabs>
              <w:spacing w:line="240" w:lineRule="auto"/>
              <w:ind w:firstLine="0"/>
            </w:pPr>
            <w:r>
              <w:t>Datum</w:t>
            </w:r>
            <w:r>
              <w:tab/>
            </w:r>
            <w:proofErr w:type="gramStart"/>
            <w:r>
              <w:t>26.4.2024</w:t>
            </w:r>
            <w:proofErr w:type="gramEnd"/>
          </w:p>
        </w:tc>
      </w:tr>
      <w:tr w:rsidR="0053759D">
        <w:tblPrEx>
          <w:tblCellMar>
            <w:top w:w="0" w:type="dxa"/>
            <w:bottom w:w="0" w:type="dxa"/>
          </w:tblCellMar>
        </w:tblPrEx>
        <w:trPr>
          <w:trHeight w:hRule="exact" w:val="137"/>
        </w:trPr>
        <w:tc>
          <w:tcPr>
            <w:tcW w:w="9644" w:type="dxa"/>
            <w:gridSpan w:val="2"/>
            <w:tcBorders>
              <w:top w:val="single" w:sz="4" w:space="0" w:color="auto"/>
            </w:tcBorders>
            <w:shd w:val="clear" w:color="auto" w:fill="FFFFFF"/>
            <w:vAlign w:val="bottom"/>
          </w:tcPr>
          <w:p w:rsidR="0053759D" w:rsidRDefault="00152685">
            <w:pPr>
              <w:pStyle w:val="Jin0"/>
              <w:framePr w:w="9644" w:h="2246" w:wrap="none" w:vAnchor="page" w:hAnchor="page" w:x="1285" w:y="13196"/>
              <w:shd w:val="clear" w:color="auto" w:fill="auto"/>
              <w:spacing w:line="240" w:lineRule="auto"/>
              <w:ind w:left="1860" w:firstLine="0"/>
            </w:pPr>
            <w:proofErr w:type="gramStart"/>
            <w:r>
              <w:rPr>
                <w:rFonts w:ascii="Times New Roman" w:eastAsia="Times New Roman" w:hAnsi="Times New Roman" w:cs="Times New Roman"/>
                <w:i/>
                <w:iCs/>
                <w:color w:val="626CB6"/>
              </w:rPr>
              <w:t xml:space="preserve">/ </w:t>
            </w:r>
            <w:r>
              <w:rPr>
                <w:rFonts w:ascii="Times New Roman" w:eastAsia="Times New Roman" w:hAnsi="Times New Roman" w:cs="Times New Roman"/>
                <w:i/>
                <w:iCs/>
              </w:rPr>
              <w:t xml:space="preserve">. • </w:t>
            </w:r>
            <w:r>
              <w:rPr>
                <w:rFonts w:ascii="Times New Roman" w:eastAsia="Times New Roman" w:hAnsi="Times New Roman" w:cs="Times New Roman"/>
                <w:i/>
                <w:iCs/>
                <w:color w:val="626CB6"/>
              </w:rPr>
              <w:t>/</w:t>
            </w:r>
            <w:proofErr w:type="gramEnd"/>
          </w:p>
        </w:tc>
      </w:tr>
      <w:tr w:rsidR="0053759D">
        <w:tblPrEx>
          <w:tblCellMar>
            <w:top w:w="0" w:type="dxa"/>
            <w:bottom w:w="0" w:type="dxa"/>
          </w:tblCellMar>
        </w:tblPrEx>
        <w:trPr>
          <w:trHeight w:hRule="exact" w:val="576"/>
        </w:trPr>
        <w:tc>
          <w:tcPr>
            <w:tcW w:w="4820" w:type="dxa"/>
            <w:tcBorders>
              <w:top w:val="single" w:sz="4" w:space="0" w:color="auto"/>
              <w:left w:val="single" w:sz="4" w:space="0" w:color="auto"/>
            </w:tcBorders>
            <w:shd w:val="clear" w:color="auto" w:fill="FFFFFF"/>
            <w:vAlign w:val="bottom"/>
          </w:tcPr>
          <w:p w:rsidR="0053759D" w:rsidRDefault="0053759D">
            <w:pPr>
              <w:pStyle w:val="Jin0"/>
              <w:framePr w:w="9644" w:h="2246" w:wrap="none" w:vAnchor="page" w:hAnchor="page" w:x="1285" w:y="13196"/>
              <w:shd w:val="clear" w:color="auto" w:fill="auto"/>
              <w:spacing w:line="240" w:lineRule="auto"/>
              <w:ind w:firstLine="0"/>
              <w:rPr>
                <w:sz w:val="90"/>
                <w:szCs w:val="90"/>
              </w:rPr>
            </w:pPr>
          </w:p>
        </w:tc>
        <w:tc>
          <w:tcPr>
            <w:tcW w:w="4824" w:type="dxa"/>
            <w:tcBorders>
              <w:top w:val="single" w:sz="4" w:space="0" w:color="auto"/>
              <w:left w:val="single" w:sz="4" w:space="0" w:color="auto"/>
              <w:right w:val="single" w:sz="4" w:space="0" w:color="auto"/>
            </w:tcBorders>
            <w:shd w:val="clear" w:color="auto" w:fill="FFFFFF"/>
          </w:tcPr>
          <w:p w:rsidR="0053759D" w:rsidRDefault="0053759D">
            <w:pPr>
              <w:pStyle w:val="Jin0"/>
              <w:framePr w:w="9644" w:h="2246" w:wrap="none" w:vAnchor="page" w:hAnchor="page" w:x="1285" w:y="13196"/>
              <w:shd w:val="clear" w:color="auto" w:fill="auto"/>
              <w:spacing w:line="194" w:lineRule="auto"/>
              <w:ind w:left="1140" w:firstLine="0"/>
              <w:rPr>
                <w:sz w:val="18"/>
                <w:szCs w:val="18"/>
              </w:rPr>
            </w:pPr>
          </w:p>
        </w:tc>
      </w:tr>
      <w:tr w:rsidR="0053759D">
        <w:tblPrEx>
          <w:tblCellMar>
            <w:top w:w="0" w:type="dxa"/>
            <w:bottom w:w="0" w:type="dxa"/>
          </w:tblCellMar>
        </w:tblPrEx>
        <w:trPr>
          <w:trHeight w:hRule="exact" w:val="450"/>
        </w:trPr>
        <w:tc>
          <w:tcPr>
            <w:tcW w:w="4820" w:type="dxa"/>
            <w:tcBorders>
              <w:top w:val="single" w:sz="4" w:space="0" w:color="auto"/>
              <w:left w:val="single" w:sz="4" w:space="0" w:color="auto"/>
            </w:tcBorders>
            <w:shd w:val="clear" w:color="auto" w:fill="FFFFFF"/>
          </w:tcPr>
          <w:p w:rsidR="0053759D" w:rsidRDefault="00152685">
            <w:pPr>
              <w:pStyle w:val="Jin0"/>
              <w:framePr w:w="9644" w:h="2246" w:wrap="none" w:vAnchor="page" w:hAnchor="page" w:x="1285" w:y="13196"/>
              <w:shd w:val="clear" w:color="auto" w:fill="auto"/>
              <w:tabs>
                <w:tab w:val="left" w:pos="2164"/>
                <w:tab w:val="left" w:pos="4075"/>
              </w:tabs>
              <w:spacing w:line="240" w:lineRule="auto"/>
              <w:ind w:firstLine="0"/>
            </w:pPr>
            <w:r>
              <w:rPr>
                <w:b/>
                <w:bCs/>
                <w:sz w:val="17"/>
                <w:szCs w:val="17"/>
              </w:rPr>
              <w:t>Kupující</w:t>
            </w:r>
            <w:r>
              <w:rPr>
                <w:b/>
                <w:bCs/>
                <w:sz w:val="17"/>
                <w:szCs w:val="17"/>
              </w:rPr>
              <w:tab/>
            </w:r>
            <w:r>
              <w:rPr>
                <w:rFonts w:ascii="Times New Roman" w:eastAsia="Times New Roman" w:hAnsi="Times New Roman" w:cs="Times New Roman"/>
                <w:i/>
                <w:iCs/>
                <w:color w:val="49548C"/>
              </w:rPr>
              <w:t>t</w:t>
            </w:r>
            <w:r>
              <w:rPr>
                <w:rFonts w:ascii="Times New Roman" w:eastAsia="Times New Roman" w:hAnsi="Times New Roman" w:cs="Times New Roman"/>
                <w:i/>
                <w:iCs/>
                <w:color w:val="49548C"/>
              </w:rPr>
              <w:tab/>
            </w:r>
            <w:r>
              <w:rPr>
                <w:rFonts w:ascii="Times New Roman" w:eastAsia="Times New Roman" w:hAnsi="Times New Roman" w:cs="Times New Roman"/>
                <w:i/>
                <w:iCs/>
              </w:rPr>
              <w:t>i/</w:t>
            </w:r>
          </w:p>
          <w:p w:rsidR="0053759D" w:rsidRDefault="00152685">
            <w:pPr>
              <w:pStyle w:val="Jin0"/>
              <w:framePr w:w="9644" w:h="2246" w:wrap="none" w:vAnchor="page" w:hAnchor="page" w:x="1285" w:y="13196"/>
              <w:shd w:val="clear" w:color="auto" w:fill="auto"/>
              <w:tabs>
                <w:tab w:val="left" w:pos="3949"/>
              </w:tabs>
              <w:spacing w:line="240" w:lineRule="auto"/>
              <w:ind w:firstLine="0"/>
            </w:pPr>
            <w:r>
              <w:t>DOPRAVNÍ PODNIK měst Mos</w:t>
            </w:r>
            <w:r>
              <w:t>tu a Litvínova, a.s.</w:t>
            </w:r>
            <w:r>
              <w:tab/>
            </w:r>
            <w:r>
              <w:rPr>
                <w:color w:val="49548C"/>
              </w:rPr>
              <w:t>/</w:t>
            </w:r>
          </w:p>
        </w:tc>
        <w:tc>
          <w:tcPr>
            <w:tcW w:w="4824" w:type="dxa"/>
            <w:tcBorders>
              <w:top w:val="single" w:sz="4" w:space="0" w:color="auto"/>
              <w:left w:val="single" w:sz="4" w:space="0" w:color="auto"/>
              <w:right w:val="single" w:sz="4" w:space="0" w:color="auto"/>
            </w:tcBorders>
            <w:shd w:val="clear" w:color="auto" w:fill="FFFFFF"/>
          </w:tcPr>
          <w:p w:rsidR="0053759D" w:rsidRDefault="00152685">
            <w:pPr>
              <w:pStyle w:val="Jin0"/>
              <w:framePr w:w="9644" w:h="2246" w:wrap="none" w:vAnchor="page" w:hAnchor="page" w:x="1285" w:y="13196"/>
              <w:shd w:val="clear" w:color="auto" w:fill="auto"/>
              <w:spacing w:line="240" w:lineRule="auto"/>
              <w:ind w:firstLine="0"/>
              <w:jc w:val="center"/>
            </w:pPr>
            <w:r>
              <w:t>DIČ:</w:t>
            </w:r>
          </w:p>
          <w:p w:rsidR="00152685" w:rsidRDefault="00152685" w:rsidP="00152685">
            <w:pPr>
              <w:pStyle w:val="Jin0"/>
              <w:framePr w:w="9644" w:h="2246" w:wrap="none" w:vAnchor="page" w:hAnchor="page" w:x="1285" w:y="13196"/>
              <w:shd w:val="clear" w:color="auto" w:fill="auto"/>
              <w:spacing w:line="240" w:lineRule="auto"/>
              <w:ind w:firstLine="0"/>
              <w:rPr>
                <w:color w:val="3A4059"/>
              </w:rPr>
            </w:pPr>
            <w:proofErr w:type="spellStart"/>
            <w:r>
              <w:t>Raiffeisen</w:t>
            </w:r>
            <w:proofErr w:type="spellEnd"/>
            <w:r>
              <w:t xml:space="preserve"> lea</w:t>
            </w:r>
            <w:r>
              <w:rPr>
                <w:color w:val="3A4059"/>
              </w:rPr>
              <w:t>sing</w:t>
            </w:r>
          </w:p>
          <w:p w:rsidR="0053759D" w:rsidRDefault="00152685" w:rsidP="00152685">
            <w:pPr>
              <w:pStyle w:val="Jin0"/>
              <w:framePr w:w="9644" w:h="2246" w:wrap="none" w:vAnchor="page" w:hAnchor="page" w:x="1285" w:y="13196"/>
              <w:shd w:val="clear" w:color="auto" w:fill="auto"/>
              <w:spacing w:line="240" w:lineRule="auto"/>
              <w:ind w:firstLine="0"/>
            </w:pPr>
            <w:r>
              <w:rPr>
                <w:color w:val="3A4059"/>
              </w:rPr>
              <w:t>.</w:t>
            </w:r>
          </w:p>
        </w:tc>
      </w:tr>
      <w:tr w:rsidR="0053759D">
        <w:tblPrEx>
          <w:tblCellMar>
            <w:top w:w="0" w:type="dxa"/>
            <w:bottom w:w="0" w:type="dxa"/>
          </w:tblCellMar>
        </w:tblPrEx>
        <w:trPr>
          <w:trHeight w:hRule="exact" w:val="353"/>
        </w:trPr>
        <w:tc>
          <w:tcPr>
            <w:tcW w:w="4820" w:type="dxa"/>
            <w:tcBorders>
              <w:top w:val="single" w:sz="4" w:space="0" w:color="auto"/>
              <w:left w:val="single" w:sz="4" w:space="0" w:color="auto"/>
            </w:tcBorders>
            <w:shd w:val="clear" w:color="auto" w:fill="FFFFFF"/>
          </w:tcPr>
          <w:p w:rsidR="0053759D" w:rsidRDefault="0053759D">
            <w:pPr>
              <w:framePr w:w="9644" w:h="2246" w:wrap="none" w:vAnchor="page" w:hAnchor="page" w:x="1285" w:y="13196"/>
              <w:rPr>
                <w:sz w:val="10"/>
                <w:szCs w:val="10"/>
              </w:rPr>
            </w:pPr>
          </w:p>
        </w:tc>
        <w:tc>
          <w:tcPr>
            <w:tcW w:w="4824" w:type="dxa"/>
            <w:tcBorders>
              <w:top w:val="single" w:sz="4" w:space="0" w:color="auto"/>
              <w:left w:val="single" w:sz="4" w:space="0" w:color="auto"/>
              <w:right w:val="single" w:sz="4" w:space="0" w:color="auto"/>
            </w:tcBorders>
            <w:shd w:val="clear" w:color="auto" w:fill="FFFFFF"/>
            <w:vAlign w:val="bottom"/>
          </w:tcPr>
          <w:p w:rsidR="0053759D" w:rsidRDefault="0053759D">
            <w:pPr>
              <w:pStyle w:val="Jin0"/>
              <w:framePr w:w="9644" w:h="2246" w:wrap="none" w:vAnchor="page" w:hAnchor="page" w:x="1285" w:y="13196"/>
              <w:shd w:val="clear" w:color="auto" w:fill="auto"/>
              <w:spacing w:line="240" w:lineRule="auto"/>
              <w:ind w:firstLine="0"/>
            </w:pPr>
          </w:p>
        </w:tc>
      </w:tr>
      <w:tr w:rsidR="0053759D">
        <w:tblPrEx>
          <w:tblCellMar>
            <w:top w:w="0" w:type="dxa"/>
            <w:bottom w:w="0" w:type="dxa"/>
          </w:tblCellMar>
        </w:tblPrEx>
        <w:trPr>
          <w:trHeight w:hRule="exact" w:val="252"/>
        </w:trPr>
        <w:tc>
          <w:tcPr>
            <w:tcW w:w="4820" w:type="dxa"/>
            <w:tcBorders>
              <w:top w:val="single" w:sz="4" w:space="0" w:color="auto"/>
              <w:left w:val="single" w:sz="4" w:space="0" w:color="auto"/>
              <w:bottom w:val="single" w:sz="4" w:space="0" w:color="auto"/>
            </w:tcBorders>
            <w:shd w:val="clear" w:color="auto" w:fill="FFFFFF"/>
            <w:vAlign w:val="bottom"/>
          </w:tcPr>
          <w:p w:rsidR="0053759D" w:rsidRDefault="00152685">
            <w:pPr>
              <w:pStyle w:val="Jin0"/>
              <w:framePr w:w="9644" w:h="2246" w:wrap="none" w:vAnchor="page" w:hAnchor="page" w:x="1285" w:y="13196"/>
              <w:shd w:val="clear" w:color="auto" w:fill="auto"/>
              <w:spacing w:line="240" w:lineRule="auto"/>
              <w:ind w:firstLine="0"/>
            </w:pPr>
            <w:r>
              <w:t>čitelně jméno a příjmení osoby podepsané výše</w:t>
            </w:r>
          </w:p>
        </w:tc>
        <w:tc>
          <w:tcPr>
            <w:tcW w:w="4824" w:type="dxa"/>
            <w:tcBorders>
              <w:top w:val="single" w:sz="4" w:space="0" w:color="auto"/>
              <w:left w:val="single" w:sz="4" w:space="0" w:color="auto"/>
              <w:bottom w:val="single" w:sz="4" w:space="0" w:color="auto"/>
              <w:right w:val="single" w:sz="4" w:space="0" w:color="auto"/>
            </w:tcBorders>
            <w:shd w:val="clear" w:color="auto" w:fill="FFFFFF"/>
            <w:vAlign w:val="bottom"/>
          </w:tcPr>
          <w:p w:rsidR="0053759D" w:rsidRDefault="00152685">
            <w:pPr>
              <w:pStyle w:val="Jin0"/>
              <w:framePr w:w="9644" w:h="2246" w:wrap="none" w:vAnchor="page" w:hAnchor="page" w:x="1285" w:y="13196"/>
              <w:shd w:val="clear" w:color="auto" w:fill="auto"/>
              <w:spacing w:line="240" w:lineRule="auto"/>
              <w:ind w:firstLine="0"/>
            </w:pPr>
            <w:r>
              <w:t>čitelně jméno a příjmení osoby podepsané výše</w:t>
            </w:r>
          </w:p>
        </w:tc>
      </w:tr>
    </w:tbl>
    <w:p w:rsidR="0053759D" w:rsidRDefault="0053759D" w:rsidP="00152685">
      <w:pPr>
        <w:pStyle w:val="Nadpis20"/>
        <w:framePr w:wrap="none" w:vAnchor="page" w:hAnchor="page" w:x="814" w:y="15449"/>
        <w:shd w:val="clear" w:color="auto" w:fill="auto"/>
      </w:pPr>
    </w:p>
    <w:sectPr w:rsidR="0053759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2685">
      <w:r>
        <w:separator/>
      </w:r>
    </w:p>
  </w:endnote>
  <w:endnote w:type="continuationSeparator" w:id="0">
    <w:p w:rsidR="00000000" w:rsidRDefault="0015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59D" w:rsidRDefault="0053759D"/>
  </w:footnote>
  <w:footnote w:type="continuationSeparator" w:id="0">
    <w:p w:rsidR="0053759D" w:rsidRDefault="005375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16A"/>
    <w:multiLevelType w:val="multilevel"/>
    <w:tmpl w:val="18C0EA0A"/>
    <w:lvl w:ilvl="0">
      <w:start w:val="1"/>
      <w:numFmt w:val="decimal"/>
      <w:lvlText w:val="1.%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4542E"/>
    <w:multiLevelType w:val="multilevel"/>
    <w:tmpl w:val="3EC45D3A"/>
    <w:lvl w:ilvl="0">
      <w:start w:val="2"/>
      <w:numFmt w:val="decimal"/>
      <w:lvlText w:val="111.%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4388E"/>
    <w:multiLevelType w:val="multilevel"/>
    <w:tmpl w:val="B48AB2B8"/>
    <w:lvl w:ilvl="0">
      <w:start w:val="3"/>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CB61D5"/>
    <w:multiLevelType w:val="multilevel"/>
    <w:tmpl w:val="0284D7A6"/>
    <w:lvl w:ilvl="0">
      <w:start w:val="4"/>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5C2B7C"/>
    <w:multiLevelType w:val="multilevel"/>
    <w:tmpl w:val="F02EC1A2"/>
    <w:lvl w:ilvl="0">
      <w:start w:val="1"/>
      <w:numFmt w:val="lowerLetter"/>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364203"/>
    <w:multiLevelType w:val="multilevel"/>
    <w:tmpl w:val="6F5EDA8C"/>
    <w:lvl w:ilvl="0">
      <w:start w:val="5"/>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2B2074"/>
    <w:multiLevelType w:val="multilevel"/>
    <w:tmpl w:val="7ED2E14A"/>
    <w:lvl w:ilvl="0">
      <w:start w:val="3"/>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260D4A"/>
    <w:multiLevelType w:val="multilevel"/>
    <w:tmpl w:val="E8F8049E"/>
    <w:lvl w:ilvl="0">
      <w:start w:val="3"/>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2903E1"/>
    <w:multiLevelType w:val="multilevel"/>
    <w:tmpl w:val="1A8E0888"/>
    <w:lvl w:ilvl="0">
      <w:start w:val="1"/>
      <w:numFmt w:val="lowerLetter"/>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7"/>
  </w:num>
  <w:num w:numId="4">
    <w:abstractNumId w:val="4"/>
  </w:num>
  <w:num w:numId="5">
    <w:abstractNumId w:val="1"/>
  </w:num>
  <w:num w:numId="6">
    <w:abstractNumId w:val="8"/>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3759D"/>
    <w:rsid w:val="00152685"/>
    <w:rsid w:val="00234ABB"/>
    <w:rsid w:val="00537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6"/>
      <w:szCs w:val="2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85859"/>
      <w:sz w:val="54"/>
      <w:szCs w:val="5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7"/>
      <w:szCs w:val="17"/>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Nadpis30">
    <w:name w:val="Nadpis #3"/>
    <w:basedOn w:val="Normln"/>
    <w:link w:val="Nadpis3"/>
    <w:pPr>
      <w:shd w:val="clear" w:color="auto" w:fill="FFFFFF"/>
      <w:outlineLvl w:val="2"/>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spacing w:line="223" w:lineRule="auto"/>
    </w:pPr>
    <w:rPr>
      <w:rFonts w:ascii="Arial" w:eastAsia="Arial" w:hAnsi="Arial" w:cs="Arial"/>
      <w:b/>
      <w:bCs/>
      <w:sz w:val="26"/>
      <w:szCs w:val="26"/>
    </w:rPr>
  </w:style>
  <w:style w:type="paragraph" w:customStyle="1" w:styleId="Nadpis10">
    <w:name w:val="Nadpis #1"/>
    <w:basedOn w:val="Normln"/>
    <w:link w:val="Nadpis1"/>
    <w:pPr>
      <w:shd w:val="clear" w:color="auto" w:fill="FFFFFF"/>
      <w:outlineLvl w:val="0"/>
    </w:pPr>
    <w:rPr>
      <w:rFonts w:ascii="Arial" w:eastAsia="Arial" w:hAnsi="Arial" w:cs="Arial"/>
      <w:color w:val="E85859"/>
      <w:sz w:val="54"/>
      <w:szCs w:val="54"/>
    </w:rPr>
  </w:style>
  <w:style w:type="paragraph" w:customStyle="1" w:styleId="Jin0">
    <w:name w:val="Jiné"/>
    <w:basedOn w:val="Normln"/>
    <w:link w:val="Jin"/>
    <w:pPr>
      <w:shd w:val="clear" w:color="auto" w:fill="FFFFFF"/>
      <w:spacing w:line="298" w:lineRule="auto"/>
      <w:ind w:firstLine="60"/>
    </w:pPr>
    <w:rPr>
      <w:rFonts w:ascii="Arial" w:eastAsia="Arial" w:hAnsi="Arial" w:cs="Arial"/>
      <w:sz w:val="15"/>
      <w:szCs w:val="15"/>
    </w:rPr>
  </w:style>
  <w:style w:type="paragraph" w:customStyle="1" w:styleId="Zkladntext1">
    <w:name w:val="Základní text1"/>
    <w:basedOn w:val="Normln"/>
    <w:link w:val="Zkladntext"/>
    <w:pPr>
      <w:shd w:val="clear" w:color="auto" w:fill="FFFFFF"/>
      <w:spacing w:line="298" w:lineRule="auto"/>
      <w:ind w:firstLine="60"/>
    </w:pPr>
    <w:rPr>
      <w:rFonts w:ascii="Arial" w:eastAsia="Arial" w:hAnsi="Arial" w:cs="Arial"/>
      <w:sz w:val="15"/>
      <w:szCs w:val="15"/>
    </w:rPr>
  </w:style>
  <w:style w:type="paragraph" w:customStyle="1" w:styleId="Nadpis40">
    <w:name w:val="Nadpis #4"/>
    <w:basedOn w:val="Normln"/>
    <w:link w:val="Nadpis4"/>
    <w:pPr>
      <w:shd w:val="clear" w:color="auto" w:fill="FFFFFF"/>
      <w:spacing w:line="269" w:lineRule="auto"/>
      <w:ind w:left="460" w:firstLine="270"/>
      <w:outlineLvl w:val="3"/>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pPr>
    <w:rPr>
      <w:rFonts w:ascii="Arial" w:eastAsia="Arial" w:hAnsi="Arial" w:cs="Arial"/>
      <w:b/>
      <w:bCs/>
      <w:sz w:val="17"/>
      <w:szCs w:val="17"/>
    </w:rPr>
  </w:style>
  <w:style w:type="paragraph" w:customStyle="1" w:styleId="Nadpis20">
    <w:name w:val="Nadpis #2"/>
    <w:basedOn w:val="Normln"/>
    <w:link w:val="Nadpis2"/>
    <w:pPr>
      <w:shd w:val="clear" w:color="auto" w:fill="FFFFFF"/>
      <w:ind w:firstLine="720"/>
      <w:outlineLvl w:val="1"/>
    </w:pPr>
    <w:rPr>
      <w:rFonts w:ascii="Times New Roman" w:eastAsia="Times New Roman" w:hAnsi="Times New Roman" w:cs="Times New Roman"/>
      <w:smallCaps/>
      <w:sz w:val="32"/>
      <w:szCs w:val="32"/>
    </w:rPr>
  </w:style>
  <w:style w:type="paragraph" w:customStyle="1" w:styleId="Zkladntext20">
    <w:name w:val="Základní text (2)"/>
    <w:basedOn w:val="Normln"/>
    <w:link w:val="Zkladntext2"/>
    <w:pPr>
      <w:shd w:val="clear" w:color="auto" w:fill="FFFFFF"/>
      <w:spacing w:line="221" w:lineRule="auto"/>
      <w:ind w:left="960" w:right="6340"/>
      <w:jc w:val="right"/>
    </w:pPr>
    <w:rPr>
      <w:rFonts w:ascii="Times New Roman" w:eastAsia="Times New Roman" w:hAnsi="Times New Roman" w:cs="Times New Roman"/>
      <w:sz w:val="18"/>
      <w:szCs w:val="18"/>
    </w:rPr>
  </w:style>
  <w:style w:type="paragraph" w:styleId="Textbubliny">
    <w:name w:val="Balloon Text"/>
    <w:basedOn w:val="Normln"/>
    <w:link w:val="TextbublinyChar"/>
    <w:uiPriority w:val="99"/>
    <w:semiHidden/>
    <w:unhideWhenUsed/>
    <w:rsid w:val="00234ABB"/>
    <w:rPr>
      <w:rFonts w:ascii="Tahoma" w:hAnsi="Tahoma" w:cs="Tahoma"/>
      <w:sz w:val="16"/>
      <w:szCs w:val="16"/>
    </w:rPr>
  </w:style>
  <w:style w:type="character" w:customStyle="1" w:styleId="TextbublinyChar">
    <w:name w:val="Text bubliny Char"/>
    <w:basedOn w:val="Standardnpsmoodstavce"/>
    <w:link w:val="Textbubliny"/>
    <w:uiPriority w:val="99"/>
    <w:semiHidden/>
    <w:rsid w:val="00234AB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6"/>
      <w:szCs w:val="2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85859"/>
      <w:sz w:val="54"/>
      <w:szCs w:val="5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7"/>
      <w:szCs w:val="17"/>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Nadpis30">
    <w:name w:val="Nadpis #3"/>
    <w:basedOn w:val="Normln"/>
    <w:link w:val="Nadpis3"/>
    <w:pPr>
      <w:shd w:val="clear" w:color="auto" w:fill="FFFFFF"/>
      <w:outlineLvl w:val="2"/>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spacing w:line="223" w:lineRule="auto"/>
    </w:pPr>
    <w:rPr>
      <w:rFonts w:ascii="Arial" w:eastAsia="Arial" w:hAnsi="Arial" w:cs="Arial"/>
      <w:b/>
      <w:bCs/>
      <w:sz w:val="26"/>
      <w:szCs w:val="26"/>
    </w:rPr>
  </w:style>
  <w:style w:type="paragraph" w:customStyle="1" w:styleId="Nadpis10">
    <w:name w:val="Nadpis #1"/>
    <w:basedOn w:val="Normln"/>
    <w:link w:val="Nadpis1"/>
    <w:pPr>
      <w:shd w:val="clear" w:color="auto" w:fill="FFFFFF"/>
      <w:outlineLvl w:val="0"/>
    </w:pPr>
    <w:rPr>
      <w:rFonts w:ascii="Arial" w:eastAsia="Arial" w:hAnsi="Arial" w:cs="Arial"/>
      <w:color w:val="E85859"/>
      <w:sz w:val="54"/>
      <w:szCs w:val="54"/>
    </w:rPr>
  </w:style>
  <w:style w:type="paragraph" w:customStyle="1" w:styleId="Jin0">
    <w:name w:val="Jiné"/>
    <w:basedOn w:val="Normln"/>
    <w:link w:val="Jin"/>
    <w:pPr>
      <w:shd w:val="clear" w:color="auto" w:fill="FFFFFF"/>
      <w:spacing w:line="298" w:lineRule="auto"/>
      <w:ind w:firstLine="60"/>
    </w:pPr>
    <w:rPr>
      <w:rFonts w:ascii="Arial" w:eastAsia="Arial" w:hAnsi="Arial" w:cs="Arial"/>
      <w:sz w:val="15"/>
      <w:szCs w:val="15"/>
    </w:rPr>
  </w:style>
  <w:style w:type="paragraph" w:customStyle="1" w:styleId="Zkladntext1">
    <w:name w:val="Základní text1"/>
    <w:basedOn w:val="Normln"/>
    <w:link w:val="Zkladntext"/>
    <w:pPr>
      <w:shd w:val="clear" w:color="auto" w:fill="FFFFFF"/>
      <w:spacing w:line="298" w:lineRule="auto"/>
      <w:ind w:firstLine="60"/>
    </w:pPr>
    <w:rPr>
      <w:rFonts w:ascii="Arial" w:eastAsia="Arial" w:hAnsi="Arial" w:cs="Arial"/>
      <w:sz w:val="15"/>
      <w:szCs w:val="15"/>
    </w:rPr>
  </w:style>
  <w:style w:type="paragraph" w:customStyle="1" w:styleId="Nadpis40">
    <w:name w:val="Nadpis #4"/>
    <w:basedOn w:val="Normln"/>
    <w:link w:val="Nadpis4"/>
    <w:pPr>
      <w:shd w:val="clear" w:color="auto" w:fill="FFFFFF"/>
      <w:spacing w:line="269" w:lineRule="auto"/>
      <w:ind w:left="460" w:firstLine="270"/>
      <w:outlineLvl w:val="3"/>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pPr>
    <w:rPr>
      <w:rFonts w:ascii="Arial" w:eastAsia="Arial" w:hAnsi="Arial" w:cs="Arial"/>
      <w:b/>
      <w:bCs/>
      <w:sz w:val="17"/>
      <w:szCs w:val="17"/>
    </w:rPr>
  </w:style>
  <w:style w:type="paragraph" w:customStyle="1" w:styleId="Nadpis20">
    <w:name w:val="Nadpis #2"/>
    <w:basedOn w:val="Normln"/>
    <w:link w:val="Nadpis2"/>
    <w:pPr>
      <w:shd w:val="clear" w:color="auto" w:fill="FFFFFF"/>
      <w:ind w:firstLine="720"/>
      <w:outlineLvl w:val="1"/>
    </w:pPr>
    <w:rPr>
      <w:rFonts w:ascii="Times New Roman" w:eastAsia="Times New Roman" w:hAnsi="Times New Roman" w:cs="Times New Roman"/>
      <w:smallCaps/>
      <w:sz w:val="32"/>
      <w:szCs w:val="32"/>
    </w:rPr>
  </w:style>
  <w:style w:type="paragraph" w:customStyle="1" w:styleId="Zkladntext20">
    <w:name w:val="Základní text (2)"/>
    <w:basedOn w:val="Normln"/>
    <w:link w:val="Zkladntext2"/>
    <w:pPr>
      <w:shd w:val="clear" w:color="auto" w:fill="FFFFFF"/>
      <w:spacing w:line="221" w:lineRule="auto"/>
      <w:ind w:left="960" w:right="6340"/>
      <w:jc w:val="right"/>
    </w:pPr>
    <w:rPr>
      <w:rFonts w:ascii="Times New Roman" w:eastAsia="Times New Roman" w:hAnsi="Times New Roman" w:cs="Times New Roman"/>
      <w:sz w:val="18"/>
      <w:szCs w:val="18"/>
    </w:rPr>
  </w:style>
  <w:style w:type="paragraph" w:styleId="Textbubliny">
    <w:name w:val="Balloon Text"/>
    <w:basedOn w:val="Normln"/>
    <w:link w:val="TextbublinyChar"/>
    <w:uiPriority w:val="99"/>
    <w:semiHidden/>
    <w:unhideWhenUsed/>
    <w:rsid w:val="00234ABB"/>
    <w:rPr>
      <w:rFonts w:ascii="Tahoma" w:hAnsi="Tahoma" w:cs="Tahoma"/>
      <w:sz w:val="16"/>
      <w:szCs w:val="16"/>
    </w:rPr>
  </w:style>
  <w:style w:type="character" w:customStyle="1" w:styleId="TextbublinyChar">
    <w:name w:val="Text bubliny Char"/>
    <w:basedOn w:val="Standardnpsmoodstavce"/>
    <w:link w:val="Textbubliny"/>
    <w:uiPriority w:val="99"/>
    <w:semiHidden/>
    <w:rsid w:val="00234AB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1598</Words>
  <Characters>9432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Marcela Valová</cp:lastModifiedBy>
  <cp:revision>2</cp:revision>
  <dcterms:created xsi:type="dcterms:W3CDTF">2024-05-09T09:46:00Z</dcterms:created>
  <dcterms:modified xsi:type="dcterms:W3CDTF">2024-05-09T11:32:00Z</dcterms:modified>
</cp:coreProperties>
</file>