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94" w:rsidRDefault="00545194">
      <w:pPr>
        <w:spacing w:after="279" w:line="1" w:lineRule="exact"/>
      </w:pPr>
    </w:p>
    <w:p w:rsidR="00545194" w:rsidRDefault="007857DB">
      <w:pPr>
        <w:jc w:val="right"/>
        <w:rPr>
          <w:sz w:val="2"/>
          <w:szCs w:val="2"/>
        </w:rPr>
      </w:pPr>
      <w:r>
        <w:rPr>
          <w:noProof/>
          <w:lang w:bidi="ar-SA"/>
        </w:rPr>
        <w:drawing>
          <wp:inline distT="0" distB="0" distL="0" distR="0">
            <wp:extent cx="1621790" cy="29273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621790" cy="292735"/>
                    </a:xfrm>
                    <a:prstGeom prst="rect">
                      <a:avLst/>
                    </a:prstGeom>
                  </pic:spPr>
                </pic:pic>
              </a:graphicData>
            </a:graphic>
          </wp:inline>
        </w:drawing>
      </w:r>
    </w:p>
    <w:p w:rsidR="00545194" w:rsidRDefault="007857DB">
      <w:pPr>
        <w:pStyle w:val="Titulekobrzku0"/>
        <w:ind w:left="173"/>
      </w:pPr>
      <w:r>
        <w:t xml:space="preserve">MKCRX00 </w:t>
      </w:r>
      <w:r>
        <w:rPr>
          <w:lang w:val="cs-CZ" w:eastAsia="cs-CZ" w:bidi="cs-CZ"/>
        </w:rPr>
        <w:t>LT4CG</w:t>
      </w:r>
    </w:p>
    <w:p w:rsidR="00545194" w:rsidRDefault="00545194">
      <w:pPr>
        <w:spacing w:after="479" w:line="1" w:lineRule="exact"/>
      </w:pPr>
    </w:p>
    <w:p w:rsidR="00545194" w:rsidRDefault="007857DB">
      <w:pPr>
        <w:pStyle w:val="Nadpis10"/>
        <w:keepNext/>
        <w:keepLines/>
      </w:pPr>
      <w:bookmarkStart w:id="0" w:name="bookmark0"/>
      <w:r>
        <w:t>Ministerstvo kultury</w:t>
      </w:r>
      <w:bookmarkEnd w:id="0"/>
    </w:p>
    <w:p w:rsidR="00545194" w:rsidRDefault="007857DB">
      <w:pPr>
        <w:pStyle w:val="Zkladntext20"/>
        <w:spacing w:after="0"/>
      </w:pPr>
      <w:r>
        <w:rPr>
          <w:i w:val="0"/>
          <w:iCs w:val="0"/>
        </w:rPr>
        <w:t>Maltézské nám. 471/1, Praha I - Malá Strana</w:t>
      </w:r>
    </w:p>
    <w:p w:rsidR="00545194" w:rsidRDefault="007857DB">
      <w:pPr>
        <w:pStyle w:val="Zkladntext20"/>
      </w:pPr>
      <w:r>
        <w:t>vydává podle § 14 odst. 4 zákona č.218/2000 Sb., o rozpočtových pravidlech a o změně některých souvisejících</w:t>
      </w:r>
      <w:r>
        <w:br/>
        <w:t>zákonů (rozpočtová pravidla), v platném znění</w:t>
      </w:r>
    </w:p>
    <w:p w:rsidR="00545194" w:rsidRDefault="007857DB">
      <w:pPr>
        <w:pStyle w:val="Nadpis20"/>
        <w:keepNext/>
        <w:keepLines/>
      </w:pPr>
      <w:bookmarkStart w:id="1" w:name="bookmark2"/>
      <w:bookmarkStart w:id="2" w:name="_GoBack"/>
      <w:bookmarkEnd w:id="2"/>
      <w:r>
        <w:t xml:space="preserve">Rozhodnutí č. j. </w:t>
      </w:r>
      <w:r>
        <w:t>MK 25020/2024 OUKKO</w:t>
      </w:r>
      <w:bookmarkEnd w:id="1"/>
    </w:p>
    <w:p w:rsidR="00545194" w:rsidRDefault="007857DB">
      <w:pPr>
        <w:pStyle w:val="Nadpis40"/>
        <w:keepNext/>
        <w:keepLines/>
      </w:pPr>
      <w:bookmarkStart w:id="3" w:name="bookmark4"/>
      <w:r>
        <w:t>o poskytnutí dotace ze státního rozpočtu ČR na rok 2024</w:t>
      </w:r>
      <w:bookmarkEnd w:id="3"/>
    </w:p>
    <w:p w:rsidR="00545194" w:rsidRDefault="007857DB">
      <w:pPr>
        <w:pStyle w:val="Titulektabulky0"/>
        <w:ind w:left="6499"/>
      </w:pPr>
      <w:r>
        <w:t>Spisová značka: MK-S 4774/2024 OUKKO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1214"/>
        <w:gridCol w:w="528"/>
        <w:gridCol w:w="1910"/>
        <w:gridCol w:w="173"/>
        <w:gridCol w:w="1042"/>
        <w:gridCol w:w="1565"/>
        <w:gridCol w:w="1579"/>
      </w:tblGrid>
      <w:tr w:rsidR="00545194">
        <w:tblPrEx>
          <w:tblCellMar>
            <w:top w:w="0" w:type="dxa"/>
            <w:bottom w:w="0" w:type="dxa"/>
          </w:tblCellMar>
        </w:tblPrEx>
        <w:trPr>
          <w:trHeight w:hRule="exact" w:val="336"/>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Příjemce dotace:</w:t>
            </w: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2"/>
                <w:szCs w:val="22"/>
              </w:rPr>
            </w:pPr>
            <w:r>
              <w:rPr>
                <w:b/>
                <w:bCs/>
                <w:i/>
                <w:iCs/>
                <w:sz w:val="22"/>
                <w:szCs w:val="22"/>
              </w:rPr>
              <w:t xml:space="preserve">Mělnické kulturní </w:t>
            </w:r>
            <w:proofErr w:type="gramStart"/>
            <w:r>
              <w:rPr>
                <w:b/>
                <w:bCs/>
                <w:i/>
                <w:iCs/>
                <w:sz w:val="22"/>
                <w:szCs w:val="22"/>
              </w:rPr>
              <w:t>centrum, z.ú.</w:t>
            </w:r>
            <w:proofErr w:type="gramEnd"/>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rPr>
              <w:t>IČO:</w:t>
            </w:r>
          </w:p>
        </w:tc>
        <w:tc>
          <w:tcPr>
            <w:tcW w:w="6797" w:type="dxa"/>
            <w:gridSpan w:val="6"/>
            <w:tcBorders>
              <w:top w:val="single" w:sz="4" w:space="0" w:color="auto"/>
              <w:left w:val="single" w:sz="4" w:space="0" w:color="auto"/>
              <w:right w:val="single" w:sz="4" w:space="0" w:color="auto"/>
            </w:tcBorders>
            <w:shd w:val="clear" w:color="auto" w:fill="auto"/>
          </w:tcPr>
          <w:p w:rsidR="00545194" w:rsidRDefault="007857DB">
            <w:pPr>
              <w:pStyle w:val="Jin0"/>
              <w:spacing w:after="0" w:line="240" w:lineRule="auto"/>
              <w:rPr>
                <w:sz w:val="22"/>
                <w:szCs w:val="22"/>
              </w:rPr>
            </w:pPr>
            <w:r>
              <w:rPr>
                <w:i/>
                <w:iCs/>
                <w:sz w:val="22"/>
                <w:szCs w:val="22"/>
              </w:rPr>
              <w:t>24210137</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rPr>
              <w:t>Ulice:</w:t>
            </w:r>
          </w:p>
        </w:tc>
        <w:tc>
          <w:tcPr>
            <w:tcW w:w="6797" w:type="dxa"/>
            <w:gridSpan w:val="6"/>
            <w:tcBorders>
              <w:top w:val="single" w:sz="4" w:space="0" w:color="auto"/>
              <w:left w:val="single" w:sz="4" w:space="0" w:color="auto"/>
              <w:right w:val="single" w:sz="4" w:space="0" w:color="auto"/>
            </w:tcBorders>
            <w:shd w:val="clear" w:color="auto" w:fill="auto"/>
          </w:tcPr>
          <w:p w:rsidR="00545194" w:rsidRDefault="007857DB">
            <w:pPr>
              <w:pStyle w:val="Jin0"/>
              <w:spacing w:after="0" w:line="240" w:lineRule="auto"/>
              <w:rPr>
                <w:sz w:val="22"/>
                <w:szCs w:val="22"/>
              </w:rPr>
            </w:pPr>
            <w:r>
              <w:rPr>
                <w:i/>
                <w:iCs/>
                <w:sz w:val="22"/>
                <w:szCs w:val="22"/>
              </w:rPr>
              <w:t>U Sadů 323</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rPr>
              <w:t>Město:</w:t>
            </w:r>
          </w:p>
        </w:tc>
        <w:tc>
          <w:tcPr>
            <w:tcW w:w="2611" w:type="dxa"/>
            <w:gridSpan w:val="3"/>
            <w:tcBorders>
              <w:top w:val="single" w:sz="4" w:space="0" w:color="auto"/>
              <w:left w:val="single" w:sz="4" w:space="0" w:color="auto"/>
            </w:tcBorders>
            <w:shd w:val="clear" w:color="auto" w:fill="auto"/>
          </w:tcPr>
          <w:p w:rsidR="00545194" w:rsidRDefault="007857DB">
            <w:pPr>
              <w:pStyle w:val="Jin0"/>
              <w:spacing w:after="0" w:line="240" w:lineRule="auto"/>
              <w:jc w:val="both"/>
              <w:rPr>
                <w:sz w:val="22"/>
                <w:szCs w:val="22"/>
              </w:rPr>
            </w:pPr>
            <w:r>
              <w:rPr>
                <w:i/>
                <w:iCs/>
                <w:sz w:val="22"/>
                <w:szCs w:val="22"/>
              </w:rPr>
              <w:t>Mělník</w:t>
            </w:r>
          </w:p>
        </w:tc>
        <w:tc>
          <w:tcPr>
            <w:tcW w:w="1042" w:type="dxa"/>
            <w:tcBorders>
              <w:top w:val="single" w:sz="4" w:space="0" w:color="auto"/>
              <w:left w:val="single" w:sz="4" w:space="0" w:color="auto"/>
            </w:tcBorders>
            <w:shd w:val="clear" w:color="auto" w:fill="auto"/>
          </w:tcPr>
          <w:p w:rsidR="00545194" w:rsidRDefault="007857DB">
            <w:pPr>
              <w:pStyle w:val="Jin0"/>
              <w:spacing w:after="0" w:line="240" w:lineRule="auto"/>
              <w:jc w:val="right"/>
              <w:rPr>
                <w:sz w:val="20"/>
                <w:szCs w:val="20"/>
              </w:rPr>
            </w:pPr>
            <w:r>
              <w:rPr>
                <w:sz w:val="20"/>
                <w:szCs w:val="20"/>
              </w:rPr>
              <w:t>PSČ:</w:t>
            </w:r>
          </w:p>
        </w:tc>
        <w:tc>
          <w:tcPr>
            <w:tcW w:w="3144" w:type="dxa"/>
            <w:gridSpan w:val="2"/>
            <w:tcBorders>
              <w:top w:val="single" w:sz="4" w:space="0" w:color="auto"/>
              <w:left w:val="single" w:sz="4" w:space="0" w:color="auto"/>
              <w:right w:val="single" w:sz="4" w:space="0" w:color="auto"/>
            </w:tcBorders>
            <w:shd w:val="clear" w:color="auto" w:fill="auto"/>
          </w:tcPr>
          <w:p w:rsidR="00545194" w:rsidRDefault="007857DB">
            <w:pPr>
              <w:pStyle w:val="Jin0"/>
              <w:spacing w:after="0" w:line="240" w:lineRule="auto"/>
              <w:rPr>
                <w:sz w:val="22"/>
                <w:szCs w:val="22"/>
              </w:rPr>
            </w:pPr>
            <w:r>
              <w:rPr>
                <w:i/>
                <w:iCs/>
                <w:sz w:val="22"/>
                <w:szCs w:val="22"/>
              </w:rPr>
              <w:t>276 01</w:t>
            </w:r>
          </w:p>
        </w:tc>
      </w:tr>
      <w:tr w:rsidR="00545194">
        <w:tblPrEx>
          <w:tblCellMar>
            <w:top w:w="0" w:type="dxa"/>
            <w:bottom w:w="0" w:type="dxa"/>
          </w:tblCellMar>
        </w:tblPrEx>
        <w:trPr>
          <w:trHeight w:hRule="exact" w:val="326"/>
          <w:jc w:val="center"/>
        </w:trPr>
        <w:tc>
          <w:tcPr>
            <w:tcW w:w="2784" w:type="dxa"/>
            <w:gridSpan w:val="2"/>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rPr>
              <w:t>Okres:</w:t>
            </w:r>
          </w:p>
        </w:tc>
        <w:tc>
          <w:tcPr>
            <w:tcW w:w="2611" w:type="dxa"/>
            <w:gridSpan w:val="3"/>
            <w:tcBorders>
              <w:top w:val="single" w:sz="4" w:space="0" w:color="auto"/>
              <w:left w:val="single" w:sz="4" w:space="0" w:color="auto"/>
            </w:tcBorders>
            <w:shd w:val="clear" w:color="auto" w:fill="auto"/>
          </w:tcPr>
          <w:p w:rsidR="00545194" w:rsidRDefault="007857DB">
            <w:pPr>
              <w:pStyle w:val="Jin0"/>
              <w:spacing w:after="0" w:line="240" w:lineRule="auto"/>
              <w:jc w:val="both"/>
              <w:rPr>
                <w:sz w:val="22"/>
                <w:szCs w:val="22"/>
              </w:rPr>
            </w:pPr>
            <w:r>
              <w:rPr>
                <w:i/>
                <w:iCs/>
                <w:sz w:val="22"/>
                <w:szCs w:val="22"/>
              </w:rPr>
              <w:t>Mělník</w:t>
            </w:r>
          </w:p>
        </w:tc>
        <w:tc>
          <w:tcPr>
            <w:tcW w:w="1042" w:type="dxa"/>
            <w:tcBorders>
              <w:top w:val="single" w:sz="4" w:space="0" w:color="auto"/>
              <w:left w:val="single" w:sz="4" w:space="0" w:color="auto"/>
            </w:tcBorders>
            <w:shd w:val="clear" w:color="auto" w:fill="auto"/>
          </w:tcPr>
          <w:p w:rsidR="00545194" w:rsidRDefault="007857DB">
            <w:pPr>
              <w:pStyle w:val="Jin0"/>
              <w:spacing w:after="0" w:line="240" w:lineRule="auto"/>
              <w:jc w:val="right"/>
              <w:rPr>
                <w:sz w:val="20"/>
                <w:szCs w:val="20"/>
              </w:rPr>
            </w:pPr>
            <w:r>
              <w:rPr>
                <w:sz w:val="20"/>
                <w:szCs w:val="20"/>
              </w:rPr>
              <w:t>Kód okresu:</w:t>
            </w:r>
          </w:p>
        </w:tc>
        <w:tc>
          <w:tcPr>
            <w:tcW w:w="3144" w:type="dxa"/>
            <w:gridSpan w:val="2"/>
            <w:tcBorders>
              <w:top w:val="single" w:sz="4" w:space="0" w:color="auto"/>
              <w:left w:val="single" w:sz="4" w:space="0" w:color="auto"/>
              <w:right w:val="single" w:sz="4" w:space="0" w:color="auto"/>
            </w:tcBorders>
            <w:shd w:val="clear" w:color="auto" w:fill="auto"/>
          </w:tcPr>
          <w:p w:rsidR="00545194" w:rsidRDefault="007857DB">
            <w:pPr>
              <w:pStyle w:val="Jin0"/>
              <w:spacing w:after="0" w:line="240" w:lineRule="auto"/>
              <w:rPr>
                <w:sz w:val="22"/>
                <w:szCs w:val="22"/>
              </w:rPr>
            </w:pPr>
            <w:r>
              <w:rPr>
                <w:i/>
                <w:iCs/>
                <w:sz w:val="22"/>
                <w:szCs w:val="22"/>
              </w:rPr>
              <w:t>CZ0206</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Kraj:</w:t>
            </w:r>
          </w:p>
        </w:tc>
        <w:tc>
          <w:tcPr>
            <w:tcW w:w="2611" w:type="dxa"/>
            <w:gridSpan w:val="3"/>
            <w:tcBorders>
              <w:top w:val="single" w:sz="4" w:space="0" w:color="auto"/>
              <w:left w:val="single" w:sz="4" w:space="0" w:color="auto"/>
            </w:tcBorders>
            <w:shd w:val="clear" w:color="auto" w:fill="auto"/>
            <w:vAlign w:val="bottom"/>
          </w:tcPr>
          <w:p w:rsidR="00545194" w:rsidRDefault="007857DB">
            <w:pPr>
              <w:pStyle w:val="Jin0"/>
              <w:spacing w:after="0" w:line="240" w:lineRule="auto"/>
              <w:jc w:val="both"/>
              <w:rPr>
                <w:sz w:val="22"/>
                <w:szCs w:val="22"/>
              </w:rPr>
            </w:pPr>
            <w:r>
              <w:rPr>
                <w:i/>
                <w:iCs/>
                <w:sz w:val="22"/>
                <w:szCs w:val="22"/>
              </w:rPr>
              <w:t>Středočeský kraj</w:t>
            </w:r>
          </w:p>
        </w:tc>
        <w:tc>
          <w:tcPr>
            <w:tcW w:w="1042" w:type="dxa"/>
            <w:tcBorders>
              <w:top w:val="single" w:sz="4" w:space="0" w:color="auto"/>
              <w:left w:val="single" w:sz="4" w:space="0" w:color="auto"/>
            </w:tcBorders>
            <w:shd w:val="clear" w:color="auto" w:fill="auto"/>
            <w:vAlign w:val="bottom"/>
          </w:tcPr>
          <w:p w:rsidR="00545194" w:rsidRDefault="007857DB">
            <w:pPr>
              <w:pStyle w:val="Jin0"/>
              <w:spacing w:after="0" w:line="240" w:lineRule="auto"/>
              <w:jc w:val="right"/>
              <w:rPr>
                <w:sz w:val="20"/>
                <w:szCs w:val="20"/>
              </w:rPr>
            </w:pPr>
            <w:r>
              <w:rPr>
                <w:sz w:val="20"/>
                <w:szCs w:val="20"/>
              </w:rPr>
              <w:t>Kód kraje:</w:t>
            </w:r>
          </w:p>
        </w:tc>
        <w:tc>
          <w:tcPr>
            <w:tcW w:w="3144" w:type="dxa"/>
            <w:gridSpan w:val="2"/>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2"/>
                <w:szCs w:val="22"/>
              </w:rPr>
            </w:pPr>
            <w:r>
              <w:rPr>
                <w:i/>
                <w:iCs/>
                <w:sz w:val="22"/>
                <w:szCs w:val="22"/>
              </w:rPr>
              <w:t>CZ020</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Statutární zástupce:</w:t>
            </w: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2"/>
                <w:szCs w:val="22"/>
              </w:rPr>
            </w:pPr>
            <w:r>
              <w:rPr>
                <w:i/>
                <w:iCs/>
                <w:sz w:val="22"/>
                <w:szCs w:val="22"/>
              </w:rPr>
              <w:t>Ing. Radka Kareisová</w:t>
            </w:r>
          </w:p>
        </w:tc>
      </w:tr>
      <w:tr w:rsidR="00545194">
        <w:tblPrEx>
          <w:tblCellMar>
            <w:top w:w="0" w:type="dxa"/>
            <w:bottom w:w="0" w:type="dxa"/>
          </w:tblCellMar>
        </w:tblPrEx>
        <w:trPr>
          <w:trHeight w:hRule="exact" w:val="288"/>
          <w:jc w:val="center"/>
        </w:trPr>
        <w:tc>
          <w:tcPr>
            <w:tcW w:w="2784" w:type="dxa"/>
            <w:gridSpan w:val="2"/>
            <w:tcBorders>
              <w:top w:val="single" w:sz="4" w:space="0" w:color="auto"/>
              <w:left w:val="single" w:sz="4" w:space="0" w:color="auto"/>
            </w:tcBorders>
            <w:shd w:val="clear" w:color="auto" w:fill="auto"/>
          </w:tcPr>
          <w:p w:rsidR="00545194" w:rsidRDefault="00545194">
            <w:pPr>
              <w:rPr>
                <w:sz w:val="10"/>
                <w:szCs w:val="10"/>
              </w:rPr>
            </w:pPr>
          </w:p>
        </w:tc>
        <w:tc>
          <w:tcPr>
            <w:tcW w:w="6797" w:type="dxa"/>
            <w:gridSpan w:val="6"/>
            <w:tcBorders>
              <w:top w:val="single" w:sz="4" w:space="0" w:color="auto"/>
              <w:left w:val="single" w:sz="4" w:space="0" w:color="auto"/>
              <w:right w:val="single" w:sz="4" w:space="0" w:color="auto"/>
            </w:tcBorders>
            <w:shd w:val="clear" w:color="auto" w:fill="auto"/>
          </w:tcPr>
          <w:p w:rsidR="00545194" w:rsidRDefault="00545194">
            <w:pPr>
              <w:rPr>
                <w:sz w:val="10"/>
                <w:szCs w:val="10"/>
              </w:rPr>
            </w:pPr>
          </w:p>
        </w:tc>
      </w:tr>
      <w:tr w:rsidR="00545194">
        <w:tblPrEx>
          <w:tblCellMar>
            <w:top w:w="0" w:type="dxa"/>
            <w:bottom w:w="0" w:type="dxa"/>
          </w:tblCellMar>
        </w:tblPrEx>
        <w:trPr>
          <w:trHeight w:hRule="exact" w:val="336"/>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Název programu:</w:t>
            </w: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6"/>
                <w:szCs w:val="26"/>
              </w:rPr>
            </w:pPr>
            <w:r>
              <w:rPr>
                <w:b/>
                <w:bCs/>
                <w:i/>
                <w:iCs/>
                <w:sz w:val="26"/>
                <w:szCs w:val="26"/>
              </w:rPr>
              <w:t>Veřejné informační služby knihoven</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Název podprogramu:</w:t>
            </w: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2"/>
                <w:szCs w:val="22"/>
              </w:rPr>
            </w:pPr>
            <w:r>
              <w:rPr>
                <w:b/>
                <w:bCs/>
                <w:i/>
                <w:iCs/>
                <w:sz w:val="22"/>
                <w:szCs w:val="22"/>
              </w:rPr>
              <w:t>VI SK 3 - Informační centra veřejných knihoven -1 CEK NI</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Název projektu:</w:t>
            </w: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2"/>
                <w:szCs w:val="22"/>
              </w:rPr>
            </w:pPr>
            <w:r>
              <w:rPr>
                <w:b/>
                <w:bCs/>
                <w:i/>
                <w:iCs/>
                <w:sz w:val="22"/>
                <w:szCs w:val="22"/>
              </w:rPr>
              <w:t xml:space="preserve">Nákup výdejního a </w:t>
            </w:r>
            <w:r>
              <w:rPr>
                <w:b/>
                <w:bCs/>
                <w:i/>
                <w:iCs/>
                <w:sz w:val="22"/>
                <w:szCs w:val="22"/>
              </w:rPr>
              <w:t>návratového biblioboxu</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rPr>
              <w:t>Účelové určení dotace:</w:t>
            </w:r>
          </w:p>
        </w:tc>
        <w:tc>
          <w:tcPr>
            <w:tcW w:w="6797" w:type="dxa"/>
            <w:gridSpan w:val="6"/>
            <w:tcBorders>
              <w:top w:val="single" w:sz="4" w:space="0" w:color="auto"/>
              <w:left w:val="single" w:sz="4" w:space="0" w:color="auto"/>
              <w:right w:val="single" w:sz="4" w:space="0" w:color="auto"/>
            </w:tcBorders>
            <w:shd w:val="clear" w:color="auto" w:fill="auto"/>
          </w:tcPr>
          <w:p w:rsidR="00545194" w:rsidRDefault="007857DB">
            <w:pPr>
              <w:pStyle w:val="Jin0"/>
              <w:spacing w:after="0" w:line="240" w:lineRule="auto"/>
              <w:rPr>
                <w:sz w:val="22"/>
                <w:szCs w:val="22"/>
              </w:rPr>
            </w:pPr>
            <w:r>
              <w:rPr>
                <w:b/>
                <w:bCs/>
                <w:i/>
                <w:iCs/>
                <w:sz w:val="22"/>
                <w:szCs w:val="22"/>
                <w:lang w:val="en-US" w:eastAsia="en-US" w:bidi="en-US"/>
              </w:rPr>
              <w:t xml:space="preserve">Multibox </w:t>
            </w:r>
            <w:r>
              <w:rPr>
                <w:b/>
                <w:bCs/>
                <w:i/>
                <w:iCs/>
                <w:sz w:val="22"/>
                <w:szCs w:val="22"/>
              </w:rPr>
              <w:t>Furtodo; licence Tritius na výdejový box</w:t>
            </w:r>
          </w:p>
        </w:tc>
      </w:tr>
      <w:tr w:rsidR="00545194">
        <w:tblPrEx>
          <w:tblCellMar>
            <w:top w:w="0" w:type="dxa"/>
            <w:bottom w:w="0" w:type="dxa"/>
          </w:tblCellMar>
        </w:tblPrEx>
        <w:trPr>
          <w:trHeight w:hRule="exact" w:val="557"/>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62" w:lineRule="auto"/>
              <w:rPr>
                <w:sz w:val="20"/>
                <w:szCs w:val="20"/>
              </w:rPr>
            </w:pPr>
            <w:r>
              <w:rPr>
                <w:sz w:val="20"/>
                <w:szCs w:val="20"/>
              </w:rPr>
              <w:t>Zvláštní podmínky čerpání dotace:</w:t>
            </w:r>
          </w:p>
        </w:tc>
        <w:tc>
          <w:tcPr>
            <w:tcW w:w="6797" w:type="dxa"/>
            <w:gridSpan w:val="6"/>
            <w:tcBorders>
              <w:top w:val="single" w:sz="4" w:space="0" w:color="auto"/>
              <w:left w:val="single" w:sz="4" w:space="0" w:color="auto"/>
              <w:right w:val="single" w:sz="4" w:space="0" w:color="auto"/>
            </w:tcBorders>
            <w:shd w:val="clear" w:color="auto" w:fill="auto"/>
          </w:tcPr>
          <w:p w:rsidR="00545194" w:rsidRDefault="00545194">
            <w:pPr>
              <w:rPr>
                <w:sz w:val="10"/>
                <w:szCs w:val="10"/>
              </w:rPr>
            </w:pPr>
          </w:p>
        </w:tc>
      </w:tr>
      <w:tr w:rsidR="00545194">
        <w:tblPrEx>
          <w:tblCellMar>
            <w:top w:w="0" w:type="dxa"/>
            <w:bottom w:w="0" w:type="dxa"/>
          </w:tblCellMar>
        </w:tblPrEx>
        <w:trPr>
          <w:trHeight w:hRule="exact" w:val="293"/>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Výše dotace:</w:t>
            </w: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2"/>
                <w:szCs w:val="22"/>
              </w:rPr>
            </w:pPr>
            <w:r>
              <w:rPr>
                <w:b/>
                <w:bCs/>
                <w:i/>
                <w:iCs/>
                <w:sz w:val="22"/>
                <w:szCs w:val="22"/>
              </w:rPr>
              <w:t>292 000 Kč</w:t>
            </w:r>
          </w:p>
        </w:tc>
      </w:tr>
      <w:tr w:rsidR="00545194">
        <w:tblPrEx>
          <w:tblCellMar>
            <w:top w:w="0" w:type="dxa"/>
            <w:bottom w:w="0" w:type="dxa"/>
          </w:tblCellMar>
        </w:tblPrEx>
        <w:trPr>
          <w:trHeight w:hRule="exact" w:val="288"/>
          <w:jc w:val="center"/>
        </w:trPr>
        <w:tc>
          <w:tcPr>
            <w:tcW w:w="2784" w:type="dxa"/>
            <w:gridSpan w:val="2"/>
            <w:tcBorders>
              <w:top w:val="single" w:sz="4" w:space="0" w:color="auto"/>
              <w:left w:val="single" w:sz="4" w:space="0" w:color="auto"/>
            </w:tcBorders>
            <w:shd w:val="clear" w:color="auto" w:fill="auto"/>
          </w:tcPr>
          <w:p w:rsidR="00545194" w:rsidRDefault="00545194">
            <w:pPr>
              <w:rPr>
                <w:sz w:val="10"/>
                <w:szCs w:val="10"/>
              </w:rPr>
            </w:pP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2"/>
                <w:szCs w:val="22"/>
              </w:rPr>
            </w:pPr>
            <w:r>
              <w:rPr>
                <w:b/>
                <w:bCs/>
                <w:i/>
                <w:iCs/>
                <w:sz w:val="22"/>
                <w:szCs w:val="22"/>
              </w:rPr>
              <w:t>Dvě stě devadesát dva tisíc Kč</w:t>
            </w:r>
          </w:p>
        </w:tc>
      </w:tr>
      <w:tr w:rsidR="00545194">
        <w:tblPrEx>
          <w:tblCellMar>
            <w:top w:w="0" w:type="dxa"/>
            <w:bottom w:w="0" w:type="dxa"/>
          </w:tblCellMar>
        </w:tblPrEx>
        <w:trPr>
          <w:trHeight w:hRule="exact" w:val="326"/>
          <w:jc w:val="center"/>
        </w:trPr>
        <w:tc>
          <w:tcPr>
            <w:tcW w:w="2784" w:type="dxa"/>
            <w:gridSpan w:val="2"/>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rPr>
              <w:t>Dotace bude poskytnuta:</w:t>
            </w:r>
          </w:p>
        </w:tc>
        <w:tc>
          <w:tcPr>
            <w:tcW w:w="6797" w:type="dxa"/>
            <w:gridSpan w:val="6"/>
            <w:tcBorders>
              <w:top w:val="single" w:sz="4" w:space="0" w:color="auto"/>
              <w:left w:val="single" w:sz="4" w:space="0" w:color="auto"/>
              <w:right w:val="single" w:sz="4" w:space="0" w:color="auto"/>
            </w:tcBorders>
            <w:shd w:val="clear" w:color="auto" w:fill="auto"/>
          </w:tcPr>
          <w:p w:rsidR="00545194" w:rsidRDefault="007857DB">
            <w:pPr>
              <w:pStyle w:val="Jin0"/>
              <w:spacing w:after="0" w:line="240" w:lineRule="auto"/>
              <w:rPr>
                <w:sz w:val="20"/>
                <w:szCs w:val="20"/>
              </w:rPr>
            </w:pPr>
            <w:r>
              <w:rPr>
                <w:i/>
                <w:iCs/>
                <w:sz w:val="20"/>
                <w:szCs w:val="20"/>
              </w:rPr>
              <w:t>Převodem na účet žadatele</w:t>
            </w:r>
          </w:p>
        </w:tc>
      </w:tr>
      <w:tr w:rsidR="00545194">
        <w:tblPrEx>
          <w:tblCellMar>
            <w:top w:w="0" w:type="dxa"/>
            <w:bottom w:w="0" w:type="dxa"/>
          </w:tblCellMar>
        </w:tblPrEx>
        <w:trPr>
          <w:trHeight w:hRule="exact" w:val="331"/>
          <w:jc w:val="center"/>
        </w:trPr>
        <w:tc>
          <w:tcPr>
            <w:tcW w:w="2784" w:type="dxa"/>
            <w:gridSpan w:val="2"/>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Termín konání</w:t>
            </w:r>
            <w:r>
              <w:rPr>
                <w:sz w:val="20"/>
                <w:szCs w:val="20"/>
              </w:rPr>
              <w:t xml:space="preserve"> projektu:</w:t>
            </w:r>
          </w:p>
        </w:tc>
        <w:tc>
          <w:tcPr>
            <w:tcW w:w="6797" w:type="dxa"/>
            <w:gridSpan w:val="6"/>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40" w:lineRule="auto"/>
              <w:rPr>
                <w:sz w:val="20"/>
                <w:szCs w:val="20"/>
              </w:rPr>
            </w:pPr>
            <w:r>
              <w:rPr>
                <w:i/>
                <w:iCs/>
                <w:sz w:val="20"/>
                <w:szCs w:val="20"/>
              </w:rPr>
              <w:t>V průběhu roku 2024</w:t>
            </w:r>
          </w:p>
        </w:tc>
      </w:tr>
      <w:tr w:rsidR="00545194">
        <w:tblPrEx>
          <w:tblCellMar>
            <w:top w:w="0" w:type="dxa"/>
            <w:bottom w:w="0" w:type="dxa"/>
          </w:tblCellMar>
        </w:tblPrEx>
        <w:trPr>
          <w:trHeight w:hRule="exact" w:val="331"/>
          <w:jc w:val="center"/>
        </w:trPr>
        <w:tc>
          <w:tcPr>
            <w:tcW w:w="9581" w:type="dxa"/>
            <w:gridSpan w:val="8"/>
            <w:tcBorders>
              <w:top w:val="single" w:sz="4" w:space="0" w:color="auto"/>
              <w:left w:val="single" w:sz="4" w:space="0" w:color="auto"/>
              <w:right w:val="single" w:sz="4" w:space="0" w:color="auto"/>
            </w:tcBorders>
            <w:shd w:val="clear" w:color="auto" w:fill="auto"/>
          </w:tcPr>
          <w:p w:rsidR="00545194" w:rsidRDefault="007857DB">
            <w:pPr>
              <w:pStyle w:val="Jin0"/>
              <w:spacing w:after="0" w:line="240" w:lineRule="auto"/>
              <w:ind w:left="8440"/>
              <w:rPr>
                <w:sz w:val="20"/>
                <w:szCs w:val="20"/>
              </w:rPr>
            </w:pPr>
            <w:r>
              <w:rPr>
                <w:sz w:val="20"/>
                <w:szCs w:val="20"/>
              </w:rPr>
              <w:t>údaje v Kč</w:t>
            </w:r>
          </w:p>
        </w:tc>
      </w:tr>
      <w:tr w:rsidR="00545194">
        <w:tblPrEx>
          <w:tblCellMar>
            <w:top w:w="0" w:type="dxa"/>
            <w:bottom w:w="0" w:type="dxa"/>
          </w:tblCellMar>
        </w:tblPrEx>
        <w:trPr>
          <w:trHeight w:hRule="exact" w:val="571"/>
          <w:jc w:val="center"/>
        </w:trPr>
        <w:tc>
          <w:tcPr>
            <w:tcW w:w="3312" w:type="dxa"/>
            <w:gridSpan w:val="3"/>
            <w:tcBorders>
              <w:top w:val="single" w:sz="4" w:space="0" w:color="auto"/>
              <w:left w:val="single" w:sz="4" w:space="0" w:color="auto"/>
            </w:tcBorders>
            <w:shd w:val="clear" w:color="auto" w:fill="auto"/>
            <w:vAlign w:val="bottom"/>
          </w:tcPr>
          <w:p w:rsidR="00545194" w:rsidRDefault="007857DB">
            <w:pPr>
              <w:pStyle w:val="Jin0"/>
              <w:spacing w:after="0" w:line="262" w:lineRule="auto"/>
              <w:jc w:val="center"/>
              <w:rPr>
                <w:sz w:val="20"/>
                <w:szCs w:val="20"/>
              </w:rPr>
            </w:pPr>
            <w:r>
              <w:rPr>
                <w:sz w:val="20"/>
                <w:szCs w:val="20"/>
              </w:rPr>
              <w:t>Celkový plánovaný rozpočet projektu:</w:t>
            </w:r>
          </w:p>
        </w:tc>
        <w:tc>
          <w:tcPr>
            <w:tcW w:w="3125" w:type="dxa"/>
            <w:gridSpan w:val="3"/>
            <w:tcBorders>
              <w:top w:val="single" w:sz="4" w:space="0" w:color="auto"/>
              <w:left w:val="single" w:sz="4" w:space="0" w:color="auto"/>
            </w:tcBorders>
            <w:shd w:val="clear" w:color="auto" w:fill="auto"/>
          </w:tcPr>
          <w:p w:rsidR="00545194" w:rsidRDefault="007857DB">
            <w:pPr>
              <w:pStyle w:val="Jin0"/>
              <w:spacing w:after="0" w:line="240" w:lineRule="auto"/>
              <w:jc w:val="center"/>
              <w:rPr>
                <w:sz w:val="20"/>
                <w:szCs w:val="20"/>
              </w:rPr>
            </w:pPr>
            <w:r>
              <w:rPr>
                <w:sz w:val="20"/>
                <w:szCs w:val="20"/>
              </w:rPr>
              <w:t>Rozpočet dotace:</w:t>
            </w:r>
          </w:p>
        </w:tc>
        <w:tc>
          <w:tcPr>
            <w:tcW w:w="3144" w:type="dxa"/>
            <w:gridSpan w:val="2"/>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62" w:lineRule="auto"/>
              <w:jc w:val="center"/>
              <w:rPr>
                <w:sz w:val="20"/>
                <w:szCs w:val="20"/>
              </w:rPr>
            </w:pPr>
            <w:r>
              <w:rPr>
                <w:sz w:val="20"/>
                <w:szCs w:val="20"/>
              </w:rPr>
              <w:t>Dotace bude zaslána dle platebního kalendáře takto:</w:t>
            </w:r>
          </w:p>
        </w:tc>
      </w:tr>
      <w:tr w:rsidR="00545194">
        <w:tblPrEx>
          <w:tblCellMar>
            <w:top w:w="0" w:type="dxa"/>
            <w:bottom w:w="0" w:type="dxa"/>
          </w:tblCellMar>
        </w:tblPrEx>
        <w:trPr>
          <w:trHeight w:hRule="exact" w:val="302"/>
          <w:jc w:val="center"/>
        </w:trPr>
        <w:tc>
          <w:tcPr>
            <w:tcW w:w="1570" w:type="dxa"/>
            <w:tcBorders>
              <w:top w:val="single" w:sz="4" w:space="0" w:color="auto"/>
              <w:left w:val="single" w:sz="4" w:space="0" w:color="auto"/>
            </w:tcBorders>
            <w:shd w:val="clear" w:color="auto" w:fill="auto"/>
          </w:tcPr>
          <w:p w:rsidR="00545194" w:rsidRDefault="00545194">
            <w:pPr>
              <w:rPr>
                <w:sz w:val="10"/>
                <w:szCs w:val="10"/>
              </w:rPr>
            </w:pPr>
          </w:p>
        </w:tc>
        <w:tc>
          <w:tcPr>
            <w:tcW w:w="1742" w:type="dxa"/>
            <w:gridSpan w:val="2"/>
            <w:tcBorders>
              <w:top w:val="single" w:sz="4" w:space="0" w:color="auto"/>
              <w:left w:val="single" w:sz="4" w:space="0" w:color="auto"/>
            </w:tcBorders>
            <w:shd w:val="clear" w:color="auto" w:fill="auto"/>
          </w:tcPr>
          <w:p w:rsidR="00545194" w:rsidRDefault="00545194">
            <w:pPr>
              <w:rPr>
                <w:sz w:val="10"/>
                <w:szCs w:val="10"/>
              </w:rPr>
            </w:pPr>
          </w:p>
        </w:tc>
        <w:tc>
          <w:tcPr>
            <w:tcW w:w="1910" w:type="dxa"/>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kapitálové náklady:</w:t>
            </w:r>
          </w:p>
        </w:tc>
        <w:tc>
          <w:tcPr>
            <w:tcW w:w="1215" w:type="dxa"/>
            <w:gridSpan w:val="2"/>
            <w:tcBorders>
              <w:top w:val="single" w:sz="4" w:space="0" w:color="auto"/>
              <w:left w:val="single" w:sz="4" w:space="0" w:color="auto"/>
            </w:tcBorders>
            <w:shd w:val="clear" w:color="auto" w:fill="auto"/>
            <w:vAlign w:val="bottom"/>
          </w:tcPr>
          <w:p w:rsidR="00545194" w:rsidRDefault="00545194">
            <w:pPr>
              <w:pStyle w:val="Jin0"/>
              <w:spacing w:after="0" w:line="240" w:lineRule="auto"/>
              <w:ind w:firstLine="220"/>
              <w:rPr>
                <w:sz w:val="22"/>
                <w:szCs w:val="22"/>
              </w:rPr>
            </w:pPr>
          </w:p>
        </w:tc>
        <w:tc>
          <w:tcPr>
            <w:tcW w:w="1565" w:type="dxa"/>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1. čtvrtletí</w:t>
            </w:r>
          </w:p>
        </w:tc>
        <w:tc>
          <w:tcPr>
            <w:tcW w:w="1579" w:type="dxa"/>
            <w:tcBorders>
              <w:top w:val="single" w:sz="4" w:space="0" w:color="auto"/>
              <w:left w:val="single" w:sz="4" w:space="0" w:color="auto"/>
              <w:right w:val="single" w:sz="4" w:space="0" w:color="auto"/>
            </w:tcBorders>
            <w:shd w:val="clear" w:color="auto" w:fill="auto"/>
          </w:tcPr>
          <w:p w:rsidR="00545194" w:rsidRDefault="00545194">
            <w:pPr>
              <w:rPr>
                <w:sz w:val="10"/>
                <w:szCs w:val="10"/>
              </w:rPr>
            </w:pPr>
          </w:p>
        </w:tc>
      </w:tr>
      <w:tr w:rsidR="00545194">
        <w:tblPrEx>
          <w:tblCellMar>
            <w:top w:w="0" w:type="dxa"/>
            <w:bottom w:w="0" w:type="dxa"/>
          </w:tblCellMar>
        </w:tblPrEx>
        <w:trPr>
          <w:trHeight w:hRule="exact" w:val="298"/>
          <w:jc w:val="center"/>
        </w:trPr>
        <w:tc>
          <w:tcPr>
            <w:tcW w:w="1570" w:type="dxa"/>
            <w:tcBorders>
              <w:top w:val="single" w:sz="4" w:space="0" w:color="auto"/>
              <w:left w:val="single" w:sz="4" w:space="0" w:color="auto"/>
            </w:tcBorders>
            <w:shd w:val="clear" w:color="auto" w:fill="auto"/>
          </w:tcPr>
          <w:p w:rsidR="00545194" w:rsidRDefault="00545194">
            <w:pPr>
              <w:rPr>
                <w:sz w:val="10"/>
                <w:szCs w:val="10"/>
              </w:rPr>
            </w:pPr>
          </w:p>
        </w:tc>
        <w:tc>
          <w:tcPr>
            <w:tcW w:w="1742" w:type="dxa"/>
            <w:gridSpan w:val="2"/>
            <w:tcBorders>
              <w:top w:val="single" w:sz="4" w:space="0" w:color="auto"/>
              <w:left w:val="single" w:sz="4" w:space="0" w:color="auto"/>
            </w:tcBorders>
            <w:shd w:val="clear" w:color="auto" w:fill="auto"/>
          </w:tcPr>
          <w:p w:rsidR="00545194" w:rsidRDefault="00545194">
            <w:pPr>
              <w:rPr>
                <w:sz w:val="10"/>
                <w:szCs w:val="10"/>
              </w:rPr>
            </w:pPr>
          </w:p>
        </w:tc>
        <w:tc>
          <w:tcPr>
            <w:tcW w:w="1910" w:type="dxa"/>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běžné náklady:</w:t>
            </w:r>
          </w:p>
        </w:tc>
        <w:tc>
          <w:tcPr>
            <w:tcW w:w="1215" w:type="dxa"/>
            <w:gridSpan w:val="2"/>
            <w:tcBorders>
              <w:top w:val="single" w:sz="4" w:space="0" w:color="auto"/>
              <w:left w:val="single" w:sz="4" w:space="0" w:color="auto"/>
            </w:tcBorders>
            <w:shd w:val="clear" w:color="auto" w:fill="auto"/>
            <w:vAlign w:val="bottom"/>
          </w:tcPr>
          <w:p w:rsidR="00545194" w:rsidRDefault="00545194">
            <w:pPr>
              <w:pStyle w:val="Jin0"/>
              <w:spacing w:after="0" w:line="240" w:lineRule="auto"/>
              <w:jc w:val="center"/>
              <w:rPr>
                <w:sz w:val="22"/>
                <w:szCs w:val="22"/>
              </w:rPr>
            </w:pPr>
          </w:p>
        </w:tc>
        <w:tc>
          <w:tcPr>
            <w:tcW w:w="1565" w:type="dxa"/>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II. čtvrtletí</w:t>
            </w:r>
          </w:p>
        </w:tc>
        <w:tc>
          <w:tcPr>
            <w:tcW w:w="1579" w:type="dxa"/>
            <w:tcBorders>
              <w:top w:val="single" w:sz="4" w:space="0" w:color="auto"/>
              <w:left w:val="single" w:sz="4" w:space="0" w:color="auto"/>
              <w:right w:val="single" w:sz="4" w:space="0" w:color="auto"/>
            </w:tcBorders>
            <w:shd w:val="clear" w:color="auto" w:fill="auto"/>
            <w:vAlign w:val="bottom"/>
          </w:tcPr>
          <w:p w:rsidR="00545194" w:rsidRDefault="00545194">
            <w:pPr>
              <w:pStyle w:val="Jin0"/>
              <w:spacing w:after="0" w:line="240" w:lineRule="auto"/>
              <w:jc w:val="center"/>
              <w:rPr>
                <w:sz w:val="22"/>
                <w:szCs w:val="22"/>
              </w:rPr>
            </w:pPr>
          </w:p>
        </w:tc>
      </w:tr>
      <w:tr w:rsidR="00545194">
        <w:tblPrEx>
          <w:tblCellMar>
            <w:top w:w="0" w:type="dxa"/>
            <w:bottom w:w="0" w:type="dxa"/>
          </w:tblCellMar>
        </w:tblPrEx>
        <w:trPr>
          <w:trHeight w:hRule="exact" w:val="302"/>
          <w:jc w:val="center"/>
        </w:trPr>
        <w:tc>
          <w:tcPr>
            <w:tcW w:w="1570" w:type="dxa"/>
            <w:tcBorders>
              <w:top w:val="single" w:sz="4" w:space="0" w:color="auto"/>
              <w:left w:val="single" w:sz="4" w:space="0" w:color="auto"/>
            </w:tcBorders>
            <w:shd w:val="clear" w:color="auto" w:fill="auto"/>
          </w:tcPr>
          <w:p w:rsidR="00545194" w:rsidRDefault="00545194">
            <w:pPr>
              <w:rPr>
                <w:sz w:val="10"/>
                <w:szCs w:val="10"/>
              </w:rPr>
            </w:pPr>
          </w:p>
        </w:tc>
        <w:tc>
          <w:tcPr>
            <w:tcW w:w="1742" w:type="dxa"/>
            <w:gridSpan w:val="2"/>
            <w:tcBorders>
              <w:top w:val="single" w:sz="4" w:space="0" w:color="auto"/>
              <w:left w:val="single" w:sz="4" w:space="0" w:color="auto"/>
            </w:tcBorders>
            <w:shd w:val="clear" w:color="auto" w:fill="auto"/>
          </w:tcPr>
          <w:p w:rsidR="00545194" w:rsidRDefault="00545194">
            <w:pPr>
              <w:rPr>
                <w:sz w:val="10"/>
                <w:szCs w:val="10"/>
              </w:rPr>
            </w:pPr>
          </w:p>
        </w:tc>
        <w:tc>
          <w:tcPr>
            <w:tcW w:w="1910" w:type="dxa"/>
            <w:tcBorders>
              <w:top w:val="single" w:sz="4" w:space="0" w:color="auto"/>
              <w:left w:val="single" w:sz="4" w:space="0" w:color="auto"/>
            </w:tcBorders>
            <w:shd w:val="clear" w:color="auto" w:fill="auto"/>
          </w:tcPr>
          <w:p w:rsidR="00545194" w:rsidRDefault="00545194">
            <w:pPr>
              <w:rPr>
                <w:sz w:val="10"/>
                <w:szCs w:val="10"/>
              </w:rPr>
            </w:pPr>
          </w:p>
        </w:tc>
        <w:tc>
          <w:tcPr>
            <w:tcW w:w="1215" w:type="dxa"/>
            <w:gridSpan w:val="2"/>
            <w:tcBorders>
              <w:top w:val="single" w:sz="4" w:space="0" w:color="auto"/>
              <w:left w:val="single" w:sz="4" w:space="0" w:color="auto"/>
            </w:tcBorders>
            <w:shd w:val="clear" w:color="auto" w:fill="auto"/>
          </w:tcPr>
          <w:p w:rsidR="00545194" w:rsidRDefault="00545194">
            <w:pPr>
              <w:rPr>
                <w:sz w:val="10"/>
                <w:szCs w:val="10"/>
              </w:rPr>
            </w:pPr>
          </w:p>
        </w:tc>
        <w:tc>
          <w:tcPr>
            <w:tcW w:w="1565" w:type="dxa"/>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lang w:val="en-US" w:eastAsia="en-US" w:bidi="en-US"/>
              </w:rPr>
              <w:t xml:space="preserve">III. </w:t>
            </w:r>
            <w:r>
              <w:rPr>
                <w:sz w:val="20"/>
                <w:szCs w:val="20"/>
              </w:rPr>
              <w:t>čtvrtletí</w:t>
            </w:r>
          </w:p>
        </w:tc>
        <w:tc>
          <w:tcPr>
            <w:tcW w:w="1579" w:type="dxa"/>
            <w:tcBorders>
              <w:top w:val="single" w:sz="4" w:space="0" w:color="auto"/>
              <w:left w:val="single" w:sz="4" w:space="0" w:color="auto"/>
              <w:right w:val="single" w:sz="4" w:space="0" w:color="auto"/>
            </w:tcBorders>
            <w:shd w:val="clear" w:color="auto" w:fill="auto"/>
          </w:tcPr>
          <w:p w:rsidR="00545194" w:rsidRDefault="00545194">
            <w:pPr>
              <w:rPr>
                <w:sz w:val="10"/>
                <w:szCs w:val="10"/>
              </w:rPr>
            </w:pPr>
          </w:p>
        </w:tc>
      </w:tr>
      <w:tr w:rsidR="00545194">
        <w:tblPrEx>
          <w:tblCellMar>
            <w:top w:w="0" w:type="dxa"/>
            <w:bottom w:w="0" w:type="dxa"/>
          </w:tblCellMar>
        </w:tblPrEx>
        <w:trPr>
          <w:trHeight w:hRule="exact" w:val="298"/>
          <w:jc w:val="center"/>
        </w:trPr>
        <w:tc>
          <w:tcPr>
            <w:tcW w:w="1570" w:type="dxa"/>
            <w:tcBorders>
              <w:top w:val="single" w:sz="4" w:space="0" w:color="auto"/>
              <w:left w:val="single" w:sz="4" w:space="0" w:color="auto"/>
            </w:tcBorders>
            <w:shd w:val="clear" w:color="auto" w:fill="auto"/>
          </w:tcPr>
          <w:p w:rsidR="00545194" w:rsidRDefault="00545194">
            <w:pPr>
              <w:rPr>
                <w:sz w:val="10"/>
                <w:szCs w:val="10"/>
              </w:rPr>
            </w:pPr>
          </w:p>
        </w:tc>
        <w:tc>
          <w:tcPr>
            <w:tcW w:w="1742" w:type="dxa"/>
            <w:gridSpan w:val="2"/>
            <w:tcBorders>
              <w:top w:val="single" w:sz="4" w:space="0" w:color="auto"/>
              <w:left w:val="single" w:sz="4" w:space="0" w:color="auto"/>
            </w:tcBorders>
            <w:shd w:val="clear" w:color="auto" w:fill="auto"/>
          </w:tcPr>
          <w:p w:rsidR="00545194" w:rsidRDefault="00545194">
            <w:pPr>
              <w:rPr>
                <w:sz w:val="10"/>
                <w:szCs w:val="10"/>
              </w:rPr>
            </w:pPr>
          </w:p>
        </w:tc>
        <w:tc>
          <w:tcPr>
            <w:tcW w:w="1910" w:type="dxa"/>
            <w:tcBorders>
              <w:top w:val="single" w:sz="4" w:space="0" w:color="auto"/>
              <w:left w:val="single" w:sz="4" w:space="0" w:color="auto"/>
            </w:tcBorders>
            <w:shd w:val="clear" w:color="auto" w:fill="auto"/>
          </w:tcPr>
          <w:p w:rsidR="00545194" w:rsidRDefault="00545194">
            <w:pPr>
              <w:rPr>
                <w:sz w:val="10"/>
                <w:szCs w:val="10"/>
              </w:rPr>
            </w:pPr>
          </w:p>
        </w:tc>
        <w:tc>
          <w:tcPr>
            <w:tcW w:w="1215" w:type="dxa"/>
            <w:gridSpan w:val="2"/>
            <w:tcBorders>
              <w:top w:val="single" w:sz="4" w:space="0" w:color="auto"/>
              <w:left w:val="single" w:sz="4" w:space="0" w:color="auto"/>
            </w:tcBorders>
            <w:shd w:val="clear" w:color="auto" w:fill="auto"/>
          </w:tcPr>
          <w:p w:rsidR="00545194" w:rsidRDefault="00545194">
            <w:pPr>
              <w:rPr>
                <w:sz w:val="10"/>
                <w:szCs w:val="10"/>
              </w:rPr>
            </w:pPr>
          </w:p>
        </w:tc>
        <w:tc>
          <w:tcPr>
            <w:tcW w:w="1565" w:type="dxa"/>
            <w:tcBorders>
              <w:top w:val="single" w:sz="4" w:space="0" w:color="auto"/>
              <w:left w:val="single" w:sz="4" w:space="0" w:color="auto"/>
            </w:tcBorders>
            <w:shd w:val="clear" w:color="auto" w:fill="auto"/>
          </w:tcPr>
          <w:p w:rsidR="00545194" w:rsidRDefault="007857DB">
            <w:pPr>
              <w:pStyle w:val="Jin0"/>
              <w:spacing w:after="0" w:line="240" w:lineRule="auto"/>
              <w:rPr>
                <w:sz w:val="20"/>
                <w:szCs w:val="20"/>
              </w:rPr>
            </w:pPr>
            <w:r>
              <w:rPr>
                <w:sz w:val="20"/>
                <w:szCs w:val="20"/>
              </w:rPr>
              <w:t>IV. čtvrtletí</w:t>
            </w:r>
          </w:p>
        </w:tc>
        <w:tc>
          <w:tcPr>
            <w:tcW w:w="1579" w:type="dxa"/>
            <w:tcBorders>
              <w:top w:val="single" w:sz="4" w:space="0" w:color="auto"/>
              <w:left w:val="single" w:sz="4" w:space="0" w:color="auto"/>
              <w:right w:val="single" w:sz="4" w:space="0" w:color="auto"/>
            </w:tcBorders>
            <w:shd w:val="clear" w:color="auto" w:fill="auto"/>
          </w:tcPr>
          <w:p w:rsidR="00545194" w:rsidRDefault="00545194">
            <w:pPr>
              <w:rPr>
                <w:sz w:val="10"/>
                <w:szCs w:val="10"/>
              </w:rPr>
            </w:pPr>
          </w:p>
        </w:tc>
      </w:tr>
      <w:tr w:rsidR="00545194">
        <w:tblPrEx>
          <w:tblCellMar>
            <w:top w:w="0" w:type="dxa"/>
            <w:bottom w:w="0" w:type="dxa"/>
          </w:tblCellMar>
        </w:tblPrEx>
        <w:trPr>
          <w:trHeight w:hRule="exact" w:val="302"/>
          <w:jc w:val="center"/>
        </w:trPr>
        <w:tc>
          <w:tcPr>
            <w:tcW w:w="1570" w:type="dxa"/>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Celkem náklady:</w:t>
            </w:r>
          </w:p>
        </w:tc>
        <w:tc>
          <w:tcPr>
            <w:tcW w:w="1742" w:type="dxa"/>
            <w:gridSpan w:val="2"/>
            <w:tcBorders>
              <w:top w:val="single" w:sz="4" w:space="0" w:color="auto"/>
              <w:left w:val="single" w:sz="4" w:space="0" w:color="auto"/>
            </w:tcBorders>
            <w:shd w:val="clear" w:color="auto" w:fill="auto"/>
            <w:vAlign w:val="bottom"/>
          </w:tcPr>
          <w:p w:rsidR="00545194" w:rsidRDefault="00545194">
            <w:pPr>
              <w:pStyle w:val="Jin0"/>
              <w:spacing w:after="0" w:line="240" w:lineRule="auto"/>
              <w:jc w:val="center"/>
              <w:rPr>
                <w:sz w:val="22"/>
                <w:szCs w:val="22"/>
              </w:rPr>
            </w:pPr>
          </w:p>
        </w:tc>
        <w:tc>
          <w:tcPr>
            <w:tcW w:w="1910" w:type="dxa"/>
            <w:tcBorders>
              <w:top w:val="single" w:sz="4" w:space="0" w:color="auto"/>
              <w:left w:val="single" w:sz="4" w:space="0" w:color="auto"/>
            </w:tcBorders>
            <w:shd w:val="clear" w:color="auto" w:fill="auto"/>
            <w:vAlign w:val="bottom"/>
          </w:tcPr>
          <w:p w:rsidR="00545194" w:rsidRDefault="007857DB">
            <w:pPr>
              <w:pStyle w:val="Jin0"/>
              <w:spacing w:after="0" w:line="240" w:lineRule="auto"/>
              <w:rPr>
                <w:sz w:val="20"/>
                <w:szCs w:val="20"/>
              </w:rPr>
            </w:pPr>
            <w:r>
              <w:rPr>
                <w:sz w:val="20"/>
                <w:szCs w:val="20"/>
              </w:rPr>
              <w:t>Celkem:</w:t>
            </w:r>
          </w:p>
        </w:tc>
        <w:tc>
          <w:tcPr>
            <w:tcW w:w="1215" w:type="dxa"/>
            <w:gridSpan w:val="2"/>
            <w:tcBorders>
              <w:top w:val="single" w:sz="4" w:space="0" w:color="auto"/>
              <w:left w:val="single" w:sz="4" w:space="0" w:color="auto"/>
            </w:tcBorders>
            <w:shd w:val="clear" w:color="auto" w:fill="auto"/>
            <w:vAlign w:val="bottom"/>
          </w:tcPr>
          <w:p w:rsidR="00545194" w:rsidRDefault="00545194">
            <w:pPr>
              <w:pStyle w:val="Jin0"/>
              <w:spacing w:after="0" w:line="240" w:lineRule="auto"/>
              <w:ind w:firstLine="220"/>
              <w:rPr>
                <w:sz w:val="22"/>
                <w:szCs w:val="22"/>
              </w:rPr>
            </w:pPr>
          </w:p>
        </w:tc>
        <w:tc>
          <w:tcPr>
            <w:tcW w:w="1565" w:type="dxa"/>
            <w:tcBorders>
              <w:top w:val="single" w:sz="4" w:space="0" w:color="auto"/>
              <w:left w:val="single" w:sz="4" w:space="0" w:color="auto"/>
            </w:tcBorders>
            <w:shd w:val="clear" w:color="auto" w:fill="auto"/>
            <w:vAlign w:val="bottom"/>
          </w:tcPr>
          <w:p w:rsidR="00545194" w:rsidRDefault="007857DB">
            <w:pPr>
              <w:pStyle w:val="Jin0"/>
              <w:spacing w:after="0" w:line="240" w:lineRule="auto"/>
              <w:jc w:val="center"/>
              <w:rPr>
                <w:sz w:val="20"/>
                <w:szCs w:val="20"/>
              </w:rPr>
            </w:pPr>
            <w:r>
              <w:rPr>
                <w:sz w:val="20"/>
                <w:szCs w:val="20"/>
              </w:rPr>
              <w:t>Celkem:</w:t>
            </w:r>
          </w:p>
        </w:tc>
        <w:tc>
          <w:tcPr>
            <w:tcW w:w="1579" w:type="dxa"/>
            <w:tcBorders>
              <w:top w:val="single" w:sz="4" w:space="0" w:color="auto"/>
              <w:left w:val="single" w:sz="4" w:space="0" w:color="auto"/>
              <w:right w:val="single" w:sz="4" w:space="0" w:color="auto"/>
            </w:tcBorders>
            <w:shd w:val="clear" w:color="auto" w:fill="auto"/>
            <w:vAlign w:val="bottom"/>
          </w:tcPr>
          <w:p w:rsidR="00545194" w:rsidRDefault="00545194">
            <w:pPr>
              <w:pStyle w:val="Jin0"/>
              <w:spacing w:after="0" w:line="240" w:lineRule="auto"/>
              <w:jc w:val="center"/>
              <w:rPr>
                <w:sz w:val="22"/>
                <w:szCs w:val="22"/>
              </w:rPr>
            </w:pPr>
          </w:p>
        </w:tc>
      </w:tr>
      <w:tr w:rsidR="00545194">
        <w:tblPrEx>
          <w:tblCellMar>
            <w:top w:w="0" w:type="dxa"/>
            <w:bottom w:w="0" w:type="dxa"/>
          </w:tblCellMar>
        </w:tblPrEx>
        <w:trPr>
          <w:trHeight w:hRule="exact" w:val="461"/>
          <w:jc w:val="center"/>
        </w:trPr>
        <w:tc>
          <w:tcPr>
            <w:tcW w:w="6437" w:type="dxa"/>
            <w:gridSpan w:val="6"/>
            <w:tcBorders>
              <w:top w:val="single" w:sz="4" w:space="0" w:color="auto"/>
              <w:left w:val="single" w:sz="4" w:space="0" w:color="auto"/>
            </w:tcBorders>
            <w:shd w:val="clear" w:color="auto" w:fill="auto"/>
            <w:vAlign w:val="center"/>
          </w:tcPr>
          <w:p w:rsidR="00545194" w:rsidRDefault="007857DB">
            <w:pPr>
              <w:pStyle w:val="Jin0"/>
              <w:spacing w:after="0" w:line="240" w:lineRule="auto"/>
            </w:pPr>
            <w:r>
              <w:t xml:space="preserve">Podíl dotace ze státního rozpočtu na financování projektu (v % jako </w:t>
            </w:r>
            <w:r>
              <w:rPr>
                <w:lang w:val="en-US" w:eastAsia="en-US" w:bidi="en-US"/>
              </w:rPr>
              <w:t xml:space="preserve">max. </w:t>
            </w:r>
            <w:r>
              <w:t>podíl):</w:t>
            </w:r>
          </w:p>
        </w:tc>
        <w:tc>
          <w:tcPr>
            <w:tcW w:w="3144" w:type="dxa"/>
            <w:gridSpan w:val="2"/>
            <w:tcBorders>
              <w:top w:val="single" w:sz="4" w:space="0" w:color="auto"/>
              <w:left w:val="single" w:sz="4" w:space="0" w:color="auto"/>
              <w:right w:val="single" w:sz="4" w:space="0" w:color="auto"/>
            </w:tcBorders>
            <w:shd w:val="clear" w:color="auto" w:fill="auto"/>
            <w:vAlign w:val="bottom"/>
          </w:tcPr>
          <w:p w:rsidR="00545194" w:rsidRDefault="007857DB">
            <w:pPr>
              <w:pStyle w:val="Jin0"/>
              <w:spacing w:after="0" w:line="252" w:lineRule="auto"/>
            </w:pPr>
            <w:r>
              <w:rPr>
                <w:i/>
                <w:iCs/>
              </w:rPr>
              <w:t>70 % z celkových skutečných nákladů na jeho realizaci</w:t>
            </w:r>
          </w:p>
        </w:tc>
      </w:tr>
      <w:tr w:rsidR="00545194">
        <w:tblPrEx>
          <w:tblCellMar>
            <w:top w:w="0" w:type="dxa"/>
            <w:bottom w:w="0" w:type="dxa"/>
          </w:tblCellMar>
        </w:tblPrEx>
        <w:trPr>
          <w:trHeight w:hRule="exact" w:val="533"/>
          <w:jc w:val="center"/>
        </w:trPr>
        <w:tc>
          <w:tcPr>
            <w:tcW w:w="958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45194" w:rsidRDefault="007857DB">
            <w:pPr>
              <w:pStyle w:val="Jin0"/>
              <w:spacing w:after="0" w:line="240" w:lineRule="auto"/>
            </w:pPr>
            <w:r>
              <w:t>Nedílnou součástí výroku tohoto</w:t>
            </w:r>
            <w:r>
              <w:t xml:space="preserve"> rozhodnutí jsou přiložené Podmínky přidělení dotace, povinnosti příjemce dotace a podmínky zúčtování dotace.</w:t>
            </w:r>
          </w:p>
        </w:tc>
      </w:tr>
    </w:tbl>
    <w:p w:rsidR="00545194" w:rsidRDefault="007857DB">
      <w:pPr>
        <w:pStyle w:val="Titulektabulky0"/>
        <w:ind w:left="715"/>
      </w:pPr>
      <w:r>
        <w:rPr>
          <w:b/>
          <w:bCs/>
        </w:rPr>
        <w:t xml:space="preserve">Účelové znaky dotace: </w:t>
      </w:r>
      <w:r>
        <w:t>kapitálové (investiční) prostředky - 34 544; běžné (neinvestiční) prostředky - 34 053.</w:t>
      </w:r>
    </w:p>
    <w:p w:rsidR="00545194" w:rsidRDefault="007857DB">
      <w:pPr>
        <w:pStyle w:val="Nadpis30"/>
        <w:keepNext/>
        <w:keepLines/>
        <w:spacing w:after="0"/>
      </w:pPr>
      <w:bookmarkStart w:id="4" w:name="bookmark6"/>
      <w:r>
        <w:t>Podmínky přidělení dotace, povinnost</w:t>
      </w:r>
      <w:r>
        <w:t>i příjemce dotace</w:t>
      </w:r>
      <w:r>
        <w:br/>
        <w:t>a podmínky zúčtování dotace</w:t>
      </w:r>
      <w:bookmarkEnd w:id="4"/>
    </w:p>
    <w:p w:rsidR="00545194" w:rsidRDefault="007857DB">
      <w:pPr>
        <w:pStyle w:val="Nadpis30"/>
        <w:keepNext/>
        <w:keepLines/>
        <w:spacing w:after="400"/>
      </w:pPr>
      <w:r>
        <w:t>VISK 3 na rok 2024</w:t>
      </w:r>
    </w:p>
    <w:p w:rsidR="00545194" w:rsidRDefault="007857DB">
      <w:pPr>
        <w:pStyle w:val="Zkladntext1"/>
        <w:numPr>
          <w:ilvl w:val="0"/>
          <w:numId w:val="1"/>
        </w:numPr>
        <w:tabs>
          <w:tab w:val="left" w:pos="360"/>
        </w:tabs>
        <w:spacing w:line="286" w:lineRule="auto"/>
        <w:ind w:left="360" w:hanging="360"/>
        <w:jc w:val="both"/>
      </w:pPr>
      <w:r>
        <w:t xml:space="preserve">Příjemce je povinen použít dotaci </w:t>
      </w:r>
      <w:r>
        <w:rPr>
          <w:b/>
          <w:bCs/>
        </w:rPr>
        <w:t xml:space="preserve">výlučně na účel uvedený v tomto rozhodnutí. </w:t>
      </w:r>
      <w:r>
        <w:t xml:space="preserve">Přitom je povinen dodržet výši a skladbu nákladů týkajících </w:t>
      </w:r>
      <w:r>
        <w:lastRenderedPageBreak/>
        <w:t xml:space="preserve">se poskytnuté dotace tak, jak jsou v tomto rozhodnutí uvedeny; </w:t>
      </w:r>
      <w:r>
        <w:rPr>
          <w:color w:val="F30503"/>
        </w:rPr>
        <w:t xml:space="preserve">a dotaci použít na úhradu nezbytných nákladů, které prokazatelně vznikly od </w:t>
      </w:r>
      <w:proofErr w:type="gramStart"/>
      <w:r>
        <w:rPr>
          <w:color w:val="F30503"/>
        </w:rPr>
        <w:t>1.1. 2024</w:t>
      </w:r>
      <w:proofErr w:type="gramEnd"/>
      <w:r>
        <w:rPr>
          <w:color w:val="F30503"/>
        </w:rPr>
        <w:t xml:space="preserve"> do 31.12. 2024, a na úhradu výdajů, které souvi</w:t>
      </w:r>
      <w:r>
        <w:rPr>
          <w:color w:val="F30503"/>
        </w:rPr>
        <w:t>sejí s obdobím od 1.1. 2024 do 31.12. 2024</w:t>
      </w:r>
    </w:p>
    <w:p w:rsidR="00545194" w:rsidRDefault="007857DB">
      <w:pPr>
        <w:pStyle w:val="Zkladntext1"/>
        <w:numPr>
          <w:ilvl w:val="0"/>
          <w:numId w:val="1"/>
        </w:numPr>
        <w:tabs>
          <w:tab w:val="left" w:pos="360"/>
        </w:tabs>
        <w:jc w:val="both"/>
      </w:pPr>
      <w:r>
        <w:t xml:space="preserve">Příjemce je povinen </w:t>
      </w:r>
      <w:r>
        <w:rPr>
          <w:b/>
          <w:bCs/>
        </w:rPr>
        <w:t xml:space="preserve">celý projekt zrealizovat ve schváleném rozsahu a kvalitě nejpozději do </w:t>
      </w:r>
      <w:proofErr w:type="gramStart"/>
      <w:r>
        <w:rPr>
          <w:b/>
          <w:bCs/>
        </w:rPr>
        <w:t>31.12. 2024</w:t>
      </w:r>
      <w:proofErr w:type="gramEnd"/>
      <w:r>
        <w:rPr>
          <w:b/>
          <w:bCs/>
        </w:rPr>
        <w:t>.</w:t>
      </w:r>
    </w:p>
    <w:p w:rsidR="00545194" w:rsidRDefault="007857DB">
      <w:pPr>
        <w:pStyle w:val="Zkladntext1"/>
        <w:numPr>
          <w:ilvl w:val="0"/>
          <w:numId w:val="1"/>
        </w:numPr>
        <w:tabs>
          <w:tab w:val="left" w:pos="360"/>
        </w:tabs>
        <w:spacing w:line="276" w:lineRule="auto"/>
        <w:ind w:left="360" w:hanging="360"/>
        <w:jc w:val="both"/>
      </w:pPr>
      <w:r>
        <w:rPr>
          <w:b/>
          <w:bCs/>
        </w:rPr>
        <w:t xml:space="preserve">Příjemce je povinen použít dotaci nejpozději do 31. 12. 2024, </w:t>
      </w:r>
      <w:r>
        <w:t xml:space="preserve">přičemž použitím dotace se rozumí zaplacení </w:t>
      </w:r>
      <w:r>
        <w:t>plateb hrazených z dotace v hotovosti a poukázání plateb hrazených z dotace bezhotovostně. Odměny z dohod o provedení práce a z dohod o pracovní činnosti lze však hradit, v souladu se zákonem č. 262/2006 Sb., zákoník práce, v platném znění, nejpozději v le</w:t>
      </w:r>
      <w:r>
        <w:t>dnu 2025.</w:t>
      </w:r>
    </w:p>
    <w:p w:rsidR="00545194" w:rsidRDefault="007857DB">
      <w:pPr>
        <w:pStyle w:val="Zkladntext1"/>
        <w:numPr>
          <w:ilvl w:val="0"/>
          <w:numId w:val="1"/>
        </w:numPr>
        <w:tabs>
          <w:tab w:val="left" w:pos="360"/>
        </w:tabs>
        <w:ind w:left="360" w:hanging="360"/>
        <w:jc w:val="both"/>
      </w:pPr>
      <w:r>
        <w:t xml:space="preserve">Příjemce je povinen </w:t>
      </w:r>
      <w:r>
        <w:rPr>
          <w:b/>
          <w:bCs/>
        </w:rPr>
        <w:t xml:space="preserve">písemně oznámit </w:t>
      </w:r>
      <w:r>
        <w:t xml:space="preserve">Ministerstvu kultury </w:t>
      </w:r>
      <w:r>
        <w:rPr>
          <w:b/>
          <w:bCs/>
        </w:rPr>
        <w:t xml:space="preserve">jakoukoli změnu projektu </w:t>
      </w:r>
      <w:r>
        <w:t>(v případě změny struktury rozpočtu projektu zaslat aktualizovaný rozpočet projektu), a to předem a bez zbytečného odkladu; není-li možné změnu projektu oznámit pře</w:t>
      </w:r>
      <w:r>
        <w:t xml:space="preserve">dem, je příjemce povinen oznámit změnu bez zbytečného odkladu poté, co se o změně dozví, </w:t>
      </w:r>
      <w:r>
        <w:rPr>
          <w:b/>
          <w:bCs/>
        </w:rPr>
        <w:t xml:space="preserve">nejpozději však do </w:t>
      </w:r>
      <w:proofErr w:type="gramStart"/>
      <w:r>
        <w:rPr>
          <w:b/>
          <w:bCs/>
        </w:rPr>
        <w:t>30.11. 2024</w:t>
      </w:r>
      <w:proofErr w:type="gramEnd"/>
      <w:r>
        <w:rPr>
          <w:b/>
          <w:bCs/>
        </w:rPr>
        <w:t xml:space="preserve">. </w:t>
      </w:r>
      <w:r>
        <w:rPr>
          <w:u w:val="single"/>
        </w:rPr>
        <w:t>Povinnost podle tohoto bodu se nevztahuje na snížení celkových nákladů projektu v návaznosti na výši přidělené dotace</w:t>
      </w:r>
      <w:r>
        <w:t xml:space="preserve"> (tj. v případě, k</w:t>
      </w:r>
      <w:r>
        <w:t xml:space="preserve">dy je přidělená dotace nižší než požadavek) </w:t>
      </w:r>
      <w:r>
        <w:rPr>
          <w:u w:val="single"/>
        </w:rPr>
        <w:t xml:space="preserve">a nevztahuje se na takové změny rozpočtu projektu, které se nedotýkají </w:t>
      </w:r>
      <w:r>
        <w:rPr>
          <w:b/>
          <w:bCs/>
          <w:u w:val="single"/>
        </w:rPr>
        <w:t>struktury dotace stanovené tímto rozhodnutím.</w:t>
      </w:r>
    </w:p>
    <w:p w:rsidR="00545194" w:rsidRDefault="007857DB">
      <w:pPr>
        <w:pStyle w:val="Zkladntext1"/>
        <w:numPr>
          <w:ilvl w:val="0"/>
          <w:numId w:val="1"/>
        </w:numPr>
        <w:tabs>
          <w:tab w:val="left" w:pos="360"/>
        </w:tabs>
        <w:ind w:left="360" w:hanging="360"/>
        <w:jc w:val="both"/>
      </w:pPr>
      <w:r>
        <w:rPr>
          <w:b/>
          <w:bCs/>
        </w:rPr>
        <w:t xml:space="preserve">Z dotace je možné hradit maximálně 70 % celkových skutečných nákladů na realizaci projektu. </w:t>
      </w:r>
      <w:r>
        <w:t>Pok</w:t>
      </w:r>
      <w:r>
        <w:t>ud Ministerstvo kultury poskytne na projekt více dotací (třeba v gesci různých útvarů), tyto dotace se pro účely maximálního podílu podle tohoto bodu sčítají. Minimálně 30% celkových skutečných nákladů na realizaci projektuje příjemce povinen uhradit z vla</w:t>
      </w:r>
      <w:r>
        <w:t>stních zdrojů. Příjemce dotace je povinen užívat zařízení a vybavení pořízené z dotace Ministerstva kultury pro stanovené účely HW (mimo server) minimálně podobu 3 let, server a SW (včetně AKS) minimálně podobu 5 let, pokud to nevylučují okolnosti hodné zv</w:t>
      </w:r>
      <w:r>
        <w:t>láštního zřetele.</w:t>
      </w:r>
    </w:p>
    <w:p w:rsidR="00545194" w:rsidRDefault="007857DB">
      <w:pPr>
        <w:pStyle w:val="Zkladntext1"/>
        <w:numPr>
          <w:ilvl w:val="0"/>
          <w:numId w:val="1"/>
        </w:numPr>
        <w:tabs>
          <w:tab w:val="left" w:pos="360"/>
        </w:tabs>
        <w:spacing w:line="286" w:lineRule="auto"/>
        <w:ind w:left="360" w:hanging="360"/>
        <w:jc w:val="both"/>
      </w:pPr>
      <w:r>
        <w:t>Příjemce je povinen po obdržení tohoto rozhodnutí uvádět na všech materiálech vytvořených v rámci projektu nebo souvisejících s jeho realizací, že se tento projekt uskutečňuje za finanční podpory Ministerstva kultury.</w:t>
      </w:r>
    </w:p>
    <w:p w:rsidR="00545194" w:rsidRDefault="007857DB">
      <w:pPr>
        <w:pStyle w:val="Zkladntext1"/>
        <w:numPr>
          <w:ilvl w:val="0"/>
          <w:numId w:val="1"/>
        </w:numPr>
        <w:tabs>
          <w:tab w:val="left" w:pos="360"/>
        </w:tabs>
        <w:spacing w:line="276" w:lineRule="auto"/>
        <w:ind w:left="360" w:hanging="360"/>
        <w:jc w:val="both"/>
      </w:pPr>
      <w:r>
        <w:t xml:space="preserve">Příjemce je povinen </w:t>
      </w:r>
      <w:r>
        <w:t xml:space="preserve">písemně oznámit Ministerstvu kultury </w:t>
      </w:r>
      <w:r>
        <w:rPr>
          <w:b/>
          <w:bCs/>
        </w:rPr>
        <w:t xml:space="preserve">změnu všech identifikačních údajů </w:t>
      </w:r>
      <w:r>
        <w:t>uvedených v předložené žádosti v průběhu období, na které byla dotace poskytnuta, a to bez zbytečného odkladu, nejpozději však do 14 dnů ode dne, kdy se o této změně dozvěděl.</w:t>
      </w:r>
    </w:p>
    <w:p w:rsidR="00545194" w:rsidRDefault="007857DB">
      <w:pPr>
        <w:pStyle w:val="Zkladntext1"/>
        <w:numPr>
          <w:ilvl w:val="0"/>
          <w:numId w:val="1"/>
        </w:numPr>
        <w:tabs>
          <w:tab w:val="left" w:pos="360"/>
        </w:tabs>
        <w:spacing w:line="276" w:lineRule="auto"/>
        <w:ind w:left="360" w:hanging="360"/>
        <w:jc w:val="both"/>
      </w:pPr>
      <w:r>
        <w:t xml:space="preserve">Příjemce </w:t>
      </w:r>
      <w:r>
        <w:t>je povinen zaslat na vyžádání Ministerstvu kultury roční zprávu o svých aktivitách v rozpočtovém období, v němž mu byla dotace poskytnuta. V roční zprávě musí být uveden přehled všech akcí v daném kalendářním roce, přehled o jejich nákladech a výnosech, úd</w:t>
      </w:r>
      <w:r>
        <w:t>aje o dotacích od orgánů státní správy a samosprávy, v případě zapsaných spolků počet členů.</w:t>
      </w:r>
    </w:p>
    <w:p w:rsidR="00545194" w:rsidRDefault="007857DB">
      <w:pPr>
        <w:pStyle w:val="Zkladntext1"/>
        <w:numPr>
          <w:ilvl w:val="0"/>
          <w:numId w:val="1"/>
        </w:numPr>
        <w:tabs>
          <w:tab w:val="left" w:pos="360"/>
        </w:tabs>
        <w:jc w:val="both"/>
      </w:pPr>
      <w:r>
        <w:t>Příjemce je před případným zánikem povinen přednostně vypořádat vztahy se státním rozpočtem.</w:t>
      </w:r>
    </w:p>
    <w:p w:rsidR="00545194" w:rsidRDefault="007857DB">
      <w:pPr>
        <w:pStyle w:val="Zkladntext1"/>
        <w:numPr>
          <w:ilvl w:val="0"/>
          <w:numId w:val="1"/>
        </w:numPr>
        <w:tabs>
          <w:tab w:val="left" w:pos="360"/>
        </w:tabs>
        <w:ind w:left="360" w:hanging="360"/>
        <w:jc w:val="both"/>
      </w:pPr>
      <w:r>
        <w:t>Příjemce je povinen vést řádné a oddělené sledování příjmů a nákladů d</w:t>
      </w:r>
      <w:r>
        <w:t xml:space="preserve">otovaného projektu v účetnictví a umožnit kontrolu vyúčtování dotací a sponzorských darů i od jiných subjektů souvisejících s projektem. Pokud </w:t>
      </w:r>
      <w:r>
        <w:rPr>
          <w:color w:val="F30503"/>
        </w:rPr>
        <w:t>je projekt spolufinancován z obecních nebo krajských rozpočtů, evropských fondů nebo dalších zdrojů, není dovolen</w:t>
      </w:r>
      <w:r>
        <w:rPr>
          <w:color w:val="F30503"/>
        </w:rPr>
        <w:t xml:space="preserve">a duplicitní úhrada stejného nákladu z různých zdrojů. </w:t>
      </w:r>
      <w:r>
        <w:t>Dále je příjemce povinen, pokud jej ktomu Ministerstvo kultury vyzve, předložit fotokopie účetních dokladů prokazujících použití dotace a účetních dokladů prokazujících použití finančních prostředků vy</w:t>
      </w:r>
      <w:r>
        <w:t>naložených na projekt z jiných zdrojů. Příjemce je povinen čerpat dotaci na základě účetních dokladů obsahujících náležitosti stanovené zákonem č. 563/1991 Sb., o účetnictví, v platném znění.</w:t>
      </w:r>
    </w:p>
    <w:p w:rsidR="00545194" w:rsidRDefault="007857DB">
      <w:pPr>
        <w:pStyle w:val="Zkladntext1"/>
        <w:numPr>
          <w:ilvl w:val="0"/>
          <w:numId w:val="1"/>
        </w:numPr>
        <w:tabs>
          <w:tab w:val="left" w:pos="360"/>
        </w:tabs>
        <w:ind w:left="360" w:hanging="360"/>
        <w:jc w:val="both"/>
      </w:pPr>
      <w:r>
        <w:rPr>
          <w:b/>
          <w:bCs/>
        </w:rPr>
        <w:t>Příjemce je povinen vyhotovit a zaslat Ministerstvu kultury do 1</w:t>
      </w:r>
      <w:r>
        <w:rPr>
          <w:b/>
          <w:bCs/>
        </w:rPr>
        <w:t>5. 1. 2025 (rozhoduje razítko pošty, časový údaj o odeslání datovou schránkou, při osobním doručení razítko podatelny Ministerstva kultury) vyúčtování skutečných nákladů a příjmů realizovaného projektu a písemnou závěrečnou zprávu (slovní zhodnocení) o rea</w:t>
      </w:r>
      <w:r>
        <w:rPr>
          <w:b/>
          <w:bCs/>
        </w:rPr>
        <w:t>lizaci a výsledcích projektu. Přitom je příjemce povinen dodržovat pokyny pro vyúčtování a použít formuláře zveřejněné na webových stránkách Ministerstva kultury -</w:t>
      </w:r>
      <w:hyperlink r:id="rId8" w:history="1">
        <w:r>
          <w:rPr>
            <w:b/>
            <w:bCs/>
          </w:rPr>
          <w:t xml:space="preserve"> </w:t>
        </w:r>
        <w:r>
          <w:rPr>
            <w:b/>
            <w:bCs/>
            <w:lang w:val="en-US" w:eastAsia="en-US" w:bidi="en-US"/>
          </w:rPr>
          <w:t>http://www.mkcr.cz</w:t>
        </w:r>
      </w:hyperlink>
      <w:hyperlink r:id="rId9" w:history="1">
        <w:r>
          <w:rPr>
            <w:b/>
            <w:bCs/>
            <w:lang w:val="en-US" w:eastAsia="en-US" w:bidi="en-US"/>
          </w:rPr>
          <w:t>.</w:t>
        </w:r>
      </w:hyperlink>
    </w:p>
    <w:p w:rsidR="00545194" w:rsidRDefault="007857DB">
      <w:pPr>
        <w:pStyle w:val="Zkladntext1"/>
        <w:numPr>
          <w:ilvl w:val="0"/>
          <w:numId w:val="1"/>
        </w:numPr>
        <w:tabs>
          <w:tab w:val="left" w:pos="360"/>
        </w:tabs>
        <w:ind w:left="360" w:hanging="360"/>
        <w:jc w:val="both"/>
      </w:pPr>
      <w:r>
        <w:t>Pokud příjemce vrací dotaci nebo její část během roku 2024, je povinen ji zaslat v souladu s vyhláškou č. 367/2015 Sb., o zásadách a lhůtách finančního vypořádání vztahů se státním rozpočtem, státními finančními aktivy a Národním fondem (vyhláška o finančn</w:t>
      </w:r>
      <w:r>
        <w:t xml:space="preserve">ím vypořádání), v platném znění, </w:t>
      </w:r>
      <w:r>
        <w:rPr>
          <w:b/>
          <w:bCs/>
          <w:u w:val="single"/>
        </w:rPr>
        <w:t xml:space="preserve">na běžný účet Ministerstva kultury č. 3424001/0710, </w:t>
      </w:r>
      <w:r>
        <w:rPr>
          <w:u w:val="single"/>
        </w:rPr>
        <w:t>ze kterého byla dotace uvolněna (obce a organizace zřízené obcí prostřednictvím krajského úřadu)</w:t>
      </w:r>
      <w:r>
        <w:t xml:space="preserve">. </w:t>
      </w:r>
      <w:r>
        <w:rPr>
          <w:b/>
          <w:bCs/>
        </w:rPr>
        <w:t>Příjemce je povinen zaslat Ministerstvu kultury kopii příkazu k úhradě pr</w:t>
      </w:r>
      <w:r>
        <w:rPr>
          <w:b/>
          <w:bCs/>
        </w:rPr>
        <w:t xml:space="preserve">okazujícího vrácení dotace nebo její části a uvést </w:t>
      </w:r>
      <w:r>
        <w:t xml:space="preserve">na něm identifikaci platby jako variabilní symbol </w:t>
      </w:r>
      <w:r>
        <w:rPr>
          <w:b/>
          <w:bCs/>
        </w:rPr>
        <w:t>č. j. příslušného rozhodnutí projektu.</w:t>
      </w:r>
    </w:p>
    <w:p w:rsidR="00545194" w:rsidRDefault="007857DB">
      <w:pPr>
        <w:pStyle w:val="Zkladntext1"/>
        <w:numPr>
          <w:ilvl w:val="0"/>
          <w:numId w:val="1"/>
        </w:numPr>
        <w:tabs>
          <w:tab w:val="left" w:pos="360"/>
        </w:tabs>
        <w:spacing w:line="286" w:lineRule="auto"/>
        <w:ind w:left="360" w:hanging="360"/>
        <w:jc w:val="both"/>
      </w:pPr>
      <w:r>
        <w:t xml:space="preserve">Pokud příjemce </w:t>
      </w:r>
      <w:r>
        <w:rPr>
          <w:b/>
          <w:bCs/>
        </w:rPr>
        <w:t xml:space="preserve">vrací dotaci nebo její část v období po </w:t>
      </w:r>
      <w:proofErr w:type="gramStart"/>
      <w:r>
        <w:rPr>
          <w:b/>
          <w:bCs/>
        </w:rPr>
        <w:t>1.1. 2025</w:t>
      </w:r>
      <w:proofErr w:type="gramEnd"/>
      <w:r>
        <w:rPr>
          <w:b/>
          <w:bCs/>
        </w:rPr>
        <w:t xml:space="preserve">, </w:t>
      </w:r>
      <w:r>
        <w:t xml:space="preserve">je povinen </w:t>
      </w:r>
      <w:r>
        <w:rPr>
          <w:b/>
          <w:bCs/>
        </w:rPr>
        <w:t xml:space="preserve">ji zaslat </w:t>
      </w:r>
      <w:r>
        <w:t xml:space="preserve">nejpozději </w:t>
      </w:r>
      <w:r>
        <w:rPr>
          <w:b/>
          <w:bCs/>
        </w:rPr>
        <w:t xml:space="preserve">do 15. 2. 2025 na </w:t>
      </w:r>
      <w:r>
        <w:rPr>
          <w:b/>
          <w:bCs/>
        </w:rPr>
        <w:t xml:space="preserve">depozitní účet </w:t>
      </w:r>
      <w:r>
        <w:t xml:space="preserve">Ministerstva kultury </w:t>
      </w:r>
      <w:r>
        <w:rPr>
          <w:b/>
          <w:bCs/>
        </w:rPr>
        <w:t xml:space="preserve">č. 6015-3424001/0710 </w:t>
      </w:r>
      <w:r>
        <w:t xml:space="preserve">(obce a organizace zřizované obcí nebo krajem prostřednictvím krajského úřadu) v souladu s vyhláškou č. 367/2015 Sb., o zásadách a lhůtách finančního vypořádání vztahů se státním rozpočtem, státními </w:t>
      </w:r>
      <w:r>
        <w:t xml:space="preserve">finančními aktivy a Národním fondem (vyhláška o finančním vypořádání), v platném znění, a </w:t>
      </w:r>
      <w:r>
        <w:rPr>
          <w:b/>
          <w:bCs/>
        </w:rPr>
        <w:t xml:space="preserve">předložit </w:t>
      </w:r>
      <w:r>
        <w:t xml:space="preserve">Ministerstvu kultury </w:t>
      </w:r>
      <w:r>
        <w:rPr>
          <w:b/>
          <w:bCs/>
        </w:rPr>
        <w:t>kopii příkazu k úhradě prokazujícího vrácení dotace nebo její části a uvést na něm identifikaci platby jako variabilní symbol č. j. pří</w:t>
      </w:r>
      <w:r>
        <w:rPr>
          <w:b/>
          <w:bCs/>
        </w:rPr>
        <w:t xml:space="preserve">slušného rozhodnutí projektu. Současně je příjemce povinen zaslat Ministerstvu kultury vyúčtování projektu do </w:t>
      </w:r>
      <w:proofErr w:type="gramStart"/>
      <w:r>
        <w:rPr>
          <w:b/>
          <w:bCs/>
        </w:rPr>
        <w:t>15.1. 2025</w:t>
      </w:r>
      <w:proofErr w:type="gramEnd"/>
      <w:r>
        <w:rPr>
          <w:b/>
          <w:bCs/>
        </w:rPr>
        <w:t xml:space="preserve"> dle pokynů pro vyúčtování a použít formuláře zveřejněné na webových stránkách Ministerstva kultury - </w:t>
      </w:r>
      <w:hyperlink r:id="rId10" w:history="1">
        <w:r>
          <w:rPr>
            <w:b/>
            <w:bCs/>
            <w:lang w:val="en-US" w:eastAsia="en-US" w:bidi="en-US"/>
          </w:rPr>
          <w:t>http</w:t>
        </w:r>
        <w:r>
          <w:rPr>
            <w:b/>
            <w:bCs/>
            <w:lang w:val="en-US" w:eastAsia="en-US" w:bidi="en-US"/>
          </w:rPr>
          <w:t>://www.mkcr.cz</w:t>
        </w:r>
      </w:hyperlink>
      <w:r>
        <w:rPr>
          <w:b/>
          <w:bCs/>
          <w:lang w:val="en-US" w:eastAsia="en-US" w:bidi="en-US"/>
        </w:rPr>
        <w:t xml:space="preserve"> </w:t>
      </w:r>
      <w:r>
        <w:rPr>
          <w:b/>
          <w:bCs/>
        </w:rPr>
        <w:t>v sekci Struktura / Literatura a knihovny / Dotační řízení / Oblast knihoven.</w:t>
      </w:r>
    </w:p>
    <w:p w:rsidR="00545194" w:rsidRDefault="007857DB">
      <w:pPr>
        <w:pStyle w:val="Zkladntext1"/>
        <w:numPr>
          <w:ilvl w:val="0"/>
          <w:numId w:val="1"/>
        </w:numPr>
        <w:tabs>
          <w:tab w:val="left" w:pos="360"/>
        </w:tabs>
        <w:ind w:left="340" w:hanging="340"/>
        <w:jc w:val="both"/>
      </w:pPr>
      <w:r>
        <w:rPr>
          <w:b/>
          <w:bCs/>
        </w:rPr>
        <w:t xml:space="preserve">V případech, že se projekt neuskuteční nebo je realizován jen částečně, </w:t>
      </w:r>
      <w:r>
        <w:t xml:space="preserve">je příjemce povinen do 15 dnů tuto skutečnost písemně oznámit Ministerstvu kultury, </w:t>
      </w:r>
      <w:r>
        <w:rPr>
          <w:b/>
          <w:bCs/>
        </w:rPr>
        <w:t>nejp</w:t>
      </w:r>
      <w:r>
        <w:rPr>
          <w:b/>
          <w:bCs/>
        </w:rPr>
        <w:t xml:space="preserve">ozději však do 30. 11. 2024, </w:t>
      </w:r>
      <w:r>
        <w:t>zároveň předložit vyúčtování nebo zprávu se zdůvodněním o nerealizaci projektu, nespotřebované finanční prostředky vrací zpět do státního rozpočtu (</w:t>
      </w:r>
      <w:r>
        <w:rPr>
          <w:u w:val="single"/>
        </w:rPr>
        <w:t xml:space="preserve">obce a organizace zřizované obcí nebo krajem </w:t>
      </w:r>
      <w:r>
        <w:rPr>
          <w:b/>
          <w:bCs/>
          <w:u w:val="single"/>
        </w:rPr>
        <w:t>prostřednictvím krajského úřadu</w:t>
      </w:r>
      <w:r>
        <w:rPr>
          <w:b/>
          <w:bCs/>
        </w:rPr>
        <w:t xml:space="preserve">) </w:t>
      </w:r>
      <w:r>
        <w:t>v</w:t>
      </w:r>
      <w:r>
        <w:t xml:space="preserve"> souladu s vyhláškou č. 367/2015 Sb., o zásadách a lhůtách finančního vypořádání vztahů se státním rozpočtem, státními finančními aktivy a Národním fondem (vyhláška o finančním vypořádání), v platném znění. Současně je příjemce povinen zaslat kopii příkazu</w:t>
      </w:r>
      <w:r>
        <w:t xml:space="preserve"> k úhradě prokazující vrácení dotace nebo její části </w:t>
      </w:r>
      <w:r>
        <w:rPr>
          <w:u w:val="single"/>
        </w:rPr>
        <w:t>a uvést na něm identifikaci platby jako variabilní symbol č. j. příslušného rozhodnutí projektu</w:t>
      </w:r>
      <w:r>
        <w:t>.</w:t>
      </w:r>
    </w:p>
    <w:p w:rsidR="00545194" w:rsidRDefault="007857DB">
      <w:pPr>
        <w:pStyle w:val="Zkladntext1"/>
        <w:numPr>
          <w:ilvl w:val="0"/>
          <w:numId w:val="1"/>
        </w:numPr>
        <w:tabs>
          <w:tab w:val="left" w:pos="360"/>
        </w:tabs>
        <w:spacing w:line="286" w:lineRule="auto"/>
        <w:ind w:left="340" w:hanging="340"/>
        <w:jc w:val="both"/>
      </w:pPr>
      <w:r>
        <w:t>Příjemce je povinen postupovat v souladu se zákonem č. 134/2016 Sb., o zadávání veřejných zakázek, v platn</w:t>
      </w:r>
      <w:r>
        <w:t xml:space="preserve">ém znění, pokud použije </w:t>
      </w:r>
      <w:r>
        <w:lastRenderedPageBreak/>
        <w:t>dotaci k úhradě zakázky, která je nadlimitní nebo podlimitní veřejnou zakázkou podle tohoto zákona.</w:t>
      </w:r>
    </w:p>
    <w:p w:rsidR="00545194" w:rsidRDefault="007857DB">
      <w:pPr>
        <w:pStyle w:val="Zkladntext1"/>
        <w:numPr>
          <w:ilvl w:val="0"/>
          <w:numId w:val="1"/>
        </w:numPr>
        <w:tabs>
          <w:tab w:val="left" w:pos="360"/>
        </w:tabs>
        <w:spacing w:line="276" w:lineRule="auto"/>
        <w:ind w:left="340" w:hanging="340"/>
        <w:jc w:val="both"/>
      </w:pPr>
      <w:r>
        <w:t xml:space="preserve">Příjemce je povinen dotaci ze státního rozpočtu používat hospodárně, účelně, efektivně a v souladu s právními předpisy. Pokud bude </w:t>
      </w:r>
      <w:r>
        <w:t>realizací dotovaného projektu dosaženo zisku, bude tento příjmem státního rozpočtu, a to až do výše poskytnuté dotace.</w:t>
      </w:r>
    </w:p>
    <w:p w:rsidR="00545194" w:rsidRDefault="007857DB">
      <w:pPr>
        <w:pStyle w:val="Zkladntext1"/>
        <w:numPr>
          <w:ilvl w:val="0"/>
          <w:numId w:val="1"/>
        </w:numPr>
        <w:tabs>
          <w:tab w:val="left" w:pos="360"/>
        </w:tabs>
        <w:spacing w:line="286" w:lineRule="auto"/>
        <w:ind w:left="340" w:hanging="340"/>
        <w:jc w:val="both"/>
      </w:pPr>
      <w:r>
        <w:t xml:space="preserve">Příjemce je povinen umožnit Ministerstvu kultury provedení kontroly dodržování podmínek stanovených tímto rozhodnutím a poskytnout mu </w:t>
      </w:r>
      <w:r>
        <w:t>ktomu nezbytnou součinnost. Příjemce je povinen strpět, že Ministerstvo kultury ze závažných důvodů, zejména při důvodném podezření na porušení rozpočtové kázně příjemcem, pozastaví proplácení dotace.</w:t>
      </w:r>
    </w:p>
    <w:p w:rsidR="00545194" w:rsidRDefault="007857DB">
      <w:pPr>
        <w:pStyle w:val="Zkladntext1"/>
        <w:numPr>
          <w:ilvl w:val="0"/>
          <w:numId w:val="1"/>
        </w:numPr>
        <w:tabs>
          <w:tab w:val="left" w:pos="360"/>
        </w:tabs>
        <w:ind w:left="340" w:hanging="340"/>
        <w:jc w:val="both"/>
      </w:pPr>
      <w:r>
        <w:rPr>
          <w:b/>
          <w:bCs/>
        </w:rPr>
        <w:t xml:space="preserve">Z dotace lze hradit nákup PC sestavy nebo notebooku, </w:t>
      </w:r>
      <w:r>
        <w:t>vč</w:t>
      </w:r>
      <w:r>
        <w:t xml:space="preserve">etně obvyklého hardwarového příslušenství, operačního systému a antivirového programu </w:t>
      </w:r>
      <w:r>
        <w:rPr>
          <w:b/>
          <w:bCs/>
        </w:rPr>
        <w:t xml:space="preserve">maximálně do 18 tis. Kč, multifunkční tiskárny maximálně do 18 tis. Kč, </w:t>
      </w:r>
      <w:r>
        <w:t xml:space="preserve">nákup </w:t>
      </w:r>
      <w:r>
        <w:rPr>
          <w:b/>
          <w:bCs/>
        </w:rPr>
        <w:t xml:space="preserve">dataprojektoru maximálně do 15 tis. Kč, </w:t>
      </w:r>
      <w:r>
        <w:t xml:space="preserve">nákup </w:t>
      </w:r>
      <w:r>
        <w:rPr>
          <w:b/>
          <w:bCs/>
        </w:rPr>
        <w:t>plátna + stativu maximálně do 4 tis. Kč, nákup</w:t>
      </w:r>
      <w:r>
        <w:rPr>
          <w:b/>
          <w:bCs/>
        </w:rPr>
        <w:t xml:space="preserve"> TV maximálně do 15 tis. Kč, nákup interaktivní tabule maximálně do 15 tis. Kč, nákup tabletu maximálně do 5 tis. Kč. </w:t>
      </w:r>
      <w:r>
        <w:t>Na zahájení výpůjček e-knih v českém jazyce bude dotace poskytnuta v návaznosti na počet obyvatel obce následně: do 10 000 obyvatel 1 balí</w:t>
      </w:r>
      <w:r>
        <w:t>ček; 10 000 až 30 000 obyvatel 2 balíčky; více než 30 000 obyvatel 3 balíčky, kdy 1 balíček = 19 600 Kč včetně DPH.</w:t>
      </w:r>
    </w:p>
    <w:p w:rsidR="00545194" w:rsidRDefault="007857DB">
      <w:pPr>
        <w:pStyle w:val="Zkladntext1"/>
        <w:numPr>
          <w:ilvl w:val="0"/>
          <w:numId w:val="1"/>
        </w:numPr>
        <w:tabs>
          <w:tab w:val="left" w:pos="360"/>
        </w:tabs>
        <w:ind w:left="340" w:hanging="340"/>
        <w:jc w:val="both"/>
      </w:pPr>
      <w:r>
        <w:rPr>
          <w:b/>
          <w:bCs/>
        </w:rPr>
        <w:t xml:space="preserve">Z dotace není možné hradit </w:t>
      </w:r>
      <w:r>
        <w:t>výdaje na mzdy a platy zaměstnanců, odměny z dohod o pracích konaných mimo pracovní poměr, pohoštění a občerstven</w:t>
      </w:r>
      <w:r>
        <w:t>í, dary, náklady spojené se zahraničními cestami zaměstnanců, náklady na vyškolení personálu nesouvisející s projektem, náklady na vypracování projektu, zabezpečovací a kamerové systémy (s výjimkou RFID technologie), náklady na pořízení nábytku, renovaci č</w:t>
      </w:r>
      <w:r>
        <w:t xml:space="preserve">i modernizaci prostor knihovny, odpisy, bankovní poplatky, účetní a právní služby, elektromagnetické čipy, čipy </w:t>
      </w:r>
      <w:r>
        <w:rPr>
          <w:lang w:val="en-US" w:eastAsia="en-US" w:bidi="en-US"/>
        </w:rPr>
        <w:t>RFID</w:t>
      </w:r>
      <w:r>
        <w:rPr>
          <w:vertAlign w:val="superscript"/>
          <w:lang w:val="en-US" w:eastAsia="en-US" w:bidi="en-US"/>
        </w:rPr>
        <w:footnoteReference w:id="1"/>
      </w:r>
      <w:r>
        <w:rPr>
          <w:lang w:val="en-US" w:eastAsia="en-US" w:bidi="en-US"/>
        </w:rPr>
        <w:t xml:space="preserve"> </w:t>
      </w:r>
      <w:r>
        <w:t>a náklady na jejich vlepování, ruční asistenty RFID, náklady na brašny na notebooky, držáky na zeď pro obrazovky a monitory, náklady spoje</w:t>
      </w:r>
      <w:r>
        <w:t>né s výběrovým řízením na pořízení majetku, náklady na vytvoření a provozování webové stránky, veškeré provozní náklady žadatele (nájem kanceláří, telefony, faxy, poštovné, nákup knihovního fondu, poplatky za provoz knihovního systému jako služba, atd.).</w:t>
      </w:r>
    </w:p>
    <w:p w:rsidR="00545194" w:rsidRDefault="007857DB">
      <w:pPr>
        <w:pStyle w:val="Zkladntext1"/>
        <w:numPr>
          <w:ilvl w:val="0"/>
          <w:numId w:val="1"/>
        </w:numPr>
        <w:tabs>
          <w:tab w:val="left" w:pos="360"/>
        </w:tabs>
        <w:ind w:left="340" w:hanging="340"/>
        <w:jc w:val="both"/>
      </w:pPr>
      <w:r>
        <w:rPr>
          <w:b/>
          <w:bCs/>
        </w:rPr>
        <w:t>D</w:t>
      </w:r>
      <w:r>
        <w:rPr>
          <w:b/>
          <w:bCs/>
        </w:rPr>
        <w:t xml:space="preserve">o spoluúčasti žadatele </w:t>
      </w:r>
      <w:r>
        <w:t>nelze zahrnout výdaje na mzdy a platy zaměstnanců, odměny z dohod o pracích konaných mimo pracovní poměr, poplatky za připojení k internetu, náklady na pořízení nábytku, renovaci či modernizaci prostor knihovny, náklady spojené s výb</w:t>
      </w:r>
      <w:r>
        <w:t>ěrovým řízením na pořízení majetku, dále veškeré provozní náklady žadatele (nájem kanceláří, telefony, poštovné, nákup knihovního fondu, poplatky za provoz knihovního systému jako služba atd.) a ostatní položky, které s projektem přímo nesouvisejí. Do spol</w:t>
      </w:r>
      <w:r>
        <w:t>uúčasti lze zahrnout ruční RFID asistenty.</w:t>
      </w:r>
    </w:p>
    <w:p w:rsidR="00545194" w:rsidRDefault="007857DB">
      <w:pPr>
        <w:pStyle w:val="Zkladntext1"/>
        <w:numPr>
          <w:ilvl w:val="0"/>
          <w:numId w:val="1"/>
        </w:numPr>
        <w:tabs>
          <w:tab w:val="left" w:pos="360"/>
        </w:tabs>
        <w:spacing w:line="286" w:lineRule="auto"/>
        <w:ind w:left="340" w:hanging="340"/>
        <w:jc w:val="both"/>
      </w:pPr>
      <w:r>
        <w:t>Příjemce nesmí financovat z dotace jiné fyzické nebo právnické osoby, pokud se nejedná o přímou úhradu výdajů spojených s realizací projektu (nelze převádět prostředky jinému subjektu na základě smlouvy o sdružení</w:t>
      </w:r>
      <w:r>
        <w:t>, o realizaci akce, o spolupořadatelství apod.). Prvotní účetní doklady musí projít účetnictvím příjemce dotace.</w:t>
      </w:r>
    </w:p>
    <w:p w:rsidR="00545194" w:rsidRDefault="007857DB">
      <w:pPr>
        <w:pStyle w:val="Zkladntext1"/>
        <w:numPr>
          <w:ilvl w:val="0"/>
          <w:numId w:val="1"/>
        </w:numPr>
        <w:tabs>
          <w:tab w:val="left" w:pos="360"/>
        </w:tabs>
        <w:ind w:left="340" w:hanging="340"/>
        <w:jc w:val="both"/>
      </w:pPr>
      <w:r>
        <w:t>Porušení nebo nesplnění stanovených podmínek, jakož i neodvedení nevyčerpaných prostředků do státního rozpočtu v souladu s vyhláškou č. 367/201</w:t>
      </w:r>
      <w:r>
        <w:t>5 Sb., o zásadách a lhůtách finančního vypořádání vztahů se státním rozpočtem, státními finančními aktivy a Národním fondem (vyhláška o finančním vypořádání), v platném znění, je porušením rozpočtové kázně, za které může podle § 44a zákona č. 218/2000 Sb.,</w:t>
      </w:r>
      <w:r>
        <w:t xml:space="preserve"> o rozpočtových pravidlech a o změně některých souvisejících zákonů (rozpočtová pravidla), v platném znění, uložit místně příslušný finanční úřad odvod za porušení rozpočtové kázně a penále.</w:t>
      </w:r>
    </w:p>
    <w:p w:rsidR="00545194" w:rsidRDefault="007857DB">
      <w:pPr>
        <w:pStyle w:val="Zkladntext1"/>
        <w:spacing w:after="60" w:line="286" w:lineRule="auto"/>
        <w:ind w:left="340" w:firstLine="20"/>
        <w:jc w:val="both"/>
      </w:pPr>
      <w:r>
        <w:t xml:space="preserve">Za méně závažné porušení povinností příjemce dotace, za které se </w:t>
      </w:r>
      <w:r>
        <w:t>uloží odvod ve výši 5 % celkové částky dotace, se ve smyslu § 14 odst. 5 zákona č. 218/2000 Sb. považuje:</w:t>
      </w:r>
    </w:p>
    <w:p w:rsidR="00545194" w:rsidRDefault="007857DB">
      <w:pPr>
        <w:pStyle w:val="Zkladntext1"/>
        <w:spacing w:after="60"/>
        <w:ind w:firstLine="700"/>
        <w:jc w:val="both"/>
      </w:pPr>
      <w:r>
        <w:t>o nedodržení struktury rozpisu dotace (bod 1)</w:t>
      </w:r>
    </w:p>
    <w:p w:rsidR="00545194" w:rsidRDefault="007857DB">
      <w:pPr>
        <w:pStyle w:val="Zkladntext1"/>
        <w:spacing w:line="286" w:lineRule="auto"/>
        <w:ind w:left="1060" w:hanging="360"/>
        <w:jc w:val="both"/>
      </w:pPr>
      <w:r>
        <w:t xml:space="preserve">o nedodržení lhůt pro zaslání vyúčtování a písemné závěrečné zprávy (bod 11), </w:t>
      </w:r>
      <w:r>
        <w:rPr>
          <w:color w:val="F30503"/>
        </w:rPr>
        <w:t>pokud příjemce předloží vy</w:t>
      </w:r>
      <w:r>
        <w:rPr>
          <w:color w:val="F30503"/>
        </w:rPr>
        <w:t>účtování a závěrečnou zprávu nejpozději do 15. 2. 2025</w:t>
      </w:r>
    </w:p>
    <w:p w:rsidR="00545194" w:rsidRDefault="007857DB">
      <w:pPr>
        <w:pStyle w:val="Zkladntext1"/>
        <w:spacing w:after="60" w:line="276" w:lineRule="auto"/>
        <w:ind w:firstLine="720"/>
        <w:jc w:val="both"/>
      </w:pPr>
      <w:r>
        <w:t>o neoznámení změn identifikačních údajů příjemce (bod 7)</w:t>
      </w:r>
    </w:p>
    <w:p w:rsidR="00545194" w:rsidRDefault="007857DB">
      <w:pPr>
        <w:pStyle w:val="Zkladntext1"/>
        <w:spacing w:after="60" w:line="276" w:lineRule="auto"/>
        <w:ind w:left="1080" w:hanging="360"/>
        <w:jc w:val="both"/>
      </w:pPr>
      <w:r>
        <w:t xml:space="preserve">o nedodržení doby pro užívání zařízení a vybavení pořízené z dotace Ministerstva kultury pro stanovené účely HW (mimo server) minimálně po dobu </w:t>
      </w:r>
      <w:r>
        <w:t>3 let, server a SW (včetně AKS) minimálně po dobu 5 let (bod 5)</w:t>
      </w:r>
    </w:p>
    <w:p w:rsidR="00545194" w:rsidRDefault="007857DB">
      <w:pPr>
        <w:pStyle w:val="Zkladntext1"/>
        <w:spacing w:after="0" w:line="276" w:lineRule="auto"/>
        <w:ind w:firstLine="720"/>
        <w:jc w:val="both"/>
      </w:pPr>
      <w:r>
        <w:t>o porušení povinnosti příjemce uvádět na všech materiálech vytvořených v rámci projektu nebo souvisejících</w:t>
      </w:r>
    </w:p>
    <w:p w:rsidR="00545194" w:rsidRDefault="007857DB">
      <w:pPr>
        <w:pStyle w:val="Zkladntext1"/>
        <w:spacing w:after="420" w:line="276" w:lineRule="auto"/>
        <w:ind w:left="1080"/>
        <w:jc w:val="both"/>
      </w:pPr>
      <w:r>
        <w:t xml:space="preserve">s jeho realizací, že se tento projekt uskutečňuje za finanční podpory Ministerstva </w:t>
      </w:r>
      <w:r>
        <w:t>kultury (bod 6).</w:t>
      </w:r>
    </w:p>
    <w:p w:rsidR="00545194" w:rsidRDefault="007857DB">
      <w:pPr>
        <w:pStyle w:val="Zkladntext1"/>
        <w:spacing w:line="276" w:lineRule="auto"/>
        <w:jc w:val="both"/>
      </w:pPr>
      <w:r>
        <w:rPr>
          <w:b/>
          <w:bCs/>
        </w:rPr>
        <w:t xml:space="preserve">Odůvodnění: </w:t>
      </w:r>
      <w:r>
        <w:t xml:space="preserve">Dotace je poskytnuta na základě žádosti řádně podané v rámci výzvy vyhlášené v programu Veřejné informační služby knihoven, podprogramu VISK 3 - Informační centra veřejných knihoven. Poskytnutí dotace doporučila odborná komise </w:t>
      </w:r>
      <w:r>
        <w:t xml:space="preserve">a o jejím poskytnutí rozhodl ministr kultury svým rozhodnutím ze dne </w:t>
      </w:r>
      <w:r>
        <w:rPr>
          <w:b/>
          <w:bCs/>
        </w:rPr>
        <w:t xml:space="preserve">7. 3. 2024, spis. </w:t>
      </w:r>
      <w:proofErr w:type="gramStart"/>
      <w:r>
        <w:rPr>
          <w:b/>
          <w:bCs/>
        </w:rPr>
        <w:t>zn.</w:t>
      </w:r>
      <w:proofErr w:type="gramEnd"/>
      <w:r>
        <w:rPr>
          <w:b/>
          <w:bCs/>
        </w:rPr>
        <w:t xml:space="preserve"> MK-S 4084/2024 OUKKO.</w:t>
      </w:r>
    </w:p>
    <w:p w:rsidR="00545194" w:rsidRDefault="007857DB">
      <w:pPr>
        <w:pStyle w:val="Zkladntext1"/>
        <w:jc w:val="both"/>
      </w:pPr>
      <w:r>
        <w:t>Projekt přispívá k naplnění účelu zákona č. 257/2001 Sb., o knihovnách a podmínkách provozování veřejných knihovnických a informačních služeb (</w:t>
      </w:r>
      <w:r>
        <w:t>knihovní zákon), v platném znění, a obsahem plně odpovídá nařízení vlády č. 288/2002 Sb., kterým se stanoví pravidla poskytování dotací na podporu knihoven, v platném znění. Proto Ministerstvo kultury rozhodlo o poskytnutí dotace ze státního rozpočtu na je</w:t>
      </w:r>
      <w:r>
        <w:t>ho realizaci.</w:t>
      </w:r>
    </w:p>
    <w:p w:rsidR="00545194" w:rsidRDefault="007857DB">
      <w:pPr>
        <w:pStyle w:val="Zkladntext1"/>
        <w:spacing w:line="276" w:lineRule="auto"/>
        <w:jc w:val="both"/>
      </w:pPr>
      <w:r>
        <w:t>Je-li příjemce dotace, krajskou knihovnou, ústřední odbornou knihovnou, specializovanou knihovnou s unikátním fondem, vysokoškolskou knihovnou, knihovnou pověřenou výkonem regionálních funkcí, městskou knihovnou ve městech nad 10 000 obyvatel</w:t>
      </w:r>
      <w:r>
        <w:t xml:space="preserve"> přispívá do Souborného katalogu ČR; informaci o přispívání zahrne do písemné závěrečné zprávy dle bodu 11.</w:t>
      </w:r>
    </w:p>
    <w:p w:rsidR="00545194" w:rsidRDefault="007857DB">
      <w:pPr>
        <w:pStyle w:val="Zkladntext1"/>
        <w:spacing w:line="276" w:lineRule="auto"/>
        <w:jc w:val="both"/>
      </w:pPr>
      <w:r>
        <w:lastRenderedPageBreak/>
        <w:t xml:space="preserve">Ministerstvo kultury pro úplnost dodává, že je oprávněno zahájit řízení o odnětí dotace, pokud po vydání tohoto rozhodnutí nastanou skutečnosti </w:t>
      </w:r>
      <w:r>
        <w:t>uvedené v § 15 odst. 1 zákona č. 218/2000 Sb. (například dojde k vázání prostředků státního rozpočtu nebo Ministerstvo kultury zjistí, že údaje, na jejichž základě byla dotace poskytnuta, byly neúplné nebo nepravdivé).</w:t>
      </w:r>
    </w:p>
    <w:p w:rsidR="00545194" w:rsidRDefault="007857DB">
      <w:pPr>
        <w:pStyle w:val="Zkladntext1"/>
        <w:jc w:val="both"/>
      </w:pPr>
      <w:r>
        <w:t>Hospodárným použitím dotace se rozumí</w:t>
      </w:r>
      <w:r>
        <w:t xml:space="preserve"> takové její použití, které zajistí splnění účelu dotace s co možná nejnižším a nejefektivnějším vynaložením těchto prostředků, vždy však s plným respektem k povinnosti splnit účel dotace, to jest realizovat projekt ve stanoveném rozsahu a kvalitě. Realiza</w:t>
      </w:r>
      <w:r>
        <w:t>cí projektu, v souvislosti s vyhlášením stavu nouze dle usnesení vlády ze dne 12. března 2020 č. 194, se rozumí i přípravné akce či dílčí kroky realizované příjemcem v dobré víře za účelem plného uskutečnění projektu.</w:t>
      </w:r>
    </w:p>
    <w:p w:rsidR="00545194" w:rsidRDefault="007857DB">
      <w:pPr>
        <w:pStyle w:val="Zkladntext1"/>
        <w:jc w:val="both"/>
      </w:pPr>
      <w:r>
        <w:rPr>
          <w:color w:val="F30503"/>
        </w:rPr>
        <w:t>Jestliže příjemce nepředloží vyúčtován</w:t>
      </w:r>
      <w:r>
        <w:rPr>
          <w:color w:val="F30503"/>
        </w:rPr>
        <w:t xml:space="preserve">í nebo závěrečnou zprávu do 15. 1. 2025, dopouští se porušení rozpočtové kázně, jehož závažnost se odvíjí podle toho, kdy příjemce vyúčtování nebo závěrečnou zprávu předložil. Pokud je předložil nejpozději 15. 2. 2025, pak se jedná o méně závažné porušení </w:t>
      </w:r>
      <w:r>
        <w:rPr>
          <w:color w:val="F30503"/>
        </w:rPr>
        <w:t>rozpočtové kázně. Jestliže příjemce předložil vyúčtování nebo závěrečnou zprávu po 15. 2. 2025, pak se již o méně závažné porušení nejedná a příjemce je povinen celou dotaci vrátit do státního rozpočtu.</w:t>
      </w:r>
    </w:p>
    <w:p w:rsidR="00545194" w:rsidRDefault="007857DB">
      <w:pPr>
        <w:pStyle w:val="Zkladntext1"/>
        <w:spacing w:line="276" w:lineRule="auto"/>
        <w:jc w:val="both"/>
      </w:pPr>
      <w:r>
        <w:t>Dále Ministerstvo kultury upozorňuje na povinnosti po</w:t>
      </w:r>
      <w:r>
        <w:t>dle zákona č. 563/1991 Sb., o účetnictví, v platném znění, především na povinnost vést účetnictví v plném rozsahu (podvojné účetnictví). Některé účetní jednotky tuto povinnost nemají. Účetní jednotky vyjmenované v § 9 odst. 4 zákona o účetnictví mohou vést</w:t>
      </w:r>
      <w:r>
        <w:t xml:space="preserve"> účetnictví ve zjednodušeném rozsahu (například spolky a pobočné spolky, nadační fondy a obecně prospěšné společnosti) a některé účetní jednotky vyjmenované v § </w:t>
      </w:r>
      <w:r>
        <w:rPr>
          <w:lang w:val="en-US" w:eastAsia="en-US" w:bidi="en-US"/>
        </w:rPr>
        <w:t xml:space="preserve">If </w:t>
      </w:r>
      <w:r>
        <w:t>odst. 1 zákona o účetnictví mohou vést jednoduché účetnictví (například spolky a pobočné spo</w:t>
      </w:r>
      <w:r>
        <w:t>lky). Musí ovšem splňovat všechny podmínky stanovené zákonem o účetnictví.</w:t>
      </w:r>
    </w:p>
    <w:p w:rsidR="00545194" w:rsidRDefault="007857DB">
      <w:pPr>
        <w:pStyle w:val="Zkladntext1"/>
        <w:spacing w:after="480"/>
        <w:jc w:val="both"/>
      </w:pPr>
      <w:r>
        <w:t xml:space="preserve">Konečně Ministerstvo kultury upozorňuje, že pokud příjemce vyúčtuje dotaci poskytnutou na podporu knihoven nesprávně, neúplně nebo opožděně, pokud neprovede s Ministerstvem kultury </w:t>
      </w:r>
      <w:r>
        <w:t>její finanční vypořádání nebo pokud nevrátí do státního rozpočtu dotaci nebo její část, kterou nepoužil nebo kterou použil v rozporu s tímto rozhodnutím, nesmí mu Ministerstvo kultury jakožto poskytovatel dotací poskytnout dotaci v roce 2025. Tento zákaz v</w:t>
      </w:r>
      <w:r>
        <w:t>yplývá z § 20 odst. 1 nařízení vlády č. 288/2002 Sb.</w:t>
      </w:r>
    </w:p>
    <w:p w:rsidR="00545194" w:rsidRDefault="007857DB">
      <w:pPr>
        <w:pStyle w:val="Zkladntext1"/>
        <w:spacing w:after="420" w:line="286" w:lineRule="auto"/>
        <w:jc w:val="both"/>
      </w:pPr>
      <w:r>
        <w:rPr>
          <w:b/>
          <w:bCs/>
        </w:rPr>
        <w:t xml:space="preserve">Poučení: </w:t>
      </w:r>
      <w:r>
        <w:t>Proti tomuto rozhodnutí není podle § 14q odst. 2 zákona č. 218/2000 Sb., o rozpočtových pravidlech a o změně některých souvisejících zákonů (rozpočtová pravidla), v platném znění, přípustné odvo</w:t>
      </w:r>
      <w:r>
        <w:t>lání ani rozklad. Toto rozhodnutí nabývá právní moci dnem jeho doručení příjemci.</w:t>
      </w:r>
    </w:p>
    <w:p w:rsidR="00545194" w:rsidRDefault="007857DB">
      <w:pPr>
        <w:pStyle w:val="Zkladntext1"/>
        <w:spacing w:after="860"/>
        <w:jc w:val="both"/>
      </w:pPr>
      <w:r>
        <w:t>V Praze dne 28. 3. 2024</w:t>
      </w:r>
    </w:p>
    <w:p w:rsidR="00545194" w:rsidRDefault="007857DB">
      <w:pPr>
        <w:pStyle w:val="Zkladntext1"/>
        <w:spacing w:line="317" w:lineRule="auto"/>
        <w:jc w:val="center"/>
      </w:pPr>
      <w:r>
        <w:t>Mgr. Blanka Skučková</w:t>
      </w:r>
      <w:r>
        <w:br/>
        <w:t>vedoucí oddělení literatury a knihoven</w:t>
      </w:r>
      <w:r>
        <w:br/>
      </w:r>
      <w:r>
        <w:rPr>
          <w:i/>
          <w:iCs/>
        </w:rPr>
        <w:t>podepsáno elektronicky</w:t>
      </w:r>
    </w:p>
    <w:sectPr w:rsidR="00545194">
      <w:footnotePr>
        <w:numFmt w:val="upperRoman"/>
      </w:footnotePr>
      <w:pgSz w:w="11900" w:h="16840"/>
      <w:pgMar w:top="1014" w:right="1010" w:bottom="632" w:left="1070" w:header="586" w:footer="204"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7DB" w:rsidRDefault="007857DB">
      <w:r>
        <w:separator/>
      </w:r>
    </w:p>
  </w:endnote>
  <w:endnote w:type="continuationSeparator" w:id="0">
    <w:p w:rsidR="007857DB" w:rsidRDefault="0078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7DB" w:rsidRDefault="007857DB">
      <w:r>
        <w:separator/>
      </w:r>
    </w:p>
  </w:footnote>
  <w:footnote w:type="continuationSeparator" w:id="0">
    <w:p w:rsidR="007857DB" w:rsidRDefault="007857DB">
      <w:r>
        <w:continuationSeparator/>
      </w:r>
    </w:p>
  </w:footnote>
  <w:footnote w:id="1">
    <w:p w:rsidR="00545194" w:rsidRDefault="007857DB">
      <w:pPr>
        <w:pStyle w:val="Poznmkapodarou0"/>
      </w:pPr>
      <w:r>
        <w:rPr>
          <w:vertAlign w:val="superscript"/>
        </w:rPr>
        <w:footnoteRef/>
      </w:r>
      <w:r>
        <w:t xml:space="preserve"> Výdaje na nákup čipů lze zahrnout do spoluúčasti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D2385"/>
    <w:multiLevelType w:val="multilevel"/>
    <w:tmpl w:val="AC0E0A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94"/>
    <w:rsid w:val="000E7796"/>
    <w:rsid w:val="00545194"/>
    <w:rsid w:val="00785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82354-E810-4402-963D-D1ACF1EE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lang w:val="en-US" w:eastAsia="en-US" w:bidi="en-US"/>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kladntext2">
    <w:name w:val="Základní text (2)_"/>
    <w:basedOn w:val="Standardnpsmoodstavce"/>
    <w:link w:val="Zkladntext20"/>
    <w:rPr>
      <w:rFonts w:ascii="Calibri" w:eastAsia="Calibri" w:hAnsi="Calibri" w:cs="Calibri"/>
      <w:b w:val="0"/>
      <w:bCs w:val="0"/>
      <w:i/>
      <w:iCs/>
      <w:smallCaps w:val="0"/>
      <w:strike w:val="0"/>
      <w:sz w:val="20"/>
      <w:szCs w:val="2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2"/>
      <w:szCs w:val="32"/>
      <w:u w:val="none"/>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7"/>
      <w:szCs w:val="17"/>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8"/>
      <w:szCs w:val="2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7"/>
      <w:szCs w:val="17"/>
      <w:u w:val="none"/>
    </w:rPr>
  </w:style>
  <w:style w:type="paragraph" w:customStyle="1" w:styleId="Poznmkapodarou0">
    <w:name w:val="Poznámka pod čarou"/>
    <w:basedOn w:val="Normln"/>
    <w:link w:val="Poznmkapodarou"/>
    <w:rPr>
      <w:rFonts w:ascii="Calibri" w:eastAsia="Calibri" w:hAnsi="Calibri" w:cs="Calibri"/>
      <w:sz w:val="16"/>
      <w:szCs w:val="16"/>
    </w:rPr>
  </w:style>
  <w:style w:type="paragraph" w:customStyle="1" w:styleId="Titulekobrzku0">
    <w:name w:val="Titulek obrázku"/>
    <w:basedOn w:val="Normln"/>
    <w:link w:val="Titulekobrzku"/>
    <w:rPr>
      <w:rFonts w:ascii="Arial" w:eastAsia="Arial" w:hAnsi="Arial" w:cs="Arial"/>
      <w:sz w:val="19"/>
      <w:szCs w:val="19"/>
      <w:lang w:val="en-US" w:eastAsia="en-US" w:bidi="en-US"/>
    </w:rPr>
  </w:style>
  <w:style w:type="paragraph" w:customStyle="1" w:styleId="Nadpis10">
    <w:name w:val="Nadpis #1"/>
    <w:basedOn w:val="Normln"/>
    <w:link w:val="Nadpis1"/>
    <w:pPr>
      <w:jc w:val="center"/>
      <w:outlineLvl w:val="0"/>
    </w:pPr>
    <w:rPr>
      <w:rFonts w:ascii="Calibri" w:eastAsia="Calibri" w:hAnsi="Calibri" w:cs="Calibri"/>
      <w:b/>
      <w:bCs/>
      <w:sz w:val="32"/>
      <w:szCs w:val="32"/>
    </w:rPr>
  </w:style>
  <w:style w:type="paragraph" w:customStyle="1" w:styleId="Zkladntext20">
    <w:name w:val="Základní text (2)"/>
    <w:basedOn w:val="Normln"/>
    <w:link w:val="Zkladntext2"/>
    <w:pPr>
      <w:spacing w:after="220"/>
      <w:jc w:val="center"/>
    </w:pPr>
    <w:rPr>
      <w:rFonts w:ascii="Calibri" w:eastAsia="Calibri" w:hAnsi="Calibri" w:cs="Calibri"/>
      <w:i/>
      <w:iCs/>
      <w:sz w:val="20"/>
      <w:szCs w:val="20"/>
    </w:rPr>
  </w:style>
  <w:style w:type="paragraph" w:customStyle="1" w:styleId="Nadpis20">
    <w:name w:val="Nadpis #2"/>
    <w:basedOn w:val="Normln"/>
    <w:link w:val="Nadpis2"/>
    <w:pPr>
      <w:spacing w:line="302" w:lineRule="auto"/>
      <w:jc w:val="center"/>
      <w:outlineLvl w:val="1"/>
    </w:pPr>
    <w:rPr>
      <w:rFonts w:ascii="Calibri" w:eastAsia="Calibri" w:hAnsi="Calibri" w:cs="Calibri"/>
      <w:sz w:val="32"/>
      <w:szCs w:val="32"/>
    </w:rPr>
  </w:style>
  <w:style w:type="paragraph" w:customStyle="1" w:styleId="Nadpis40">
    <w:name w:val="Nadpis #4"/>
    <w:basedOn w:val="Normln"/>
    <w:link w:val="Nadpis4"/>
    <w:pPr>
      <w:spacing w:after="40" w:line="302" w:lineRule="auto"/>
      <w:jc w:val="center"/>
      <w:outlineLvl w:val="3"/>
    </w:pPr>
    <w:rPr>
      <w:rFonts w:ascii="Calibri" w:eastAsia="Calibri" w:hAnsi="Calibri" w:cs="Calibri"/>
    </w:rPr>
  </w:style>
  <w:style w:type="paragraph" w:customStyle="1" w:styleId="Titulektabulky0">
    <w:name w:val="Titulek tabulky"/>
    <w:basedOn w:val="Normln"/>
    <w:link w:val="Titulektabulky"/>
    <w:rPr>
      <w:rFonts w:ascii="Calibri" w:eastAsia="Calibri" w:hAnsi="Calibri" w:cs="Calibri"/>
      <w:sz w:val="17"/>
      <w:szCs w:val="17"/>
    </w:rPr>
  </w:style>
  <w:style w:type="paragraph" w:customStyle="1" w:styleId="Jin0">
    <w:name w:val="Jiné"/>
    <w:basedOn w:val="Normln"/>
    <w:link w:val="Jin"/>
    <w:pPr>
      <w:spacing w:after="120" w:line="283" w:lineRule="auto"/>
    </w:pPr>
    <w:rPr>
      <w:rFonts w:ascii="Calibri" w:eastAsia="Calibri" w:hAnsi="Calibri" w:cs="Calibri"/>
      <w:sz w:val="17"/>
      <w:szCs w:val="17"/>
    </w:rPr>
  </w:style>
  <w:style w:type="paragraph" w:customStyle="1" w:styleId="Nadpis30">
    <w:name w:val="Nadpis #3"/>
    <w:basedOn w:val="Normln"/>
    <w:link w:val="Nadpis3"/>
    <w:pPr>
      <w:spacing w:after="200" w:line="276" w:lineRule="auto"/>
      <w:jc w:val="center"/>
      <w:outlineLvl w:val="2"/>
    </w:pPr>
    <w:rPr>
      <w:rFonts w:ascii="Calibri" w:eastAsia="Calibri" w:hAnsi="Calibri" w:cs="Calibri"/>
      <w:sz w:val="28"/>
      <w:szCs w:val="28"/>
    </w:rPr>
  </w:style>
  <w:style w:type="paragraph" w:customStyle="1" w:styleId="Zkladntext1">
    <w:name w:val="Základní text1"/>
    <w:basedOn w:val="Normln"/>
    <w:link w:val="Zkladntext"/>
    <w:pPr>
      <w:spacing w:after="120" w:line="283" w:lineRule="auto"/>
    </w:pPr>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k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kcr.cz" TargetMode="External"/><Relationship Id="rId4" Type="http://schemas.openxmlformats.org/officeDocument/2006/relationships/webSettings" Target="webSettings.xml"/><Relationship Id="rId9" Type="http://schemas.openxmlformats.org/officeDocument/2006/relationships/hyperlink" Target="http://www.mk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2524</Words>
  <Characters>14892</Characters>
  <Application>Microsoft Office Word</Application>
  <DocSecurity>0</DocSecurity>
  <Lines>124</Lines>
  <Paragraphs>34</Paragraphs>
  <ScaleCrop>false</ScaleCrop>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Doležalová Pavlína</dc:creator>
  <cp:keywords/>
  <cp:lastModifiedBy>Nejdrova</cp:lastModifiedBy>
  <cp:revision>2</cp:revision>
  <dcterms:created xsi:type="dcterms:W3CDTF">2024-05-07T15:43:00Z</dcterms:created>
  <dcterms:modified xsi:type="dcterms:W3CDTF">2024-05-07T15:59:00Z</dcterms:modified>
</cp:coreProperties>
</file>