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228600" distL="114300" distR="114300" simplePos="0" relativeHeight="125829378" behindDoc="0" locked="0" layoutInCell="1" allowOverlap="1">
            <wp:simplePos x="0" y="0"/>
            <wp:positionH relativeFrom="page">
              <wp:posOffset>5550535</wp:posOffset>
            </wp:positionH>
            <wp:positionV relativeFrom="paragraph">
              <wp:posOffset>12700</wp:posOffset>
            </wp:positionV>
            <wp:extent cx="1487170" cy="377825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3778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476250</wp:posOffset>
                </wp:positionV>
                <wp:extent cx="594360" cy="14033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436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z w:val="16"/>
                                <w:szCs w:val="16"/>
                              </w:rPr>
                              <w:t>2024003496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50.pt;margin-top:37.5pt;width:46.800000000000004pt;height:11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sz w:val="16"/>
                          <w:szCs w:val="16"/>
                        </w:rPr>
                        <w:t>2024003496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2340610</wp:posOffset>
                </wp:positionV>
                <wp:extent cx="1334770" cy="133794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4770" cy="1337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obchodní jméno: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zastoupena: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IČO: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DIČ: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(dále jen „Objednatel“)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na straně jedné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9.650000000000006pt;margin-top:184.30000000000001pt;width:105.10000000000001pt;height:105.35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obchodní jméno: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se sídlem: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zastoupena: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IČO: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DIČ: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(dále jen „Objednatel“)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na straně jedné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rStyle w:val="CharStyle29"/>
          <w:color w:val="DC789E"/>
          <w:sz w:val="66"/>
          <w:szCs w:val="66"/>
        </w:rPr>
        <w:t xml:space="preserve">g </w:t>
      </w:r>
      <w:r>
        <w:rPr>
          <w:rStyle w:val="CharStyle29"/>
          <w:b/>
          <w:bCs/>
          <w:i/>
          <w:iCs/>
        </w:rPr>
        <w:t>BOZPcz</w:t>
      </w:r>
      <w:bookmarkEnd w:id="0"/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380" w:line="180" w:lineRule="auto"/>
        <w:ind w:left="0" w:right="0" w:firstLine="0"/>
        <w:jc w:val="left"/>
      </w:pPr>
      <w:bookmarkStart w:id="2" w:name="bookmark2"/>
      <w:r>
        <w:rPr>
          <w:rStyle w:val="CharStyle36"/>
          <w:rFonts w:ascii="Arial" w:eastAsia="Arial" w:hAnsi="Arial" w:cs="Arial"/>
          <w:color w:val="DC789E"/>
          <w:sz w:val="66"/>
          <w:szCs w:val="66"/>
        </w:rPr>
        <w:t xml:space="preserve">0 </w:t>
      </w:r>
      <w:r>
        <w:rPr>
          <w:rStyle w:val="CharStyle36"/>
          <w:i/>
          <w:iCs/>
        </w:rPr>
        <w:t>Školení</w:t>
      </w:r>
      <w:bookmarkEnd w:id="2"/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rStyle w:val="CharStyle24"/>
          <w:b/>
          <w:bCs/>
        </w:rPr>
        <w:t>Dodatek č. 2</w:t>
      </w: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4" w:name="bookmark4"/>
      <w:r>
        <w:rPr>
          <w:rStyle w:val="CharStyle39"/>
          <w:b/>
          <w:bCs/>
        </w:rPr>
        <w:t>SMLOUVY O POSKYTOVÁNÍ E-LEARNINGU</w:t>
      </w:r>
      <w:bookmarkEnd w:id="4"/>
    </w:p>
    <w:p>
      <w:pPr>
        <w:pStyle w:val="Style3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rStyle w:val="CharStyle39"/>
          <w:b/>
          <w:bCs/>
        </w:rPr>
        <w:t>Smluvní strany</w:t>
      </w:r>
      <w:bookmarkEnd w:id="6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rStyle w:val="CharStyle6"/>
          <w:b/>
          <w:bCs/>
        </w:rPr>
        <w:t>1.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320" w:right="0" w:firstLine="0"/>
        <w:jc w:val="both"/>
      </w:pPr>
      <w:r>
        <w:rPr>
          <w:rStyle w:val="CharStyle6"/>
          <w:b/>
          <w:bCs/>
        </w:rPr>
        <w:t>Zdravotnická záchranná služba Jihomoravského kraje,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320" w:right="0" w:firstLine="0"/>
        <w:jc w:val="both"/>
      </w:pPr>
      <w:r>
        <w:rPr>
          <w:rStyle w:val="CharStyle6"/>
        </w:rPr>
        <w:t>Kamenice 798/1 d, 625 00 Brno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320" w:right="0" w:firstLine="0"/>
        <w:jc w:val="both"/>
      </w:pPr>
      <w:r>
        <w:rPr>
          <w:rStyle w:val="CharStyle6"/>
        </w:rPr>
        <w:t>MUDr. HANA ALBRECHTOVÁ, ředitelka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320" w:right="0" w:firstLine="0"/>
        <w:jc w:val="both"/>
      </w:pPr>
      <w:r>
        <w:rPr>
          <w:rStyle w:val="CharStyle6"/>
        </w:rPr>
        <w:t>003 46 292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900" w:line="264" w:lineRule="auto"/>
        <w:ind w:left="1320" w:right="0" w:firstLine="0"/>
        <w:jc w:val="both"/>
      </w:pPr>
      <w:r>
        <w:rPr>
          <w:rStyle w:val="CharStyle6"/>
        </w:rPr>
        <w:t>CZ003 46 292</w:t>
      </w:r>
    </w:p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42"/>
          <w:b/>
          <w:bCs/>
        </w:rPr>
        <w:t>2.</w:t>
      </w:r>
    </w:p>
    <w:tbl>
      <w:tblPr>
        <w:tblOverlap w:val="never"/>
        <w:jc w:val="left"/>
        <w:tblLayout w:type="fixed"/>
      </w:tblPr>
      <w:tblGrid>
        <w:gridCol w:w="2938"/>
        <w:gridCol w:w="5102"/>
      </w:tblGrid>
      <w:tr>
        <w:trPr>
          <w:trHeight w:val="24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obchodní 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45"/>
                <w:b/>
                <w:bCs/>
              </w:rPr>
              <w:t>CRDR spol. s r.o.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se sídlem: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45"/>
              </w:rPr>
              <w:t>Jana Masaryka 108/10, 120 00 Praha 2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zastoupena</w:t>
            </w:r>
          </w:p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ve věcech smluvních: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45"/>
              </w:rPr>
              <w:t xml:space="preserve">Ing. Martin Šimek </w:t>
            </w:r>
            <w:r>
              <w:rPr>
                <w:rStyle w:val="CharStyle45"/>
                <w:lang w:val="en-US" w:eastAsia="en-US" w:bidi="en-US"/>
              </w:rPr>
              <w:t>(</w:t>
            </w:r>
            <w:r>
              <w:rPr>
                <w:rStyle w:val="CharStyle45"/>
                <w:spacing w:val="1"/>
                <w:shd w:val="clear" w:color="auto" w:fill="000000"/>
                <w:lang w:val="en-US" w:eastAsia="en-US" w:bidi="en-US"/>
              </w:rPr>
              <w:t>................</w:t>
            </w:r>
            <w:r>
              <w:rPr>
                <w:rStyle w:val="CharStyle45"/>
                <w:spacing w:val="2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CharStyle45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45"/>
                <w:i/>
                <w:iCs/>
                <w:shd w:val="clear" w:color="auto" w:fill="000000"/>
              </w:rPr>
              <w:t>​.</w:t>
            </w:r>
            <w:r>
              <w:rPr>
                <w:rStyle w:val="CharStyle45"/>
                <w:shd w:val="clear" w:color="auto" w:fill="000000"/>
              </w:rPr>
              <w:t>.​.......​.......​......</w:t>
            </w:r>
            <w:r>
              <w:rPr>
                <w:rStyle w:val="CharStyle45"/>
              </w:rPr>
              <w:t>)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ve věcech technických: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45"/>
                <w:shd w:val="clear" w:color="auto" w:fill="000000"/>
              </w:rPr>
              <w:t>......</w:t>
            </w:r>
            <w:r>
              <w:rPr>
                <w:rStyle w:val="CharStyle45"/>
                <w:spacing w:val="1"/>
                <w:shd w:val="clear" w:color="auto" w:fill="000000"/>
              </w:rPr>
              <w:t>........</w:t>
            </w:r>
            <w:r>
              <w:rPr>
                <w:rStyle w:val="CharStyle45"/>
                <w:shd w:val="clear" w:color="auto" w:fill="000000"/>
              </w:rPr>
              <w:t>​</w:t>
            </w:r>
            <w:r>
              <w:rPr>
                <w:rStyle w:val="CharStyle45"/>
                <w:spacing w:val="7"/>
                <w:shd w:val="clear" w:color="auto" w:fill="000000"/>
              </w:rPr>
              <w:t>....</w:t>
            </w:r>
            <w:r>
              <w:rPr>
                <w:rStyle w:val="CharStyle45"/>
                <w:spacing w:val="8"/>
                <w:shd w:val="clear" w:color="auto" w:fill="000000"/>
              </w:rPr>
              <w:t>...</w:t>
            </w:r>
            <w:r>
              <w:rPr>
                <w:rStyle w:val="CharStyle45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45"/>
                <w:spacing w:val="10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45"/>
                <w:spacing w:val="1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CharStyle45"/>
                <w:spacing w:val="2"/>
                <w:shd w:val="clear" w:color="auto" w:fill="000000"/>
                <w:lang w:val="en-US" w:eastAsia="en-US" w:bidi="en-US"/>
              </w:rPr>
              <w:t>...........</w:t>
            </w:r>
            <w:r>
              <w:rPr>
                <w:rStyle w:val="CharStyle45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45"/>
                <w:shd w:val="clear" w:color="auto" w:fill="000000"/>
              </w:rPr>
              <w:t>..​.......​.......​</w:t>
            </w:r>
            <w:r>
              <w:rPr>
                <w:rStyle w:val="CharStyle45"/>
                <w:spacing w:val="1"/>
                <w:shd w:val="clear" w:color="auto" w:fill="000000"/>
              </w:rPr>
              <w:t>....</w:t>
            </w:r>
            <w:r>
              <w:rPr>
                <w:rStyle w:val="CharStyle45"/>
                <w:spacing w:val="2"/>
                <w:shd w:val="clear" w:color="auto" w:fill="000000"/>
              </w:rPr>
              <w:t>...</w:t>
            </w:r>
          </w:p>
        </w:tc>
      </w:tr>
      <w:tr>
        <w:trPr>
          <w:trHeight w:val="4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IČO:</w:t>
            </w:r>
          </w:p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45"/>
              </w:rPr>
              <w:t>285 00 679</w:t>
            </w:r>
          </w:p>
          <w:p>
            <w:pPr>
              <w:pStyle w:val="Style4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rStyle w:val="CharStyle45"/>
              </w:rPr>
              <w:t>CZ285 00 679</w:t>
            </w:r>
          </w:p>
        </w:tc>
      </w:tr>
    </w:tbl>
    <w:p>
      <w:pPr>
        <w:pStyle w:val="Style4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42"/>
        </w:rPr>
        <w:t>Zápis v OR vedeného Městským soudem v Praze, odd. C, č.vl.146169 (dále jen „Poskytovatel“)</w:t>
      </w:r>
    </w:p>
    <w:p>
      <w:pPr>
        <w:widowControl w:val="0"/>
        <w:spacing w:after="159" w:line="1" w:lineRule="exact"/>
      </w:pPr>
    </w:p>
    <w:p>
      <w:pPr>
        <w:pStyle w:val="Style3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3" w:val="left"/>
        </w:tabs>
        <w:bidi w:val="0"/>
        <w:spacing w:before="0" w:after="160" w:line="240" w:lineRule="auto"/>
        <w:ind w:left="0" w:right="0" w:firstLine="0"/>
        <w:jc w:val="center"/>
      </w:pPr>
      <w:bookmarkStart w:id="8" w:name="bookmark8"/>
      <w:r>
        <w:rPr>
          <w:rStyle w:val="CharStyle39"/>
          <w:b/>
          <w:bCs/>
        </w:rPr>
        <w:t>Předmět dodatku</w:t>
      </w:r>
      <w:bookmarkEnd w:id="8"/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30" w:val="left"/>
        </w:tabs>
        <w:bidi w:val="0"/>
        <w:spacing w:before="0" w:after="80" w:line="252" w:lineRule="auto"/>
        <w:ind w:left="720" w:right="0" w:hanging="720"/>
        <w:jc w:val="both"/>
      </w:pPr>
      <w:r>
        <w:rPr>
          <w:rStyle w:val="CharStyle6"/>
        </w:rPr>
        <w:t xml:space="preserve">Dne 07.12.2021 uzavřely smluvní strany Smlouvu o poskytování e-learningu, která byla doplněna Dodatkem č. 1 ze dne 04.09.2022, kterou se poskytovatel zavázal poskytovat školení zaměstnanců prostřednictvím CRDR e-learningových kurzů a řídícího vzdělávacího systému s názvem </w:t>
      </w:r>
      <w:r>
        <w:rPr>
          <w:rStyle w:val="CharStyle6"/>
          <w:lang w:val="en-US" w:eastAsia="en-US" w:bidi="en-US"/>
        </w:rPr>
        <w:t>BOZP-</w:t>
      </w:r>
      <w:r>
        <w:rPr>
          <w:rStyle w:val="CharStyle6"/>
          <w:lang w:val="en-US" w:eastAsia="en-US" w:bidi="en-US"/>
        </w:rPr>
        <w:t>SYSTEM.cz</w:t>
      </w:r>
      <w:r>
        <w:rPr>
          <w:rStyle w:val="CharStyle6"/>
          <w:lang w:val="en-US" w:eastAsia="en-US" w:bidi="en-US"/>
        </w:rPr>
        <w:t xml:space="preserve"> </w:t>
      </w:r>
      <w:r>
        <w:rPr>
          <w:rStyle w:val="CharStyle6"/>
        </w:rPr>
        <w:t>(dále jen „Smlouva“).</w:t>
      </w:r>
    </w:p>
    <w:p>
      <w:pPr>
        <w:pStyle w:val="Style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30" w:val="left"/>
        </w:tabs>
        <w:bidi w:val="0"/>
        <w:spacing w:before="0" w:after="80" w:line="257" w:lineRule="auto"/>
        <w:ind w:left="0" w:right="0" w:firstLine="0"/>
        <w:jc w:val="both"/>
      </w:pPr>
      <w:r>
        <w:rPr>
          <w:rStyle w:val="CharStyle6"/>
        </w:rPr>
        <w:t>V článku č. 1 Smlouvy se mění Předmět, který zní nově takto: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both"/>
      </w:pPr>
      <w:r>
        <w:rPr>
          <w:rStyle w:val="CharStyle6"/>
          <w:i/>
          <w:iCs/>
        </w:rPr>
        <w:t xml:space="preserve">Předmět A) Předmětem této smlouvy se sjednává poskytnutí školení zaměstnanců, popř. jiných osob podle požadavku Objednatele (dále jen „uživatelé“) prostřednictvím CRDR e-learningových kurzů a řídícího vzdělávacího systému s názvem </w:t>
      </w:r>
      <w:r>
        <w:rPr>
          <w:rStyle w:val="CharStyle6"/>
          <w:i/>
          <w:iCs/>
          <w:lang w:val="en-US" w:eastAsia="en-US" w:bidi="en-US"/>
        </w:rPr>
        <w:t>BOZP-</w:t>
      </w:r>
      <w:r>
        <w:rPr>
          <w:rStyle w:val="CharStyle6"/>
          <w:i/>
          <w:iCs/>
          <w:lang w:val="en-US" w:eastAsia="en-US" w:bidi="en-US"/>
        </w:rPr>
        <w:t>SYSTEM.cz</w:t>
      </w:r>
      <w:r>
        <w:rPr>
          <w:rStyle w:val="CharStyle6"/>
          <w:i/>
          <w:iCs/>
          <w:lang w:val="en-US" w:eastAsia="en-US" w:bidi="en-US"/>
        </w:rPr>
        <w:t xml:space="preserve"> </w:t>
      </w:r>
      <w:r>
        <w:rPr>
          <w:rStyle w:val="CharStyle6"/>
          <w:i/>
          <w:iCs/>
        </w:rPr>
        <w:t>(dále jen „BOZP-SYSTEM“). Předmětnými e-learningovými kurzy jsou: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540" w:right="0" w:firstLine="0"/>
        <w:jc w:val="left"/>
      </w:pPr>
      <w:r>
        <w:rPr>
          <w:rStyle w:val="CharStyle6"/>
          <w:i/>
          <w:iCs/>
          <w:color w:val="A3B8D2"/>
        </w:rPr>
        <w:t xml:space="preserve">Bezpečnost práce </w:t>
      </w:r>
      <w:r>
        <w:rPr>
          <w:rStyle w:val="CharStyle6"/>
          <w:i/>
          <w:iCs/>
        </w:rPr>
        <w:t xml:space="preserve">(pro vedoucí zaměstnance, pro zaměstnance; + obě verze také v Aj) </w:t>
      </w:r>
      <w:r>
        <w:rPr>
          <w:rStyle w:val="CharStyle6"/>
          <w:i/>
          <w:iCs/>
          <w:color w:val="A3B8D2"/>
        </w:rPr>
        <w:t xml:space="preserve">+ profesní dopl 'íp </w:t>
      </w:r>
      <w:r>
        <w:rPr>
          <w:rStyle w:val="CharStyle6"/>
          <w:i/>
          <w:iCs/>
        </w:rPr>
        <w:t>dle výběru Objednatele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40"/>
        <w:jc w:val="both"/>
      </w:pPr>
      <w:r>
        <w:rPr>
          <w:rStyle w:val="CharStyle6"/>
          <w:i/>
          <w:iCs/>
          <w:color w:val="A3B8D2"/>
        </w:rPr>
        <w:t xml:space="preserve">Požární ochrana </w:t>
      </w:r>
      <w:r>
        <w:rPr>
          <w:rStyle w:val="CharStyle6"/>
          <w:i/>
          <w:iCs/>
        </w:rPr>
        <w:t>(pro vedoucí zaměstnance, pro zaměstnance; + obě verze také v Aj)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260"/>
        <w:jc w:val="both"/>
      </w:pPr>
      <w:r>
        <w:rPr>
          <w:rStyle w:val="CharStyle6"/>
          <w:i/>
          <w:iCs/>
          <w:color w:val="A3B8D2"/>
        </w:rPr>
        <w:t xml:space="preserve">• Školení řidičů </w:t>
      </w:r>
      <w:r>
        <w:rPr>
          <w:rStyle w:val="CharStyle6"/>
          <w:i/>
          <w:iCs/>
        </w:rPr>
        <w:t>(řidiči referenti, také kurz pro cizince v Aj se specifiky řízení v ČR)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540"/>
        <w:jc w:val="both"/>
      </w:pPr>
      <w:r>
        <w:rPr>
          <w:rStyle w:val="CharStyle6"/>
          <w:i/>
          <w:iCs/>
          <w:color w:val="A3B8D2"/>
        </w:rPr>
        <w:t xml:space="preserve">+ profes/v doplněk </w:t>
      </w:r>
      <w:r>
        <w:rPr>
          <w:rStyle w:val="CharStyle6"/>
          <w:i/>
          <w:iCs/>
        </w:rPr>
        <w:t>jízda vozidel s právem přednostní jízdy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90" w:lineRule="auto"/>
        <w:ind w:left="0" w:right="0" w:firstLine="0"/>
        <w:jc w:val="both"/>
      </w:pPr>
      <w:r>
        <w:rPr>
          <w:rStyle w:val="CharStyle6"/>
          <w:b/>
          <w:bCs/>
          <w:color w:val="A3B8D2"/>
        </w:rPr>
        <w:t xml:space="preserve">-&gt; Informační a kybernetická bezpečnost </w:t>
      </w:r>
      <w:r>
        <w:rPr>
          <w:rStyle w:val="CharStyle6"/>
          <w:b/>
          <w:bCs/>
        </w:rPr>
        <w:t>(česká verze a také kurz v Aj)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60" w:line="290" w:lineRule="auto"/>
        <w:ind w:left="0" w:right="0" w:firstLine="0"/>
        <w:jc w:val="both"/>
      </w:pPr>
      <w:r>
        <w:rPr>
          <w:rStyle w:val="CharStyle6"/>
          <w:i/>
          <w:iCs/>
        </w:rPr>
        <w:t>Předmětem smlouvy je mimo jiné i poskytnutí těchto odborných služeb: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80" w:line="290" w:lineRule="auto"/>
        <w:ind w:left="0" w:right="0" w:firstLine="0"/>
        <w:jc w:val="both"/>
      </w:pPr>
      <w:r>
        <w:rPr>
          <w:rStyle w:val="CharStyle6"/>
          <w:i/>
          <w:iCs/>
          <w:color w:val="5991C5"/>
        </w:rPr>
        <w:t xml:space="preserve">. </w:t>
      </w:r>
      <w:r>
        <w:rPr>
          <w:rStyle w:val="CharStyle6"/>
          <w:i/>
          <w:iCs/>
        </w:rPr>
        <w:t>odborná garance obsahu kurzů včetně aktualizace dle legislativy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6294755</wp:posOffset>
                </wp:positionH>
                <wp:positionV relativeFrom="paragraph">
                  <wp:posOffset>12700</wp:posOffset>
                </wp:positionV>
                <wp:extent cx="356870" cy="14922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8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  <w:i/>
                                <w:iCs/>
                                <w:color w:val="DC789E"/>
                              </w:rPr>
                              <w:t>1 ze 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95.65000000000003pt;margin-top:1.pt;width:28.100000000000001pt;height:11.7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i/>
                          <w:iCs/>
                          <w:color w:val="DC789E"/>
                        </w:rPr>
                        <w:t>1 ze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6"/>
          <w:b/>
          <w:bCs/>
          <w:i/>
          <w:iCs/>
          <w:color w:val="A3B8D2"/>
        </w:rPr>
        <w:t>Dodatek smlouvy o poskytováni e-leamingu</w:t>
      </w:r>
      <w:r>
        <w:br w:type="page"/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rStyle w:val="CharStyle29"/>
          <w:color w:val="DC789E"/>
          <w:sz w:val="66"/>
          <w:szCs w:val="66"/>
        </w:rPr>
        <w:t xml:space="preserve">g </w:t>
      </w:r>
      <w:r>
        <w:rPr>
          <w:rStyle w:val="CharStyle29"/>
          <w:b/>
          <w:bCs/>
          <w:i/>
          <w:iCs/>
        </w:rPr>
        <w:t>BOZPcz</w:t>
      </w:r>
      <w:bookmarkEnd w:id="10"/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440" w:line="199" w:lineRule="auto"/>
        <w:ind w:left="0" w:right="0" w:firstLine="0"/>
        <w:jc w:val="left"/>
      </w:pPr>
      <w:bookmarkStart w:id="12" w:name="bookmark12"/>
      <w:r>
        <w:rPr>
          <w:rStyle w:val="CharStyle36"/>
          <w:i/>
          <w:iCs/>
          <w:color w:val="DC789E"/>
        </w:rPr>
        <w:t xml:space="preserve">□ </w:t>
      </w:r>
      <w:r>
        <w:rPr>
          <w:rStyle w:val="CharStyle36"/>
          <w:i/>
          <w:iCs/>
        </w:rPr>
        <w:t>Školení</w:t>
      </w:r>
      <w:bookmarkEnd w:id="12"/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5" w:val="left"/>
        </w:tabs>
        <w:bidi w:val="0"/>
        <w:spacing w:before="0" w:after="0"/>
        <w:ind w:left="360" w:right="0" w:hanging="360"/>
        <w:jc w:val="both"/>
      </w:pPr>
      <w:r>
        <w:rPr>
          <w:rStyle w:val="CharStyle6"/>
          <w:i/>
          <w:iCs/>
        </w:rPr>
        <w:t>odpovědi na písemné či telefonické dotazy uživatelů ke školené problematice (s odezvou nejdéle do 12 hodin)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5" w:val="left"/>
        </w:tabs>
        <w:bidi w:val="0"/>
        <w:spacing w:before="0"/>
        <w:ind w:left="360" w:right="0" w:hanging="360"/>
        <w:jc w:val="both"/>
      </w:pPr>
      <w:r>
        <w:rPr>
          <w:rStyle w:val="CharStyle6"/>
          <w:i/>
          <w:iCs/>
        </w:rPr>
        <w:t>možnost doplnění kurzů o místní specifika provozoven/pracovišť Objednatele. Podklady pro místní specifika poskytne Objednatel, přičemž Poskytovatel neručí za jejich správnost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6"/>
          <w:i/>
          <w:iCs/>
        </w:rPr>
        <w:t>Předmět B) Předmětem smlouvy je dále rozšíření balíčku kurzů o tento zákaznický kurz: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rPr>
          <w:rStyle w:val="CharStyle6"/>
          <w:b/>
          <w:bCs/>
          <w:i/>
          <w:iCs/>
          <w:color w:val="A3B8D2"/>
        </w:rPr>
        <w:t>-&gt; Školení obsluh tlakových lahví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both"/>
      </w:pPr>
      <w:r>
        <w:rPr>
          <w:rStyle w:val="CharStyle6"/>
          <w:i/>
          <w:iCs/>
        </w:rPr>
        <w:t>Jedná se o implementaci PPT prezentace dodané Objednatelem do BOZP-SYSTEMU. Pro vyloučení všech pochybností se uvádí, že k tomuto kurzu Poskytovatel neposkytuje odborné garance ani legislativní aktualizace.</w:t>
      </w:r>
    </w:p>
    <w:p>
      <w:pPr>
        <w:pStyle w:val="Style5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20" w:val="left"/>
        </w:tabs>
        <w:bidi w:val="0"/>
        <w:spacing w:before="0"/>
        <w:ind w:left="0" w:right="0" w:firstLine="0"/>
        <w:jc w:val="left"/>
      </w:pPr>
      <w:r>
        <w:rPr>
          <w:rStyle w:val="CharStyle6"/>
        </w:rPr>
        <w:t>V článku č. 2 Smlouvy se mění následující odstavec, který zní nově takto: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left"/>
      </w:pPr>
      <w:r>
        <w:rPr>
          <w:rStyle w:val="CharStyle6"/>
          <w:i/>
          <w:iCs/>
        </w:rPr>
        <w:t xml:space="preserve">Cena je </w:t>
      </w:r>
      <w:r>
        <w:rPr>
          <w:rStyle w:val="CharStyle6"/>
          <w:i/>
          <w:iCs/>
          <w:color w:val="A3B8D2"/>
        </w:rPr>
        <w:t xml:space="preserve">47 Kč/uživatel/rok </w:t>
      </w:r>
      <w:r>
        <w:rPr>
          <w:rStyle w:val="CharStyle6"/>
          <w:i/>
          <w:iCs/>
        </w:rPr>
        <w:t>a zahrnuje užívání BOZP-SYSTEMU a všechny výše uvedené kurzy a služby podle článku 1, předmět A.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left"/>
      </w:pPr>
      <w:r>
        <w:rPr>
          <w:rStyle w:val="CharStyle6"/>
          <w:i/>
          <w:iCs/>
        </w:rPr>
        <w:t xml:space="preserve">Cena je </w:t>
      </w:r>
      <w:r>
        <w:rPr>
          <w:rStyle w:val="CharStyle6"/>
          <w:i/>
          <w:iCs/>
          <w:color w:val="A3B8D2"/>
        </w:rPr>
        <w:t xml:space="preserve">3500 Kc </w:t>
      </w:r>
      <w:r>
        <w:rPr>
          <w:rStyle w:val="CharStyle6"/>
          <w:i/>
          <w:iCs/>
        </w:rPr>
        <w:t>a zahrnuje implementaci zákaznického kurzu podle článku 1, předmět B. Každá další opakovaná implementace kurzu je zpoplatněna částkou 3500 Kč.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6"/>
          <w:i/>
          <w:iCs/>
        </w:rPr>
        <w:t xml:space="preserve">Cena je </w:t>
      </w:r>
      <w:r>
        <w:rPr>
          <w:rStyle w:val="CharStyle6"/>
          <w:i/>
          <w:iCs/>
          <w:color w:val="A3B8D2"/>
        </w:rPr>
        <w:t xml:space="preserve">2500 Kč/rok </w:t>
      </w:r>
      <w:r>
        <w:rPr>
          <w:rStyle w:val="CharStyle6"/>
          <w:i/>
          <w:iCs/>
        </w:rPr>
        <w:t>a zahrnuje roční správu a případnou aktualizaci (v rozsahu 2 hodin) zákaznického kurzu podle článku 1, předmět B.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6"/>
          <w:i/>
          <w:iCs/>
        </w:rPr>
        <w:t>Strany této smlouvy se dohodly na tom, že cena může být každoročně zvyšována o procento, odpovídající kladnému procentu meziroční inflace (případně: kladnému vývoji indexu spotřebitelských cen), vyhlášené (vyhlášenému) Českým statistickým úřadem za předchozí kalendářní rok, a to vždy s účinností od prvního dne měsíce následujícího po měsíci, v němž bude takové vyhlášení oficiálně učiněno.</w:t>
      </w:r>
    </w:p>
    <w:p>
      <w:pPr>
        <w:pStyle w:val="Style5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20" w:val="left"/>
        </w:tabs>
        <w:bidi w:val="0"/>
        <w:spacing w:before="0"/>
        <w:ind w:left="0" w:right="0" w:firstLine="0"/>
        <w:jc w:val="left"/>
      </w:pPr>
      <w:r>
        <w:rPr>
          <w:rStyle w:val="CharStyle6"/>
        </w:rPr>
        <w:t>Článek č. 3 Smlouvy se doplňuje o následující odstavec: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6"/>
        </w:rPr>
        <w:t xml:space="preserve">S </w:t>
      </w:r>
      <w:r>
        <w:rPr>
          <w:rStyle w:val="CharStyle6"/>
          <w:i/>
          <w:iCs/>
        </w:rPr>
        <w:t>účinností od 25.8.2024 je celková cena za poskytované služby podle této smlouvy vždy násobkem ceny</w:t>
      </w:r>
      <w:r>
        <w:rPr>
          <w:rStyle w:val="CharStyle6"/>
        </w:rPr>
        <w:t xml:space="preserve"> </w:t>
      </w:r>
      <w:r>
        <w:rPr>
          <w:rStyle w:val="CharStyle6"/>
          <w:color w:val="A3B8D2"/>
        </w:rPr>
        <w:t xml:space="preserve">7 </w:t>
      </w:r>
      <w:r>
        <w:rPr>
          <w:rStyle w:val="CharStyle6"/>
          <w:i/>
          <w:iCs/>
          <w:color w:val="A3B8D2"/>
        </w:rPr>
        <w:t xml:space="preserve">Kč </w:t>
      </w:r>
      <w:r>
        <w:rPr>
          <w:rStyle w:val="CharStyle6"/>
          <w:i/>
          <w:iCs/>
        </w:rPr>
        <w:t>a počtu aktivních uživatelů ve školícím systému ke dni fakturace.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0" w:right="0" w:firstLine="0"/>
        <w:jc w:val="both"/>
      </w:pPr>
      <w:r>
        <w:rPr>
          <w:rStyle w:val="CharStyle6"/>
          <w:i/>
          <w:iCs/>
        </w:rPr>
        <w:t xml:space="preserve">S účinností od 25.8.2024 za každého nově přihlášeného uživatele po datu 25.8.2024 fakturuje Poskytovatel Objednateli cenu </w:t>
      </w:r>
      <w:r>
        <w:rPr>
          <w:rStyle w:val="CharStyle6"/>
          <w:i/>
          <w:iCs/>
          <w:color w:val="A3B8D2"/>
        </w:rPr>
        <w:t>Kč.</w:t>
      </w:r>
    </w:p>
    <w:p>
      <w:pPr>
        <w:pStyle w:val="Style5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20" w:val="left"/>
        </w:tabs>
        <w:bidi w:val="0"/>
        <w:spacing w:before="0"/>
        <w:ind w:left="760" w:right="0" w:hanging="760"/>
        <w:jc w:val="both"/>
      </w:pPr>
      <w:r>
        <w:rPr>
          <w:rStyle w:val="CharStyle6"/>
        </w:rPr>
        <w:t>Tento dodatek nabývá platnosti a účinnosti dnem oboustranného podpisu. Ostatní ustanovení Smlouvy, nedotčená tímto dodatkem, zůstávají i nadále účinná.</w:t>
      </w:r>
    </w:p>
    <w:p>
      <w:pPr>
        <w:pStyle w:val="Style5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720" w:val="left"/>
        </w:tabs>
        <w:bidi w:val="0"/>
        <w:spacing w:before="0" w:after="440" w:line="257" w:lineRule="auto"/>
        <w:ind w:left="760" w:right="0" w:hanging="760"/>
        <w:jc w:val="both"/>
      </w:pPr>
      <w:r>
        <w:rPr>
          <w:rStyle w:val="CharStyle6"/>
        </w:rPr>
        <w:t>Dodatek se vyhotovuje ve dvou stejnopisech, po jednom pro každou ze smluvních stran. V případě elektronického podpisu bude jen jedno vyhotovení smlouvy s elektronickými podpisy obou smluvních stran.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20" w:line="240" w:lineRule="auto"/>
        <w:ind w:left="-1440" w:right="0" w:firstLine="1440"/>
        <w:jc w:val="left"/>
      </w:pPr>
      <w:r>
        <w:drawing>
          <wp:anchor distT="88265" distB="0" distL="0" distR="709930" simplePos="0" relativeHeight="125829383" behindDoc="0" locked="0" layoutInCell="1" allowOverlap="1">
            <wp:simplePos x="0" y="0"/>
            <wp:positionH relativeFrom="page">
              <wp:posOffset>1682750</wp:posOffset>
            </wp:positionH>
            <wp:positionV relativeFrom="paragraph">
              <wp:posOffset>621665</wp:posOffset>
            </wp:positionV>
            <wp:extent cx="1481455" cy="433070"/>
            <wp:wrapTight wrapText="left">
              <wp:wrapPolygon>
                <wp:start x="18794" y="0"/>
                <wp:lineTo x="21466" y="0"/>
                <wp:lineTo x="21466" y="7047"/>
                <wp:lineTo x="21511" y="7047"/>
                <wp:lineTo x="21511" y="7200"/>
                <wp:lineTo x="21600" y="7200"/>
                <wp:lineTo x="21600" y="21600"/>
                <wp:lineTo x="0" y="21600"/>
                <wp:lineTo x="0" y="6128"/>
                <wp:lineTo x="18794" y="6128"/>
                <wp:lineTo x="18794" y="0"/>
              </wp:wrapPolygon>
            </wp:wrapTight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81455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618490</wp:posOffset>
                </wp:positionV>
                <wp:extent cx="737870" cy="29591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7870" cy="295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5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2F5DCB"/>
                              </w:rPr>
                              <w:t>.o.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pacing w:val="3"/>
                                <w:sz w:val="16"/>
                                <w:szCs w:val="16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16"/>
                                <w:szCs w:val="16"/>
                                <w:shd w:val="clear" w:color="auto" w:fill="000000"/>
                              </w:rPr>
                              <w:t>​....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1"/>
                                <w:sz w:val="16"/>
                                <w:szCs w:val="16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16"/>
                                <w:szCs w:val="16"/>
                                <w:shd w:val="clear" w:color="auto" w:fill="000000"/>
                              </w:rPr>
                              <w:t>​...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1"/>
                                <w:sz w:val="16"/>
                                <w:szCs w:val="1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16"/>
                                <w:szCs w:val="16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14"/>
                                <w:sz w:val="16"/>
                                <w:szCs w:val="1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2F5DCB"/>
                                <w:sz w:val="16"/>
                                <w:szCs w:val="16"/>
                              </w:rPr>
                              <w:t>rno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46.75pt;margin-top:48.700000000000003pt;width:58.100000000000001pt;height:23.3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spacing w:val="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b/>
                          <w:bCs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b/>
                          <w:bCs/>
                          <w:spacing w:val="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3"/>
                          <w:b/>
                          <w:bCs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b/>
                          <w:bCs/>
                          <w:spacing w:val="5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b/>
                          <w:bCs/>
                          <w:color w:val="2F5DCB"/>
                        </w:rPr>
                        <w:t>.o.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pacing w:val="3"/>
                          <w:sz w:val="16"/>
                          <w:szCs w:val="16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b/>
                          <w:bCs/>
                          <w:sz w:val="16"/>
                          <w:szCs w:val="16"/>
                          <w:shd w:val="clear" w:color="auto" w:fill="000000"/>
                        </w:rPr>
                        <w:t>​....</w:t>
                      </w:r>
                      <w:r>
                        <w:rPr>
                          <w:rStyle w:val="CharStyle3"/>
                          <w:b/>
                          <w:bCs/>
                          <w:spacing w:val="1"/>
                          <w:sz w:val="16"/>
                          <w:szCs w:val="16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b/>
                          <w:bCs/>
                          <w:sz w:val="16"/>
                          <w:szCs w:val="16"/>
                          <w:shd w:val="clear" w:color="auto" w:fill="000000"/>
                        </w:rPr>
                        <w:t>​...</w:t>
                      </w:r>
                      <w:r>
                        <w:rPr>
                          <w:rStyle w:val="CharStyle3"/>
                          <w:b/>
                          <w:bCs/>
                          <w:spacing w:val="1"/>
                          <w:sz w:val="16"/>
                          <w:szCs w:val="1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b/>
                          <w:bCs/>
                          <w:sz w:val="16"/>
                          <w:szCs w:val="16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b/>
                          <w:bCs/>
                          <w:spacing w:val="14"/>
                          <w:sz w:val="16"/>
                          <w:szCs w:val="1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b/>
                          <w:bCs/>
                          <w:color w:val="2F5DCB"/>
                          <w:sz w:val="16"/>
                          <w:szCs w:val="16"/>
                        </w:rPr>
                        <w:t>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2246630</wp:posOffset>
                </wp:positionH>
                <wp:positionV relativeFrom="paragraph">
                  <wp:posOffset>533400</wp:posOffset>
                </wp:positionV>
                <wp:extent cx="768350" cy="32893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8350" cy="328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17"/>
                                <w:szCs w:val="17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z w:val="17"/>
                                <w:szCs w:val="17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spacing w:val="1"/>
                                <w:sz w:val="17"/>
                                <w:szCs w:val="17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76.90000000000001pt;margin-top:42.pt;width:60.5pt;height:25.900000000000002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3"/>
                          <w:b/>
                          <w:bCs/>
                          <w:spacing w:val="1"/>
                          <w:shd w:val="clear" w:color="auto" w:fill="000000"/>
                        </w:rPr>
                        <w:t>........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17"/>
                          <w:szCs w:val="17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3"/>
                          <w:b/>
                          <w:bCs/>
                          <w:spacing w:val="1"/>
                          <w:sz w:val="17"/>
                          <w:szCs w:val="17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"/>
                          <w:b/>
                          <w:bCs/>
                          <w:sz w:val="17"/>
                          <w:szCs w:val="17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3"/>
                          <w:b/>
                          <w:bCs/>
                          <w:spacing w:val="1"/>
                          <w:sz w:val="17"/>
                          <w:szCs w:val="17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911225" distL="120650" distR="342900" simplePos="0" relativeHeight="125829384" behindDoc="0" locked="0" layoutInCell="1" allowOverlap="1">
            <wp:simplePos x="0" y="0"/>
            <wp:positionH relativeFrom="page">
              <wp:posOffset>4566285</wp:posOffset>
            </wp:positionH>
            <wp:positionV relativeFrom="paragraph">
              <wp:posOffset>190500</wp:posOffset>
            </wp:positionV>
            <wp:extent cx="1889760" cy="822960"/>
            <wp:wrapSquare wrapText="left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889760" cy="8229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4559935</wp:posOffset>
                </wp:positionH>
                <wp:positionV relativeFrom="paragraph">
                  <wp:posOffset>1016635</wp:posOffset>
                </wp:positionV>
                <wp:extent cx="1779905" cy="16129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7990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Poskytovatel CRDR spol. s r.o.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59.05000000000001pt;margin-top:80.049999999999997pt;width:140.15000000000001pt;height:12.70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Poskytovatel CRDR spol. s r.o.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990600" distB="0" distL="638810" distR="114300" simplePos="0" relativeHeight="125829385" behindDoc="0" locked="0" layoutInCell="1" allowOverlap="1">
                <wp:simplePos x="0" y="0"/>
                <wp:positionH relativeFrom="page">
                  <wp:posOffset>5084445</wp:posOffset>
                </wp:positionH>
                <wp:positionV relativeFrom="paragraph">
                  <wp:posOffset>1181100</wp:posOffset>
                </wp:positionV>
                <wp:extent cx="1597025" cy="743585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97025" cy="743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60"/>
                              <w:jc w:val="left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Style w:val="CharStyle24"/>
                                <w:b/>
                                <w:bCs/>
                                <w:i/>
                                <w:iCs/>
                                <w:color w:val="44B4F2"/>
                                <w:sz w:val="46"/>
                                <w:szCs w:val="46"/>
                              </w:rPr>
                              <w:t>BOZPcz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600" w:val="left"/>
                                <w:tab w:leader="underscore" w:pos="249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0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6"/>
                                <w:color w:val="5991C5"/>
                                <w:sz w:val="18"/>
                                <w:szCs w:val="18"/>
                              </w:rPr>
                              <w:t>Jana Masaryka 108/10 120 00 Praha 2 - VinohrjK^</w:t>
                            </w:r>
                            <w:r>
                              <w:rPr>
                                <w:rStyle w:val="CharStyle6"/>
                                <w:color w:val="5991C5"/>
                                <w:sz w:val="18"/>
                                <w:szCs w:val="18"/>
                                <w:vertAlign w:val="subscript"/>
                              </w:rPr>
                              <w:t>e</w:t>
                            </w:r>
                            <w:r>
                              <w:rPr>
                                <w:rStyle w:val="CharStyle6"/>
                                <w:color w:val="5991C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CharStyle6"/>
                                <w:color w:val="DC789E"/>
                                <w:sz w:val="18"/>
                                <w:szCs w:val="18"/>
                              </w:rPr>
                              <w:t xml:space="preserve">2 </w:t>
                              <w:tab/>
                            </w:r>
                            <w:r>
                              <w:rPr>
                                <w:rStyle w:val="CharStyle6"/>
                                <w:color w:val="5991C5"/>
                                <w:sz w:val="18"/>
                                <w:szCs w:val="18"/>
                              </w:rPr>
                              <w:t>IČ-28500679</w:t>
                            </w:r>
                            <w:r>
                              <w:rPr>
                                <w:rStyle w:val="CharStyle6"/>
                                <w:color w:val="DC789E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400.35000000000002pt;margin-top:93.pt;width:125.75pt;height:58.550000000000004pt;z-index:-125829368;mso-wrap-distance-left:50.300000000000004pt;mso-wrap-distance-top:78.pt;mso-wrap-distance-right:9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60"/>
                        <w:jc w:val="left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rStyle w:val="CharStyle24"/>
                          <w:b/>
                          <w:bCs/>
                          <w:i/>
                          <w:iCs/>
                          <w:color w:val="44B4F2"/>
                          <w:sz w:val="46"/>
                          <w:szCs w:val="46"/>
                        </w:rPr>
                        <w:t>BOZPcz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600" w:val="left"/>
                          <w:tab w:leader="underscore" w:pos="2496" w:val="left"/>
                        </w:tabs>
                        <w:bidi w:val="0"/>
                        <w:spacing w:before="0" w:after="0" w:line="240" w:lineRule="auto"/>
                        <w:ind w:left="0" w:right="0" w:firstLine="20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6"/>
                          <w:color w:val="5991C5"/>
                          <w:sz w:val="18"/>
                          <w:szCs w:val="18"/>
                        </w:rPr>
                        <w:t>Jana Masaryka 108/10 120 00 Praha 2 - VinohrjK^</w:t>
                      </w:r>
                      <w:r>
                        <w:rPr>
                          <w:rStyle w:val="CharStyle6"/>
                          <w:color w:val="5991C5"/>
                          <w:sz w:val="18"/>
                          <w:szCs w:val="18"/>
                          <w:vertAlign w:val="subscript"/>
                        </w:rPr>
                        <w:t>e</w:t>
                      </w:r>
                      <w:r>
                        <w:rPr>
                          <w:rStyle w:val="CharStyle6"/>
                          <w:color w:val="5991C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CharStyle6"/>
                          <w:color w:val="DC789E"/>
                          <w:sz w:val="18"/>
                          <w:szCs w:val="18"/>
                        </w:rPr>
                        <w:t xml:space="preserve">2 </w:t>
                        <w:tab/>
                      </w:r>
                      <w:r>
                        <w:rPr>
                          <w:rStyle w:val="CharStyle6"/>
                          <w:color w:val="5991C5"/>
                          <w:sz w:val="18"/>
                          <w:szCs w:val="18"/>
                        </w:rPr>
                        <w:t>IČ-28500679</w:t>
                      </w:r>
                      <w:r>
                        <w:rPr>
                          <w:rStyle w:val="CharStyle6"/>
                          <w:color w:val="DC789E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6"/>
        </w:rPr>
        <w:t>V Praze dne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00" w:line="115" w:lineRule="atLeast"/>
        <w:ind w:left="-1440" w:right="0" w:firstLine="1440"/>
        <w:jc w:val="left"/>
      </w:pPr>
      <w:r>
        <w:rPr>
          <w:rStyle w:val="CharStyle6"/>
        </w:rPr>
        <w:t>Objednatel Z</w:t>
      </w:r>
      <w:r>
        <w:rPr>
          <w:rStyle w:val="CharStyle6"/>
          <w:spacing w:val="1"/>
          <w:shd w:val="clear" w:color="auto" w:fill="000000"/>
        </w:rPr>
        <w:t>...................</w:t>
      </w:r>
      <w:r>
        <w:rPr>
          <w:rStyle w:val="CharStyle6"/>
          <w:shd w:val="clear" w:color="auto" w:fill="000000"/>
        </w:rPr>
        <w:t>​</w:t>
      </w:r>
      <w:r>
        <w:rPr>
          <w:rStyle w:val="CharStyle6"/>
          <w:spacing w:val="1"/>
          <w:shd w:val="clear" w:color="auto" w:fill="000000"/>
        </w:rPr>
        <w:t>....</w:t>
      </w:r>
      <w:r>
        <w:rPr>
          <w:rStyle w:val="CharStyle6"/>
          <w:spacing w:val="2"/>
          <w:shd w:val="clear" w:color="auto" w:fill="000000"/>
        </w:rPr>
        <w:t>.............</w:t>
      </w:r>
      <w:r>
        <w:rPr>
          <w:rStyle w:val="CharStyle6"/>
          <w:shd w:val="clear" w:color="auto" w:fill="000000"/>
        </w:rPr>
        <w:t>​</w:t>
      </w:r>
      <w:r>
        <w:rPr>
          <w:rStyle w:val="CharStyle6"/>
          <w:spacing w:val="2"/>
          <w:shd w:val="clear" w:color="auto" w:fill="000000"/>
        </w:rPr>
        <w:t>..........</w:t>
      </w:r>
      <w:r>
        <w:rPr>
          <w:rStyle w:val="CharStyle6"/>
        </w:rPr>
        <w:t xml:space="preserve"> </w:t>
        <w:drawing>
          <wp:inline>
            <wp:extent cx="1481455" cy="30480"/>
            <wp:docPr id="21" name="Picut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481455" cy="30480"/>
                    </a:xfrm>
                    <a:prstGeom prst="rect"/>
                  </pic:spPr>
                </pic:pic>
              </a:graphicData>
            </a:graphic>
          </wp:inline>
        </w:drawing>
        <w:t xml:space="preserve"> Jihomoravského kraje,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6"/>
          <w:b/>
          <w:bCs/>
          <w:i/>
          <w:iCs/>
          <w:color w:val="A3B8D2"/>
        </w:rPr>
        <w:t>Dodatek smlouvy o poskytování e-learningu</w:t>
      </w:r>
    </w:p>
    <w:sectPr>
      <w:footerReference w:type="default" r:id="rId13"/>
      <w:footerReference w:type="even" r:id="rId14"/>
      <w:footnotePr>
        <w:pos w:val="pageBottom"/>
        <w:numFmt w:val="decimal"/>
        <w:numRestart w:val="continuous"/>
      </w:footnotePr>
      <w:pgSz w:w="11900" w:h="16840"/>
      <w:pgMar w:top="601" w:right="1358" w:bottom="973" w:left="137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10139680</wp:posOffset>
              </wp:positionV>
              <wp:extent cx="5715000" cy="103505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500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i/>
                              <w:iCs/>
                              <w:color w:val="A3B8D2"/>
                              <w:sz w:val="13"/>
                              <w:szCs w:val="13"/>
                            </w:rPr>
                            <w:t>CRDR s.r.o.</w:t>
                          </w:r>
                          <w:r>
                            <w:rPr>
                              <w:rStyle w:val="CharStyle32"/>
                              <w:rFonts w:ascii="Arial" w:eastAsia="Arial" w:hAnsi="Arial" w:cs="Arial"/>
                              <w:color w:val="A3B8D2"/>
                              <w:sz w:val="13"/>
                              <w:szCs w:val="13"/>
                            </w:rPr>
                            <w:t xml:space="preserve"> I +420 724 </w:t>
                          </w:r>
                          <w:r>
                            <w:rPr>
                              <w:rStyle w:val="CharStyle32"/>
                              <w:rFonts w:ascii="Arial" w:eastAsia="Arial" w:hAnsi="Arial" w:cs="Arial"/>
                              <w:i/>
                              <w:iCs/>
                              <w:color w:val="A3B8D2"/>
                              <w:sz w:val="13"/>
                              <w:szCs w:val="13"/>
                            </w:rPr>
                            <w:t xml:space="preserve">888 101 | </w:t>
                          </w:r>
                          <w:r>
                            <w:rPr>
                              <w:rStyle w:val="CharStyle32"/>
                              <w:rFonts w:ascii="Arial" w:eastAsia="Arial" w:hAnsi="Arial" w:cs="Arial"/>
                              <w:i/>
                              <w:iCs/>
                              <w:color w:val="A3B8D2"/>
                              <w:sz w:val="13"/>
                              <w:szCs w:val="13"/>
                              <w:lang w:val="en-US" w:eastAsia="en-US" w:bidi="en-US"/>
                            </w:rPr>
                            <w:t xml:space="preserve">infoQbozp.cz </w:t>
                          </w:r>
                          <w:r>
                            <w:rPr>
                              <w:rStyle w:val="CharStyle32"/>
                              <w:rFonts w:ascii="Arial" w:eastAsia="Arial" w:hAnsi="Arial" w:cs="Arial"/>
                              <w:i/>
                              <w:iCs/>
                              <w:color w:val="A3B8D2"/>
                              <w:sz w:val="13"/>
                              <w:szCs w:val="13"/>
                            </w:rPr>
                            <w:t xml:space="preserve">| </w:t>
                          </w:r>
                          <w:r>
                            <w:rPr>
                              <w:rStyle w:val="CharStyle32"/>
                              <w:rFonts w:ascii="Arial" w:eastAsia="Arial" w:hAnsi="Arial" w:cs="Arial"/>
                              <w:i/>
                              <w:iCs/>
                              <w:color w:val="A3B8D2"/>
                              <w:sz w:val="13"/>
                              <w:szCs w:val="13"/>
                              <w:lang w:val="en-US" w:eastAsia="en-US" w:bidi="en-US"/>
                            </w:rPr>
                            <w:t xml:space="preserve">www.BOZP.cz </w:t>
                          </w:r>
                          <w:r>
                            <w:rPr>
                              <w:rStyle w:val="CharStyle32"/>
                              <w:rFonts w:ascii="Arial" w:eastAsia="Arial" w:hAnsi="Arial" w:cs="Arial"/>
                              <w:i/>
                              <w:iCs/>
                              <w:color w:val="A3B8D2"/>
                              <w:sz w:val="13"/>
                              <w:szCs w:val="13"/>
                            </w:rPr>
                            <w:t>pobočky Praha. Brno. Ostrava, Plzeň, Hradec Králové, České Budějovice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70.600000000000009pt;margin-top:798.39999999999998pt;width:450.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  <w:color w:val="A3B8D2"/>
                        <w:sz w:val="13"/>
                        <w:szCs w:val="13"/>
                      </w:rPr>
                      <w:t>CRDR s.r.o.</w:t>
                    </w:r>
                    <w:r>
                      <w:rPr>
                        <w:rStyle w:val="CharStyle32"/>
                        <w:rFonts w:ascii="Arial" w:eastAsia="Arial" w:hAnsi="Arial" w:cs="Arial"/>
                        <w:color w:val="A3B8D2"/>
                        <w:sz w:val="13"/>
                        <w:szCs w:val="13"/>
                      </w:rPr>
                      <w:t xml:space="preserve"> I +420 724 </w:t>
                    </w: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  <w:color w:val="A3B8D2"/>
                        <w:sz w:val="13"/>
                        <w:szCs w:val="13"/>
                      </w:rPr>
                      <w:t xml:space="preserve">888 101 | </w:t>
                    </w: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  <w:color w:val="A3B8D2"/>
                        <w:sz w:val="13"/>
                        <w:szCs w:val="13"/>
                        <w:lang w:val="en-US" w:eastAsia="en-US" w:bidi="en-US"/>
                      </w:rPr>
                      <w:t xml:space="preserve">infoQbozp.cz </w:t>
                    </w: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  <w:color w:val="A3B8D2"/>
                        <w:sz w:val="13"/>
                        <w:szCs w:val="13"/>
                      </w:rPr>
                      <w:t xml:space="preserve">| </w:t>
                    </w: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  <w:color w:val="A3B8D2"/>
                        <w:sz w:val="13"/>
                        <w:szCs w:val="13"/>
                        <w:lang w:val="en-US" w:eastAsia="en-US" w:bidi="en-US"/>
                      </w:rPr>
                      <w:t xml:space="preserve">www.BOZP.cz </w:t>
                    </w: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  <w:color w:val="A3B8D2"/>
                        <w:sz w:val="13"/>
                        <w:szCs w:val="13"/>
                      </w:rPr>
                      <w:t>pobočky Praha. Brno. Ostrava, Plzeň, Hradec Králové, České Budějovice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890270</wp:posOffset>
              </wp:positionH>
              <wp:positionV relativeFrom="page">
                <wp:posOffset>10064750</wp:posOffset>
              </wp:positionV>
              <wp:extent cx="5772785" cy="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7727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100000000000009pt;margin-top:792.5pt;width:454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10079990</wp:posOffset>
              </wp:positionV>
              <wp:extent cx="5711825" cy="11303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1182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CharStyle32"/>
                              <w:rFonts w:ascii="Arial" w:eastAsia="Arial" w:hAnsi="Arial" w:cs="Arial"/>
                              <w:i/>
                              <w:iCs/>
                              <w:color w:val="A3B8D2"/>
                              <w:sz w:val="13"/>
                              <w:szCs w:val="13"/>
                            </w:rPr>
                            <w:t xml:space="preserve">CRDR s.r.o. | +420 724 888101 | </w:t>
                          </w:r>
                          <w:r>
                            <w:rPr>
                              <w:rStyle w:val="CharStyle32"/>
                              <w:rFonts w:ascii="Arial" w:eastAsia="Arial" w:hAnsi="Arial" w:cs="Arial"/>
                              <w:i/>
                              <w:iCs/>
                              <w:color w:val="A3B8D2"/>
                              <w:sz w:val="13"/>
                              <w:szCs w:val="13"/>
                              <w:lang w:val="en-US" w:eastAsia="en-US" w:bidi="en-US"/>
                            </w:rPr>
                            <w:t xml:space="preserve">info@bozp.cz </w:t>
                          </w:r>
                          <w:r>
                            <w:rPr>
                              <w:rStyle w:val="CharStyle32"/>
                              <w:rFonts w:ascii="Arial" w:eastAsia="Arial" w:hAnsi="Arial" w:cs="Arial"/>
                              <w:i/>
                              <w:iCs/>
                              <w:color w:val="A3B8D2"/>
                              <w:sz w:val="13"/>
                              <w:szCs w:val="13"/>
                            </w:rPr>
                            <w:t xml:space="preserve">| </w:t>
                          </w:r>
                          <w:r>
                            <w:rPr>
                              <w:rStyle w:val="CharStyle32"/>
                              <w:rFonts w:ascii="Arial" w:eastAsia="Arial" w:hAnsi="Arial" w:cs="Arial"/>
                              <w:i/>
                              <w:iCs/>
                              <w:color w:val="A3B8D2"/>
                              <w:sz w:val="13"/>
                              <w:szCs w:val="13"/>
                              <w:lang w:val="en-US" w:eastAsia="en-US" w:bidi="en-US"/>
                            </w:rPr>
                            <w:t xml:space="preserve">www.BOZP.cz </w:t>
                          </w:r>
                          <w:r>
                            <w:rPr>
                              <w:rStyle w:val="CharStyle32"/>
                              <w:rFonts w:ascii="Arial" w:eastAsia="Arial" w:hAnsi="Arial" w:cs="Arial"/>
                              <w:i/>
                              <w:iCs/>
                              <w:color w:val="A3B8D2"/>
                              <w:sz w:val="13"/>
                              <w:szCs w:val="13"/>
                            </w:rPr>
                            <w:t>pobočky Praha, Brno, Ostrava. Plzeň. Hradec Králové. České Budějovice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72.75pt;margin-top:793.70000000000005pt;width:449.75pt;height:8.9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  <w:color w:val="A3B8D2"/>
                        <w:sz w:val="13"/>
                        <w:szCs w:val="13"/>
                      </w:rPr>
                      <w:t xml:space="preserve">CRDR s.r.o. | +420 724 888101 | </w:t>
                    </w: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  <w:color w:val="A3B8D2"/>
                        <w:sz w:val="13"/>
                        <w:szCs w:val="13"/>
                        <w:lang w:val="en-US" w:eastAsia="en-US" w:bidi="en-US"/>
                      </w:rPr>
                      <w:t xml:space="preserve">info@bozp.cz </w:t>
                    </w: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  <w:color w:val="A3B8D2"/>
                        <w:sz w:val="13"/>
                        <w:szCs w:val="13"/>
                      </w:rPr>
                      <w:t xml:space="preserve">| </w:t>
                    </w: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  <w:color w:val="A3B8D2"/>
                        <w:sz w:val="13"/>
                        <w:szCs w:val="13"/>
                        <w:lang w:val="en-US" w:eastAsia="en-US" w:bidi="en-US"/>
                      </w:rPr>
                      <w:t xml:space="preserve">www.BOZP.cz </w:t>
                    </w:r>
                    <w:r>
                      <w:rPr>
                        <w:rStyle w:val="CharStyle32"/>
                        <w:rFonts w:ascii="Arial" w:eastAsia="Arial" w:hAnsi="Arial" w:cs="Arial"/>
                        <w:i/>
                        <w:iCs/>
                        <w:color w:val="A3B8D2"/>
                        <w:sz w:val="13"/>
                        <w:szCs w:val="13"/>
                      </w:rPr>
                      <w:t>pobočky Praha, Brno, Ostrava. Plzeň. Hradec Králové. České Budějovice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10015855</wp:posOffset>
              </wp:positionV>
              <wp:extent cx="5775960" cy="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7759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799999999999997pt;margin-top:788.64999999999998pt;width:454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/>
        <w:iCs/>
        <w:smallCaps w:val="0"/>
        <w:strike w:val="0"/>
        <w:color w:val="5991C5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2"/>
      <w:numFmt w:val="decimal"/>
      <w:lvlText w:val="%1."/>
    </w:lvl>
    <w:lvl w:ilvl="1">
      <w:start w:val="3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CharStyle29">
    <w:name w:val="Nadpis #1_"/>
    <w:basedOn w:val="DefaultParagraphFont"/>
    <w:link w:val="Style28"/>
    <w:rPr>
      <w:rFonts w:ascii="Arial" w:eastAsia="Arial" w:hAnsi="Arial" w:cs="Arial"/>
      <w:b/>
      <w:bCs/>
      <w:i/>
      <w:iCs/>
      <w:smallCaps w:val="0"/>
      <w:strike w:val="0"/>
      <w:color w:val="A3B8D2"/>
      <w:sz w:val="58"/>
      <w:szCs w:val="58"/>
      <w:u w:val="none"/>
    </w:rPr>
  </w:style>
  <w:style w:type="character" w:customStyle="1" w:styleId="CharStyle32">
    <w:name w:val="Záhlaví nebo zápatí (2)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6">
    <w:name w:val="Nadpis #2_"/>
    <w:basedOn w:val="DefaultParagraphFont"/>
    <w:link w:val="Style35"/>
    <w:rPr>
      <w:rFonts w:ascii="Calibri" w:eastAsia="Calibri" w:hAnsi="Calibri" w:cs="Calibri"/>
      <w:b w:val="0"/>
      <w:bCs w:val="0"/>
      <w:i/>
      <w:iCs/>
      <w:smallCaps w:val="0"/>
      <w:strike w:val="0"/>
      <w:color w:val="566A88"/>
      <w:sz w:val="28"/>
      <w:szCs w:val="28"/>
      <w:u w:val="none"/>
    </w:rPr>
  </w:style>
  <w:style w:type="character" w:customStyle="1" w:styleId="CharStyle39">
    <w:name w:val="Nadpis #3_"/>
    <w:basedOn w:val="DefaultParagraphFont"/>
    <w:link w:val="Style3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2">
    <w:name w:val="Titulek tabulky_"/>
    <w:basedOn w:val="DefaultParagraphFont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5">
    <w:name w:val="Jiné_"/>
    <w:basedOn w:val="DefaultParagraphFont"/>
    <w:link w:val="Style4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220" w:line="259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auto"/>
      <w:spacing w:after="140"/>
      <w:ind w:firstLine="80"/>
    </w:pPr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Style28">
    <w:name w:val="Nadpis #1"/>
    <w:basedOn w:val="Normal"/>
    <w:link w:val="CharStyle29"/>
    <w:pPr>
      <w:widowControl w:val="0"/>
      <w:shd w:val="clear" w:color="auto" w:fill="auto"/>
      <w:outlineLvl w:val="0"/>
    </w:pPr>
    <w:rPr>
      <w:rFonts w:ascii="Arial" w:eastAsia="Arial" w:hAnsi="Arial" w:cs="Arial"/>
      <w:b/>
      <w:bCs/>
      <w:i/>
      <w:iCs/>
      <w:smallCaps w:val="0"/>
      <w:strike w:val="0"/>
      <w:color w:val="A3B8D2"/>
      <w:sz w:val="58"/>
      <w:szCs w:val="58"/>
      <w:u w:val="none"/>
    </w:rPr>
  </w:style>
  <w:style w:type="paragraph" w:customStyle="1" w:styleId="Style31">
    <w:name w:val="Záhlaví nebo zápatí (2)"/>
    <w:basedOn w:val="Normal"/>
    <w:link w:val="CharStyle3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5">
    <w:name w:val="Nadpis #2"/>
    <w:basedOn w:val="Normal"/>
    <w:link w:val="CharStyle36"/>
    <w:pPr>
      <w:widowControl w:val="0"/>
      <w:shd w:val="clear" w:color="auto" w:fill="auto"/>
      <w:spacing w:after="410" w:line="190" w:lineRule="auto"/>
      <w:outlineLvl w:val="1"/>
    </w:pPr>
    <w:rPr>
      <w:rFonts w:ascii="Calibri" w:eastAsia="Calibri" w:hAnsi="Calibri" w:cs="Calibri"/>
      <w:b w:val="0"/>
      <w:bCs w:val="0"/>
      <w:i/>
      <w:iCs/>
      <w:smallCaps w:val="0"/>
      <w:strike w:val="0"/>
      <w:color w:val="566A88"/>
      <w:sz w:val="28"/>
      <w:szCs w:val="28"/>
      <w:u w:val="none"/>
    </w:rPr>
  </w:style>
  <w:style w:type="paragraph" w:customStyle="1" w:styleId="Style38">
    <w:name w:val="Nadpis #3"/>
    <w:basedOn w:val="Normal"/>
    <w:link w:val="CharStyle39"/>
    <w:pPr>
      <w:widowControl w:val="0"/>
      <w:shd w:val="clear" w:color="auto" w:fill="auto"/>
      <w:spacing w:after="24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1">
    <w:name w:val="Titulek tabulky"/>
    <w:basedOn w:val="Normal"/>
    <w:link w:val="CharStyle42"/>
    <w:pPr>
      <w:widowControl w:val="0"/>
      <w:shd w:val="clear" w:color="auto" w:fill="auto"/>
      <w:spacing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4">
    <w:name w:val="Jiné"/>
    <w:basedOn w:val="Normal"/>
    <w:link w:val="CharStyle45"/>
    <w:pPr>
      <w:widowControl w:val="0"/>
      <w:shd w:val="clear" w:color="auto" w:fill="auto"/>
      <w:spacing w:after="220" w:line="259" w:lineRule="auto"/>
    </w:pPr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/Relationships>
</file>