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4240C6ED" w:rsidR="00540D6F" w:rsidRPr="00233625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33625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233625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233625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233625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23362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233625">
        <w:rPr>
          <w:rFonts w:asciiTheme="minorHAnsi" w:hAnsiTheme="minorHAnsi" w:cs="Arial"/>
          <w:b/>
          <w:bCs/>
          <w:sz w:val="28"/>
          <w:szCs w:val="28"/>
        </w:rPr>
        <w:t>2</w:t>
      </w:r>
      <w:r w:rsidR="0077489E" w:rsidRPr="00233625">
        <w:rPr>
          <w:rFonts w:asciiTheme="minorHAnsi" w:hAnsiTheme="minorHAnsi" w:cs="Arial"/>
          <w:b/>
          <w:bCs/>
          <w:sz w:val="28"/>
          <w:szCs w:val="28"/>
        </w:rPr>
        <w:t>40</w:t>
      </w:r>
      <w:r w:rsidR="008D374B" w:rsidRPr="00233625">
        <w:rPr>
          <w:rFonts w:asciiTheme="minorHAnsi" w:hAnsiTheme="minorHAnsi" w:cs="Arial"/>
          <w:b/>
          <w:bCs/>
          <w:sz w:val="28"/>
          <w:szCs w:val="28"/>
        </w:rPr>
        <w:t>532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233625">
      <w:pPr>
        <w:jc w:val="both"/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233625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23362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F9559F8" w14:textId="45594FA6" w:rsidR="00F16CAD" w:rsidRDefault="00F16CAD" w:rsidP="00233625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233625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233625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23362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23362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233625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23362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233625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5F999A8C" w:rsidR="00355AFB" w:rsidRPr="007B79FD" w:rsidRDefault="00A643F8" w:rsidP="00233625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FUEL</w:t>
      </w:r>
      <w:r w:rsidR="00355AFB"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>, s.r.o.</w:t>
      </w:r>
    </w:p>
    <w:p w14:paraId="2BAA7BD1" w14:textId="7D88365F" w:rsidR="00355AFB" w:rsidRPr="007B79FD" w:rsidRDefault="00355AFB" w:rsidP="00233625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A643F8">
        <w:rPr>
          <w:rFonts w:asciiTheme="minorHAnsi" w:hAnsiTheme="minorHAnsi" w:cstheme="minorHAnsi"/>
          <w:color w:val="2A2A28"/>
          <w:sz w:val="24"/>
          <w:szCs w:val="24"/>
        </w:rPr>
        <w:t>Na Strži</w:t>
      </w:r>
      <w:r w:rsidR="00143056">
        <w:rPr>
          <w:rFonts w:asciiTheme="minorHAnsi" w:hAnsiTheme="minorHAnsi" w:cstheme="minorHAnsi"/>
          <w:color w:val="2A2A28"/>
          <w:sz w:val="24"/>
          <w:szCs w:val="24"/>
        </w:rPr>
        <w:t xml:space="preserve"> 1</w:t>
      </w:r>
      <w:r w:rsidR="00E25968">
        <w:rPr>
          <w:rFonts w:asciiTheme="minorHAnsi" w:hAnsiTheme="minorHAnsi" w:cstheme="minorHAnsi"/>
          <w:color w:val="2A2A28"/>
          <w:sz w:val="24"/>
          <w:szCs w:val="24"/>
        </w:rPr>
        <w:t>702</w:t>
      </w:r>
      <w:r w:rsidR="00143056">
        <w:rPr>
          <w:rFonts w:asciiTheme="minorHAnsi" w:hAnsiTheme="minorHAnsi" w:cstheme="minorHAnsi"/>
          <w:color w:val="2A2A28"/>
          <w:sz w:val="24"/>
          <w:szCs w:val="24"/>
        </w:rPr>
        <w:t>/</w:t>
      </w:r>
      <w:r w:rsidR="00E25968">
        <w:rPr>
          <w:rFonts w:asciiTheme="minorHAnsi" w:hAnsiTheme="minorHAnsi" w:cstheme="minorHAnsi"/>
          <w:color w:val="2A2A28"/>
          <w:sz w:val="24"/>
          <w:szCs w:val="24"/>
        </w:rPr>
        <w:t>65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>, 1</w:t>
      </w:r>
      <w:r w:rsidR="00143056">
        <w:rPr>
          <w:rFonts w:asciiTheme="minorHAnsi" w:hAnsiTheme="minorHAnsi" w:cstheme="minorHAnsi"/>
          <w:color w:val="2A2A28"/>
          <w:sz w:val="24"/>
          <w:szCs w:val="24"/>
        </w:rPr>
        <w:t>4</w:t>
      </w:r>
      <w:r w:rsidR="00E25968">
        <w:rPr>
          <w:rFonts w:asciiTheme="minorHAnsi" w:hAnsiTheme="minorHAnsi" w:cstheme="minorHAnsi"/>
          <w:color w:val="2A2A28"/>
          <w:sz w:val="24"/>
          <w:szCs w:val="24"/>
        </w:rPr>
        <w:t>0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00 Praha </w:t>
      </w:r>
      <w:r w:rsidR="00E25968">
        <w:rPr>
          <w:rFonts w:asciiTheme="minorHAnsi" w:hAnsiTheme="minorHAnsi" w:cstheme="minorHAnsi"/>
          <w:color w:val="2A2A28"/>
          <w:sz w:val="24"/>
          <w:szCs w:val="24"/>
        </w:rPr>
        <w:t>4</w:t>
      </w:r>
    </w:p>
    <w:p w14:paraId="228C3CAC" w14:textId="6F6D0EDC" w:rsidR="00355AFB" w:rsidRPr="00BE384E" w:rsidRDefault="00355AFB" w:rsidP="00233625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BE384E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060CDE" w:rsidRPr="00BE384E">
        <w:rPr>
          <w:rStyle w:val="FontStyle31"/>
          <w:rFonts w:asciiTheme="minorHAnsi" w:hAnsiTheme="minorHAnsi" w:cstheme="minorHAnsi"/>
          <w:sz w:val="24"/>
          <w:szCs w:val="24"/>
        </w:rPr>
        <w:t>278 72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> </w:t>
      </w:r>
      <w:r w:rsidR="00060CDE" w:rsidRPr="00BE384E">
        <w:rPr>
          <w:rStyle w:val="FontStyle31"/>
          <w:rFonts w:asciiTheme="minorHAnsi" w:hAnsiTheme="minorHAnsi" w:cstheme="minorHAnsi"/>
          <w:sz w:val="24"/>
          <w:szCs w:val="24"/>
        </w:rPr>
        <w:t>858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 xml:space="preserve">, </w:t>
      </w:r>
      <w:r w:rsidRPr="00BE384E">
        <w:rPr>
          <w:rFonts w:asciiTheme="minorHAnsi" w:hAnsiTheme="minorHAnsi" w:cstheme="minorHAnsi"/>
          <w:color w:val="2A2A28"/>
          <w:sz w:val="24"/>
          <w:szCs w:val="24"/>
        </w:rPr>
        <w:t>DIČ: CZ</w:t>
      </w:r>
      <w:r w:rsidR="00060CDE" w:rsidRPr="00BE384E">
        <w:rPr>
          <w:rStyle w:val="FontStyle31"/>
          <w:rFonts w:asciiTheme="minorHAnsi" w:hAnsiTheme="minorHAnsi" w:cstheme="minorHAnsi"/>
          <w:sz w:val="24"/>
          <w:szCs w:val="24"/>
        </w:rPr>
        <w:t>278 72 858</w:t>
      </w:r>
    </w:p>
    <w:p w14:paraId="55C3A27D" w14:textId="7DB52AEE" w:rsidR="00355AFB" w:rsidRPr="007B79FD" w:rsidRDefault="00355AFB" w:rsidP="00233625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Zastoupená: </w:t>
      </w:r>
      <w:r w:rsidR="009F1507">
        <w:rPr>
          <w:rFonts w:asciiTheme="minorHAnsi" w:hAnsiTheme="minorHAnsi" w:cstheme="minorHAnsi"/>
          <w:color w:val="2A2A28"/>
          <w:sz w:val="24"/>
          <w:szCs w:val="24"/>
        </w:rPr>
        <w:t>Jiří Pokorný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>, jednatel</w:t>
      </w:r>
    </w:p>
    <w:p w14:paraId="1A29913C" w14:textId="067107B6" w:rsidR="00355AFB" w:rsidRPr="00355AFB" w:rsidRDefault="00355AFB" w:rsidP="00233625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oddíl C, vložka </w:t>
      </w:r>
      <w:bookmarkEnd w:id="0"/>
      <w:bookmarkEnd w:id="1"/>
      <w:r w:rsidR="009F1507">
        <w:rPr>
          <w:rFonts w:asciiTheme="minorHAnsi" w:hAnsiTheme="minorHAnsi"/>
          <w:sz w:val="24"/>
          <w:szCs w:val="24"/>
        </w:rPr>
        <w:t>123207</w:t>
      </w:r>
    </w:p>
    <w:p w14:paraId="51DB8A79" w14:textId="77777777" w:rsidR="00BD7AAD" w:rsidRPr="00242159" w:rsidRDefault="00AD7F17" w:rsidP="0023362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3EDE3B22" w14:textId="77777777" w:rsidR="00233625" w:rsidRDefault="00233625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13D438C6" w:rsidR="00C5032E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</w:r>
      <w:r w:rsidR="009E34AF">
        <w:rPr>
          <w:rFonts w:asciiTheme="minorHAnsi" w:hAnsiTheme="minorHAnsi" w:cstheme="minorHAnsi"/>
          <w:sz w:val="24"/>
          <w:szCs w:val="24"/>
        </w:rPr>
        <w:t>hlavní schodiště</w:t>
      </w:r>
      <w:r w:rsidRPr="00F84CE4">
        <w:rPr>
          <w:rFonts w:asciiTheme="minorHAnsi" w:hAnsiTheme="minorHAnsi" w:cstheme="minorHAnsi"/>
          <w:sz w:val="24"/>
          <w:szCs w:val="24"/>
        </w:rPr>
        <w:t>;</w:t>
      </w:r>
    </w:p>
    <w:p w14:paraId="7C3B25FE" w14:textId="77777777" w:rsidR="00C5032E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b)</w:t>
      </w:r>
      <w:r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60FAF4FF" w14:textId="0D47F8D9" w:rsidR="00C5032E" w:rsidRPr="00F84CE4" w:rsidRDefault="00C5032E" w:rsidP="001E504F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c)</w:t>
      </w:r>
      <w:r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7BF7D3AE" w14:textId="3A362809" w:rsidR="009506B2" w:rsidRDefault="004C5EF1" w:rsidP="009506B2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  <w:r w:rsidR="002B62E0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741EFD3E" w14:textId="77777777" w:rsidR="000E7970" w:rsidRPr="00F84CE4" w:rsidRDefault="000E7970" w:rsidP="009506B2">
      <w:pPr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233625">
      <w:pPr>
        <w:pStyle w:val="Bezmezer"/>
        <w:rPr>
          <w:rFonts w:ascii="Calibri" w:hAnsi="Calibri" w:cs="Calibri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58BB4DD3" w14:textId="03B1D6B8" w:rsidR="00C61812" w:rsidRPr="001D7B5B" w:rsidRDefault="003C13C0" w:rsidP="00233625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233625">
        <w:rPr>
          <w:rFonts w:asciiTheme="minorHAnsi" w:hAnsiTheme="minorHAnsi" w:cs="Arial"/>
          <w:sz w:val="24"/>
          <w:szCs w:val="24"/>
        </w:rPr>
        <w:t>2</w:t>
      </w:r>
      <w:r w:rsidR="009E34AF" w:rsidRPr="00233625">
        <w:rPr>
          <w:rFonts w:asciiTheme="minorHAnsi" w:hAnsiTheme="minorHAnsi" w:cs="Arial"/>
          <w:sz w:val="24"/>
          <w:szCs w:val="24"/>
        </w:rPr>
        <w:t>7</w:t>
      </w:r>
      <w:r w:rsidR="0025537F" w:rsidRPr="00233625">
        <w:rPr>
          <w:rFonts w:asciiTheme="minorHAnsi" w:hAnsiTheme="minorHAnsi" w:cs="Arial"/>
          <w:sz w:val="24"/>
          <w:szCs w:val="24"/>
        </w:rPr>
        <w:t>.</w:t>
      </w:r>
      <w:r w:rsidR="00D1586D" w:rsidRPr="00233625">
        <w:rPr>
          <w:rFonts w:asciiTheme="minorHAnsi" w:hAnsiTheme="minorHAnsi" w:cs="Arial"/>
          <w:sz w:val="24"/>
          <w:szCs w:val="24"/>
        </w:rPr>
        <w:t xml:space="preserve"> </w:t>
      </w:r>
      <w:r w:rsidR="00421DF6" w:rsidRPr="00233625">
        <w:rPr>
          <w:rFonts w:asciiTheme="minorHAnsi" w:hAnsiTheme="minorHAnsi" w:cs="Arial"/>
          <w:sz w:val="24"/>
          <w:szCs w:val="24"/>
        </w:rPr>
        <w:t>5</w:t>
      </w:r>
      <w:r w:rsidR="00D1586D" w:rsidRPr="00233625">
        <w:rPr>
          <w:rFonts w:asciiTheme="minorHAnsi" w:hAnsiTheme="minorHAnsi" w:cs="Arial"/>
          <w:sz w:val="24"/>
          <w:szCs w:val="24"/>
        </w:rPr>
        <w:t>.</w:t>
      </w:r>
      <w:r w:rsidR="0025537F" w:rsidRPr="00233625">
        <w:rPr>
          <w:rFonts w:asciiTheme="minorHAnsi" w:hAnsiTheme="minorHAnsi" w:cs="Arial"/>
          <w:sz w:val="24"/>
          <w:szCs w:val="24"/>
        </w:rPr>
        <w:t xml:space="preserve"> 202</w:t>
      </w:r>
      <w:r w:rsidRPr="00233625">
        <w:rPr>
          <w:rFonts w:asciiTheme="minorHAnsi" w:hAnsiTheme="minorHAnsi" w:cs="Arial"/>
          <w:sz w:val="24"/>
          <w:szCs w:val="24"/>
        </w:rPr>
        <w:t>4</w:t>
      </w:r>
      <w:r w:rsidR="007D3110" w:rsidRPr="00233625">
        <w:rPr>
          <w:rFonts w:asciiTheme="minorHAnsi" w:hAnsiTheme="minorHAnsi" w:cs="Arial"/>
          <w:sz w:val="24"/>
          <w:szCs w:val="24"/>
        </w:rPr>
        <w:t>,</w:t>
      </w:r>
      <w:r w:rsidR="00D1586D" w:rsidRPr="00233625">
        <w:rPr>
          <w:rFonts w:asciiTheme="minorHAnsi" w:hAnsiTheme="minorHAnsi" w:cs="Arial"/>
          <w:sz w:val="24"/>
          <w:szCs w:val="24"/>
        </w:rPr>
        <w:t xml:space="preserve"> </w:t>
      </w:r>
      <w:r w:rsidRPr="00233625">
        <w:rPr>
          <w:rFonts w:asciiTheme="minorHAnsi" w:hAnsiTheme="minorHAnsi" w:cs="Arial"/>
          <w:sz w:val="24"/>
          <w:szCs w:val="24"/>
        </w:rPr>
        <w:t>1</w:t>
      </w:r>
      <w:r w:rsidR="00421DF6" w:rsidRPr="00233625">
        <w:rPr>
          <w:rFonts w:asciiTheme="minorHAnsi" w:hAnsiTheme="minorHAnsi" w:cs="Arial"/>
          <w:sz w:val="24"/>
          <w:szCs w:val="24"/>
        </w:rPr>
        <w:t>8</w:t>
      </w:r>
      <w:r w:rsidR="0025537F" w:rsidRPr="00233625">
        <w:rPr>
          <w:rFonts w:asciiTheme="minorHAnsi" w:hAnsiTheme="minorHAnsi" w:cs="Arial"/>
          <w:sz w:val="24"/>
          <w:szCs w:val="24"/>
        </w:rPr>
        <w:t>.</w:t>
      </w:r>
      <w:r w:rsidR="008A1127" w:rsidRPr="00233625">
        <w:rPr>
          <w:rFonts w:asciiTheme="minorHAnsi" w:hAnsiTheme="minorHAnsi" w:cs="Arial"/>
          <w:sz w:val="24"/>
          <w:szCs w:val="24"/>
        </w:rPr>
        <w:t>00</w:t>
      </w:r>
      <w:r w:rsidR="005C7EE9" w:rsidRPr="00233625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233625">
        <w:rPr>
          <w:rFonts w:asciiTheme="minorHAnsi" w:hAnsiTheme="minorHAnsi" w:cs="Arial"/>
          <w:sz w:val="24"/>
          <w:szCs w:val="24"/>
        </w:rPr>
        <w:t>–</w:t>
      </w:r>
      <w:r w:rsidR="004550DF" w:rsidRPr="00233625">
        <w:rPr>
          <w:rFonts w:asciiTheme="minorHAnsi" w:hAnsiTheme="minorHAnsi" w:cs="Arial"/>
          <w:sz w:val="24"/>
          <w:szCs w:val="24"/>
        </w:rPr>
        <w:t xml:space="preserve"> 2</w:t>
      </w:r>
      <w:r w:rsidR="00F85A66" w:rsidRPr="00233625">
        <w:rPr>
          <w:rFonts w:asciiTheme="minorHAnsi" w:hAnsiTheme="minorHAnsi" w:cs="Arial"/>
          <w:sz w:val="24"/>
          <w:szCs w:val="24"/>
        </w:rPr>
        <w:t>3</w:t>
      </w:r>
      <w:r w:rsidR="004550DF" w:rsidRPr="00233625">
        <w:rPr>
          <w:rFonts w:asciiTheme="minorHAnsi" w:hAnsiTheme="minorHAnsi" w:cs="Arial"/>
          <w:sz w:val="24"/>
          <w:szCs w:val="24"/>
        </w:rPr>
        <w:t>.00</w:t>
      </w:r>
      <w:r w:rsidR="007D3110" w:rsidRPr="00233625">
        <w:rPr>
          <w:rFonts w:asciiTheme="minorHAnsi" w:hAnsiTheme="minorHAnsi" w:cs="Arial"/>
          <w:sz w:val="24"/>
          <w:szCs w:val="24"/>
        </w:rPr>
        <w:t xml:space="preserve"> </w:t>
      </w:r>
      <w:r w:rsidR="00F85A66" w:rsidRPr="00233625">
        <w:rPr>
          <w:rFonts w:asciiTheme="minorHAnsi" w:hAnsiTheme="minorHAnsi" w:cs="Arial"/>
          <w:sz w:val="24"/>
          <w:szCs w:val="24"/>
        </w:rPr>
        <w:t>h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1A49D2B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3C48D7">
        <w:rPr>
          <w:rFonts w:asciiTheme="minorHAnsi" w:hAnsiTheme="minorHAnsi" w:cs="Arial"/>
          <w:sz w:val="24"/>
          <w:szCs w:val="24"/>
        </w:rPr>
        <w:t>m</w:t>
      </w:r>
      <w:r w:rsidR="00D000EC">
        <w:rPr>
          <w:rFonts w:asciiTheme="minorHAnsi" w:hAnsiTheme="minorHAnsi" w:cs="Arial"/>
          <w:sz w:val="24"/>
          <w:szCs w:val="24"/>
        </w:rPr>
        <w:t>ó</w:t>
      </w:r>
      <w:r w:rsidR="003C48D7">
        <w:rPr>
          <w:rFonts w:asciiTheme="minorHAnsi" w:hAnsiTheme="minorHAnsi" w:cs="Arial"/>
          <w:sz w:val="24"/>
          <w:szCs w:val="24"/>
        </w:rPr>
        <w:t>dní přehlídky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 xml:space="preserve">pro klienta </w:t>
      </w:r>
      <w:r w:rsidR="00F126EB">
        <w:rPr>
          <w:rFonts w:asciiTheme="minorHAnsi" w:hAnsiTheme="minorHAnsi" w:cs="Arial"/>
          <w:sz w:val="24"/>
          <w:szCs w:val="24"/>
        </w:rPr>
        <w:t>Lukáš M</w:t>
      </w:r>
      <w:r w:rsidR="00216BCF">
        <w:rPr>
          <w:rFonts w:asciiTheme="minorHAnsi" w:hAnsiTheme="minorHAnsi" w:cs="Arial"/>
          <w:sz w:val="24"/>
          <w:szCs w:val="24"/>
        </w:rPr>
        <w:t>a</w:t>
      </w:r>
      <w:r w:rsidR="00F126EB">
        <w:rPr>
          <w:rFonts w:asciiTheme="minorHAnsi" w:hAnsiTheme="minorHAnsi" w:cs="Arial"/>
          <w:sz w:val="24"/>
          <w:szCs w:val="24"/>
        </w:rPr>
        <w:t>cháček</w:t>
      </w:r>
      <w:r w:rsidR="00552137" w:rsidRPr="007B79FD">
        <w:rPr>
          <w:rFonts w:asciiTheme="minorHAnsi" w:hAnsiTheme="minorHAnsi" w:cs="Arial"/>
          <w:sz w:val="24"/>
          <w:szCs w:val="24"/>
        </w:rPr>
        <w:t>.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687453" w:rsidRDefault="004C6B58" w:rsidP="00687453">
      <w:pPr>
        <w:pStyle w:val="Bezmezer"/>
        <w:rPr>
          <w:rFonts w:ascii="Calibri" w:hAnsi="Calibri" w:cs="Calibri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22662FC9" w14:textId="674135F5" w:rsidR="00F610A5" w:rsidRPr="00FC3D4B" w:rsidRDefault="000C3610" w:rsidP="00F610A5">
      <w:pPr>
        <w:numPr>
          <w:ilvl w:val="0"/>
          <w:numId w:val="3"/>
        </w:numPr>
        <w:spacing w:after="120"/>
        <w:ind w:hanging="357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F610A5">
        <w:rPr>
          <w:rFonts w:asciiTheme="minorHAnsi" w:hAnsiTheme="minorHAnsi" w:cstheme="minorHAnsi"/>
          <w:sz w:val="24"/>
          <w:szCs w:val="24"/>
        </w:rPr>
        <w:t>Pronajímatel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 si vyhrazuje právo označit nevhodný model z kolekce Lukáše Macháčka, který nebude možno 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>před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>vést na přehlíd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>ce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 jeden měsíc před akcí</w:t>
      </w:r>
      <w:r w:rsidR="008F4DA4">
        <w:rPr>
          <w:rStyle w:val="FontStyle31"/>
          <w:rFonts w:asciiTheme="minorHAnsi" w:hAnsiTheme="minorHAnsi" w:cstheme="minorHAnsi"/>
          <w:sz w:val="24"/>
          <w:szCs w:val="24"/>
        </w:rPr>
        <w:t xml:space="preserve"> plánovanou na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 28.</w:t>
      </w:r>
      <w:r w:rsidR="008F4DA4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5. 2024. Pronajímatel prohlašuje, že zná tvorbu Lukáše Macháčka a že několik modelů vystavuje ve spolupráci s Mattoni 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 xml:space="preserve">1873 a.s. 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>ve svých prostorách. Pronajímatel dále prohlašuje, že tento bod nebude zneužívat a využije odmítnutí konkrétního modelu pouze v krajní situaci.</w:t>
      </w:r>
      <w:r w:rsidR="003E0113">
        <w:rPr>
          <w:rStyle w:val="FontStyle31"/>
          <w:rFonts w:asciiTheme="minorHAnsi" w:hAnsiTheme="minorHAnsi" w:cstheme="minorHAnsi"/>
          <w:sz w:val="24"/>
          <w:szCs w:val="24"/>
        </w:rPr>
        <w:t xml:space="preserve"> Návrhy všech předváděných modelů jsou přílohou této smlouvy.</w:t>
      </w:r>
    </w:p>
    <w:p w14:paraId="7BFD2277" w14:textId="6C7D943A" w:rsidR="00FC3D4B" w:rsidRPr="00F610A5" w:rsidRDefault="00487335" w:rsidP="00F610A5">
      <w:pPr>
        <w:numPr>
          <w:ilvl w:val="0"/>
          <w:numId w:val="3"/>
        </w:numPr>
        <w:spacing w:after="120"/>
        <w:ind w:hanging="357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31"/>
          <w:rFonts w:asciiTheme="minorHAnsi" w:hAnsiTheme="minorHAnsi" w:cstheme="minorHAnsi"/>
          <w:sz w:val="24"/>
          <w:szCs w:val="24"/>
        </w:rPr>
        <w:lastRenderedPageBreak/>
        <w:t>Nájemce prohlašuje, že</w:t>
      </w:r>
      <w:r w:rsidR="00277858">
        <w:rPr>
          <w:rStyle w:val="FontStyle31"/>
          <w:rFonts w:asciiTheme="minorHAnsi" w:hAnsiTheme="minorHAnsi" w:cstheme="minorHAnsi"/>
          <w:sz w:val="24"/>
          <w:szCs w:val="24"/>
        </w:rPr>
        <w:t xml:space="preserve"> v rámci přehlídky nebudou </w:t>
      </w:r>
      <w:r w:rsidR="00D50590">
        <w:rPr>
          <w:rStyle w:val="FontStyle31"/>
          <w:rFonts w:asciiTheme="minorHAnsi" w:hAnsiTheme="minorHAnsi" w:cstheme="minorHAnsi"/>
          <w:sz w:val="24"/>
          <w:szCs w:val="24"/>
        </w:rPr>
        <w:t>předváděny žádné obnažené, extravagantní</w:t>
      </w:r>
      <w:r w:rsidR="00357017">
        <w:rPr>
          <w:rStyle w:val="FontStyle31"/>
          <w:rFonts w:asciiTheme="minorHAnsi" w:hAnsiTheme="minorHAnsi" w:cstheme="minorHAnsi"/>
          <w:sz w:val="24"/>
          <w:szCs w:val="24"/>
        </w:rPr>
        <w:t xml:space="preserve"> modely a cokoliv co by se neslučovalo s důstojností </w:t>
      </w:r>
      <w:r w:rsidR="00EA2A1C">
        <w:rPr>
          <w:rStyle w:val="FontStyle31"/>
          <w:rFonts w:asciiTheme="minorHAnsi" w:hAnsiTheme="minorHAnsi" w:cstheme="minorHAnsi"/>
          <w:sz w:val="24"/>
          <w:szCs w:val="24"/>
        </w:rPr>
        <w:t>místa konání. Porušení</w:t>
      </w:r>
      <w:r w:rsidR="00880BFE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  <w:r w:rsidR="00EA2A1C">
        <w:rPr>
          <w:rStyle w:val="FontStyle31"/>
          <w:rFonts w:asciiTheme="minorHAnsi" w:hAnsiTheme="minorHAnsi" w:cstheme="minorHAnsi"/>
          <w:sz w:val="24"/>
          <w:szCs w:val="24"/>
        </w:rPr>
        <w:t xml:space="preserve">tohoto prohlášení </w:t>
      </w:r>
      <w:r w:rsidR="00880BFE">
        <w:rPr>
          <w:rStyle w:val="FontStyle31"/>
          <w:rFonts w:asciiTheme="minorHAnsi" w:hAnsiTheme="minorHAnsi" w:cstheme="minorHAnsi"/>
          <w:sz w:val="24"/>
          <w:szCs w:val="24"/>
        </w:rPr>
        <w:t xml:space="preserve">bude bráno jako závažné porušení smlouvy </w:t>
      </w:r>
      <w:r w:rsidR="00327635">
        <w:rPr>
          <w:rStyle w:val="FontStyle31"/>
          <w:rFonts w:asciiTheme="minorHAnsi" w:hAnsiTheme="minorHAnsi" w:cstheme="minorHAnsi"/>
          <w:sz w:val="24"/>
          <w:szCs w:val="24"/>
        </w:rPr>
        <w:t>s důsledkem okamžitého ukončení akce</w:t>
      </w:r>
      <w:r w:rsidR="003E0113">
        <w:rPr>
          <w:rStyle w:val="FontStyle31"/>
          <w:rFonts w:asciiTheme="minorHAnsi" w:hAnsiTheme="minorHAnsi" w:cstheme="minorHAnsi"/>
          <w:sz w:val="24"/>
          <w:szCs w:val="24"/>
        </w:rPr>
        <w:t xml:space="preserve"> a </w:t>
      </w:r>
      <w:r w:rsidR="009620BB">
        <w:rPr>
          <w:rStyle w:val="FontStyle31"/>
          <w:rFonts w:asciiTheme="minorHAnsi" w:hAnsiTheme="minorHAnsi" w:cstheme="minorHAnsi"/>
          <w:sz w:val="24"/>
          <w:szCs w:val="24"/>
        </w:rPr>
        <w:t xml:space="preserve">pokutou ve výši </w:t>
      </w:r>
      <w:proofErr w:type="gramStart"/>
      <w:r w:rsidR="009620BB">
        <w:rPr>
          <w:rStyle w:val="FontStyle31"/>
          <w:rFonts w:asciiTheme="minorHAnsi" w:hAnsiTheme="minorHAnsi" w:cstheme="minorHAnsi"/>
          <w:sz w:val="24"/>
          <w:szCs w:val="24"/>
        </w:rPr>
        <w:t>1.000.000,-</w:t>
      </w:r>
      <w:proofErr w:type="gramEnd"/>
      <w:r w:rsidR="009620BB">
        <w:rPr>
          <w:rStyle w:val="FontStyle31"/>
          <w:rFonts w:asciiTheme="minorHAnsi" w:hAnsiTheme="minorHAnsi" w:cstheme="minorHAnsi"/>
          <w:sz w:val="24"/>
          <w:szCs w:val="24"/>
        </w:rPr>
        <w:t xml:space="preserve"> Kč</w:t>
      </w:r>
      <w:r w:rsidR="007A5529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  <w:r w:rsidR="001E7C18">
        <w:rPr>
          <w:rStyle w:val="FontStyle31"/>
          <w:rFonts w:asciiTheme="minorHAnsi" w:hAnsiTheme="minorHAnsi" w:cstheme="minorHAnsi"/>
          <w:sz w:val="24"/>
          <w:szCs w:val="24"/>
        </w:rPr>
        <w:t>uplatněnou</w:t>
      </w:r>
      <w:r w:rsidR="007A5529">
        <w:rPr>
          <w:rStyle w:val="FontStyle31"/>
          <w:rFonts w:asciiTheme="minorHAnsi" w:hAnsiTheme="minorHAnsi" w:cstheme="minorHAnsi"/>
          <w:sz w:val="24"/>
          <w:szCs w:val="24"/>
        </w:rPr>
        <w:t xml:space="preserve"> pronajímatelem</w:t>
      </w:r>
      <w:r w:rsidR="001E7C18">
        <w:rPr>
          <w:rStyle w:val="FontStyle31"/>
          <w:rFonts w:asciiTheme="minorHAnsi" w:hAnsiTheme="minorHAnsi" w:cstheme="minorHAnsi"/>
          <w:sz w:val="24"/>
          <w:szCs w:val="24"/>
        </w:rPr>
        <w:t xml:space="preserve"> vůči nájemci.</w:t>
      </w:r>
    </w:p>
    <w:p w14:paraId="5AE3D25E" w14:textId="51E6B616" w:rsidR="00C10E19" w:rsidRDefault="00C61812" w:rsidP="00FD4AB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F610A5">
        <w:rPr>
          <w:rFonts w:asciiTheme="minorHAnsi" w:hAnsiTheme="minorHAnsi" w:cstheme="minorHAnsi"/>
          <w:sz w:val="24"/>
          <w:szCs w:val="24"/>
        </w:rPr>
        <w:t xml:space="preserve">Nájemce se zavazuje, že po ukončení Akce uvede Prostory do původního stavu. </w:t>
      </w:r>
    </w:p>
    <w:p w14:paraId="03E39F4F" w14:textId="77777777" w:rsidR="00EA30A0" w:rsidRDefault="009F2BDD" w:rsidP="00FD4AB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Nájemce se zavazuje žádným způsobem nenarušit návštěvnický provoz</w:t>
      </w:r>
      <w:r w:rsidR="00F259F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348BC8" w14:textId="63BFD08F" w:rsidR="009F2BDD" w:rsidRPr="00F610A5" w:rsidRDefault="00F259F2" w:rsidP="00FD4AB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Nájemce odpovídá za veškeré škody způsobené </w:t>
      </w:r>
      <w:r w:rsidR="00EA30A0">
        <w:rPr>
          <w:rFonts w:asciiTheme="minorHAnsi" w:hAnsiTheme="minorHAnsi" w:cstheme="minorHAnsi"/>
          <w:sz w:val="24"/>
          <w:szCs w:val="24"/>
        </w:rPr>
        <w:t>na jeho majetku</w:t>
      </w:r>
      <w:r w:rsidR="00A51200">
        <w:rPr>
          <w:rFonts w:asciiTheme="minorHAnsi" w:hAnsiTheme="minorHAnsi" w:cstheme="minorHAnsi"/>
          <w:sz w:val="24"/>
          <w:szCs w:val="24"/>
        </w:rPr>
        <w:t xml:space="preserve"> instalovaném v prostoru objektu</w:t>
      </w:r>
      <w:r w:rsidR="00125225">
        <w:rPr>
          <w:rFonts w:asciiTheme="minorHAnsi" w:hAnsiTheme="minorHAnsi" w:cstheme="minorHAnsi"/>
          <w:sz w:val="24"/>
          <w:szCs w:val="24"/>
        </w:rPr>
        <w:t>.</w:t>
      </w:r>
    </w:p>
    <w:p w14:paraId="628BA8AF" w14:textId="2B65ECA6" w:rsidR="00E8346D" w:rsidRPr="00E8346D" w:rsidRDefault="00603561" w:rsidP="00E8346D">
      <w:pPr>
        <w:numPr>
          <w:ilvl w:val="0"/>
          <w:numId w:val="3"/>
        </w:numPr>
        <w:spacing w:after="120"/>
        <w:ind w:left="357" w:hanging="357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E8346D">
        <w:rPr>
          <w:rFonts w:asciiTheme="minorHAnsi" w:hAnsiTheme="minorHAnsi" w:cstheme="minorHAnsi"/>
          <w:sz w:val="24"/>
          <w:szCs w:val="24"/>
        </w:rPr>
        <w:t xml:space="preserve">Nájemce </w:t>
      </w:r>
      <w:proofErr w:type="gramStart"/>
      <w:r w:rsidR="00E8346D" w:rsidRPr="00E8346D">
        <w:rPr>
          <w:rStyle w:val="FontStyle31"/>
          <w:rFonts w:asciiTheme="minorHAnsi" w:hAnsiTheme="minorHAnsi" w:cstheme="minorHAnsi"/>
          <w:sz w:val="24"/>
          <w:szCs w:val="24"/>
        </w:rPr>
        <w:t>předloží</w:t>
      </w:r>
      <w:proofErr w:type="gramEnd"/>
      <w:r w:rsidR="00E8346D" w:rsidRPr="00E8346D">
        <w:rPr>
          <w:rStyle w:val="FontStyle31"/>
          <w:rFonts w:asciiTheme="minorHAnsi" w:hAnsiTheme="minorHAnsi" w:cstheme="minorHAnsi"/>
          <w:sz w:val="24"/>
          <w:szCs w:val="24"/>
        </w:rPr>
        <w:t xml:space="preserve"> Pronajímateli minimálně měsíc před akcí ke schválení nákres cesty, kterou modelové budou po schodech 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>Objektu 1</w:t>
      </w:r>
      <w:r w:rsidR="00E8346D" w:rsidRPr="00E8346D">
        <w:rPr>
          <w:rStyle w:val="FontStyle31"/>
          <w:rFonts w:asciiTheme="minorHAnsi" w:hAnsiTheme="minorHAnsi" w:cstheme="minorHAnsi"/>
          <w:sz w:val="24"/>
          <w:szCs w:val="24"/>
        </w:rPr>
        <w:t xml:space="preserve"> procházet, stejně tak vymezené prostory pro návštěvníky módní přehlídky.</w:t>
      </w:r>
    </w:p>
    <w:p w14:paraId="04B49551" w14:textId="58E8AD36" w:rsidR="008E5ED1" w:rsidRPr="00744160" w:rsidRDefault="00744160" w:rsidP="00744160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44160">
        <w:rPr>
          <w:rStyle w:val="FontStyle31"/>
          <w:rFonts w:asciiTheme="minorHAnsi" w:hAnsiTheme="minorHAnsi" w:cstheme="minorHAnsi"/>
          <w:sz w:val="24"/>
          <w:szCs w:val="24"/>
        </w:rPr>
        <w:t>Nájemce</w:t>
      </w:r>
      <w:r w:rsidR="00E8346D" w:rsidRPr="00744160">
        <w:rPr>
          <w:rStyle w:val="FontStyle31"/>
          <w:rFonts w:asciiTheme="minorHAnsi" w:hAnsiTheme="minorHAnsi" w:cstheme="minorHAnsi"/>
          <w:sz w:val="24"/>
          <w:szCs w:val="24"/>
        </w:rPr>
        <w:t xml:space="preserve"> také </w:t>
      </w:r>
      <w:proofErr w:type="gramStart"/>
      <w:r w:rsidR="00E8346D" w:rsidRPr="00744160">
        <w:rPr>
          <w:rStyle w:val="FontStyle31"/>
          <w:rFonts w:asciiTheme="minorHAnsi" w:hAnsiTheme="minorHAnsi" w:cstheme="minorHAnsi"/>
          <w:sz w:val="24"/>
          <w:szCs w:val="24"/>
        </w:rPr>
        <w:t>předloží</w:t>
      </w:r>
      <w:proofErr w:type="gramEnd"/>
      <w:r w:rsidR="00E8346D" w:rsidRPr="00744160">
        <w:rPr>
          <w:rStyle w:val="FontStyle31"/>
          <w:rFonts w:asciiTheme="minorHAnsi" w:hAnsiTheme="minorHAnsi" w:cstheme="minorHAnsi"/>
          <w:sz w:val="24"/>
          <w:szCs w:val="24"/>
        </w:rPr>
        <w:t xml:space="preserve"> měsíc před akcí ke schválení kompletní obrazový návrh každého jednotlivého kostýmu, který </w:t>
      </w:r>
      <w:r w:rsidR="00233625">
        <w:rPr>
          <w:rStyle w:val="FontStyle31"/>
          <w:rFonts w:asciiTheme="minorHAnsi" w:hAnsiTheme="minorHAnsi" w:cstheme="minorHAnsi"/>
          <w:sz w:val="24"/>
          <w:szCs w:val="24"/>
        </w:rPr>
        <w:t>předved</w:t>
      </w:r>
      <w:r w:rsidR="00E8346D" w:rsidRPr="00744160">
        <w:rPr>
          <w:rStyle w:val="FontStyle31"/>
          <w:rFonts w:asciiTheme="minorHAnsi" w:hAnsiTheme="minorHAnsi" w:cstheme="minorHAnsi"/>
          <w:sz w:val="24"/>
          <w:szCs w:val="24"/>
        </w:rPr>
        <w:t>ou modelové během přehlídky.</w:t>
      </w:r>
      <w:r w:rsidR="00D3194A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794B8985" w:rsid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</w:t>
      </w:r>
      <w:r w:rsidR="000E7970">
        <w:rPr>
          <w:rFonts w:asciiTheme="minorHAnsi" w:hAnsiTheme="minorHAnsi" w:cs="Arial"/>
          <w:sz w:val="24"/>
          <w:szCs w:val="24"/>
        </w:rPr>
        <w:t>10</w:t>
      </w:r>
      <w:r w:rsidR="00F75E77">
        <w:rPr>
          <w:rFonts w:asciiTheme="minorHAnsi" w:hAnsiTheme="minorHAnsi" w:cs="Arial"/>
          <w:sz w:val="24"/>
          <w:szCs w:val="24"/>
        </w:rPr>
        <w:t xml:space="preserve"> vstupů pro </w:t>
      </w:r>
      <w:r w:rsidR="000E7970">
        <w:rPr>
          <w:rFonts w:asciiTheme="minorHAnsi" w:hAnsiTheme="minorHAnsi" w:cs="Arial"/>
          <w:sz w:val="24"/>
          <w:szCs w:val="24"/>
        </w:rPr>
        <w:t>potřeby</w:t>
      </w:r>
      <w:r w:rsidR="00F75E77">
        <w:rPr>
          <w:rFonts w:asciiTheme="minorHAnsi" w:hAnsiTheme="minorHAnsi" w:cs="Arial"/>
          <w:sz w:val="24"/>
          <w:szCs w:val="24"/>
        </w:rPr>
        <w:t xml:space="preserve"> pronajímatele.</w:t>
      </w:r>
    </w:p>
    <w:p w14:paraId="234160B0" w14:textId="6099C2BA" w:rsidR="009F0BFE" w:rsidRPr="00F75E77" w:rsidRDefault="009F0BF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bere na vědomí přísný zákaz veškerých kouřových či parních efektů. Porušení tohoto zákazu</w:t>
      </w:r>
      <w:r w:rsidR="00395562">
        <w:rPr>
          <w:rFonts w:asciiTheme="minorHAnsi" w:hAnsiTheme="minorHAnsi" w:cs="Arial"/>
          <w:sz w:val="24"/>
          <w:szCs w:val="24"/>
        </w:rPr>
        <w:t xml:space="preserve"> může mít za následek okamžité ukončení akce</w:t>
      </w:r>
      <w:r w:rsidR="00913514">
        <w:rPr>
          <w:rFonts w:asciiTheme="minorHAnsi" w:hAnsiTheme="minorHAnsi" w:cs="Arial"/>
          <w:sz w:val="24"/>
          <w:szCs w:val="24"/>
        </w:rPr>
        <w:t>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48253B7C" w14:textId="57232799" w:rsidR="0053142D" w:rsidRDefault="00463E57" w:rsidP="0053142D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9F226" w14:textId="77777777" w:rsidR="00125225" w:rsidRDefault="00125225" w:rsidP="00125225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0E365C88" w14:textId="77777777" w:rsidR="000E7970" w:rsidRDefault="000E7970" w:rsidP="00125225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4F323F59" w14:textId="77777777" w:rsidR="000E7970" w:rsidRDefault="000E7970" w:rsidP="00125225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20AA19C5" w14:textId="77777777" w:rsidR="000E7970" w:rsidRDefault="000E7970" w:rsidP="00125225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IV.</w:t>
      </w:r>
    </w:p>
    <w:p w14:paraId="1EB86F5A" w14:textId="249491EF" w:rsidR="000E7970" w:rsidRPr="00242159" w:rsidRDefault="007A2B15" w:rsidP="000E797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5715BB15" w:rsidR="008E7F61" w:rsidRPr="0053142D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3142D">
        <w:rPr>
          <w:rFonts w:asciiTheme="minorHAnsi" w:hAnsiTheme="minorHAnsi" w:cs="Arial"/>
          <w:sz w:val="24"/>
          <w:szCs w:val="24"/>
        </w:rPr>
        <w:t>Ná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3142D">
        <w:rPr>
          <w:rFonts w:asciiTheme="minorHAnsi" w:hAnsiTheme="minorHAnsi" w:cs="Arial"/>
          <w:sz w:val="24"/>
          <w:szCs w:val="24"/>
        </w:rPr>
        <w:t>nájem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3142D">
        <w:rPr>
          <w:rFonts w:asciiTheme="minorHAnsi" w:hAnsiTheme="minorHAnsi" w:cs="Arial"/>
          <w:sz w:val="24"/>
          <w:szCs w:val="24"/>
        </w:rPr>
        <w:t>P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3142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942144">
        <w:rPr>
          <w:rFonts w:asciiTheme="minorHAnsi" w:hAnsiTheme="minorHAnsi" w:cs="Arial"/>
          <w:sz w:val="24"/>
          <w:szCs w:val="24"/>
        </w:rPr>
        <w:t>20</w:t>
      </w:r>
      <w:r w:rsidR="00824876" w:rsidRPr="0053142D">
        <w:rPr>
          <w:rFonts w:asciiTheme="minorHAnsi" w:hAnsiTheme="minorHAnsi" w:cs="Arial"/>
          <w:sz w:val="24"/>
          <w:szCs w:val="24"/>
        </w:rPr>
        <w:t>4</w:t>
      </w:r>
      <w:r w:rsidR="00B12898" w:rsidRPr="0053142D">
        <w:rPr>
          <w:rFonts w:asciiTheme="minorHAnsi" w:hAnsiTheme="minorHAnsi" w:cs="Arial"/>
          <w:sz w:val="24"/>
          <w:szCs w:val="24"/>
        </w:rPr>
        <w:t>.</w:t>
      </w:r>
      <w:r w:rsidR="00F63D6B" w:rsidRPr="0053142D">
        <w:rPr>
          <w:rFonts w:asciiTheme="minorHAnsi" w:hAnsiTheme="minorHAnsi" w:cs="Arial"/>
          <w:sz w:val="24"/>
          <w:szCs w:val="24"/>
        </w:rPr>
        <w:t>0</w:t>
      </w:r>
      <w:r w:rsidR="003D627D" w:rsidRPr="0053142D">
        <w:rPr>
          <w:rFonts w:asciiTheme="minorHAnsi" w:hAnsiTheme="minorHAnsi" w:cs="Arial"/>
          <w:sz w:val="24"/>
          <w:szCs w:val="24"/>
        </w:rPr>
        <w:t>00</w:t>
      </w:r>
      <w:r w:rsidR="00D24CF9" w:rsidRPr="0053142D">
        <w:rPr>
          <w:rFonts w:asciiTheme="minorHAnsi" w:hAnsiTheme="minorHAnsi" w:cs="Arial"/>
          <w:sz w:val="24"/>
          <w:szCs w:val="24"/>
        </w:rPr>
        <w:t>,-</w:t>
      </w:r>
      <w:r w:rsidR="0041609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3142D">
        <w:rPr>
          <w:rFonts w:asciiTheme="minorHAnsi" w:hAnsiTheme="minorHAnsi" w:cs="Arial"/>
          <w:sz w:val="24"/>
          <w:szCs w:val="24"/>
        </w:rPr>
        <w:t>bez DPH</w:t>
      </w:r>
      <w:r w:rsidR="00EB208D" w:rsidRPr="0053142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AC0934">
        <w:rPr>
          <w:rFonts w:asciiTheme="minorHAnsi" w:hAnsiTheme="minorHAnsi" w:cs="Arial"/>
          <w:sz w:val="24"/>
          <w:szCs w:val="24"/>
        </w:rPr>
        <w:t>246</w:t>
      </w:r>
      <w:r w:rsidR="00A73D34" w:rsidRPr="00355AFB">
        <w:rPr>
          <w:rFonts w:asciiTheme="minorHAnsi" w:hAnsiTheme="minorHAnsi" w:cs="Arial"/>
          <w:sz w:val="24"/>
          <w:szCs w:val="24"/>
        </w:rPr>
        <w:t>.</w:t>
      </w:r>
      <w:r w:rsidR="00AC0934">
        <w:rPr>
          <w:rFonts w:asciiTheme="minorHAnsi" w:hAnsiTheme="minorHAnsi" w:cs="Arial"/>
          <w:sz w:val="24"/>
          <w:szCs w:val="24"/>
        </w:rPr>
        <w:t>8</w:t>
      </w:r>
      <w:r w:rsidR="00A73D34" w:rsidRPr="00355AFB">
        <w:rPr>
          <w:rFonts w:asciiTheme="minorHAnsi" w:hAnsiTheme="minorHAnsi" w:cs="Arial"/>
          <w:sz w:val="24"/>
          <w:szCs w:val="24"/>
        </w:rPr>
        <w:t>40</w:t>
      </w:r>
      <w:r w:rsidR="00EB208D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53142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53142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3142D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4CEFEC56" w:rsidR="00EF2BBC" w:rsidRDefault="00115FA8" w:rsidP="00C71584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Nájemce uhradí </w:t>
      </w:r>
      <w:r w:rsidR="00687453">
        <w:rPr>
          <w:rFonts w:asciiTheme="minorHAnsi" w:hAnsiTheme="minorHAnsi" w:cs="Arial"/>
          <w:sz w:val="24"/>
          <w:szCs w:val="24"/>
        </w:rPr>
        <w:t>nájemné</w:t>
      </w:r>
      <w:r w:rsidRPr="00355AFB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AC0934">
        <w:rPr>
          <w:rFonts w:asciiTheme="minorHAnsi" w:hAnsiTheme="minorHAnsi" w:cs="Arial"/>
          <w:sz w:val="24"/>
          <w:szCs w:val="24"/>
        </w:rPr>
        <w:t>246</w:t>
      </w:r>
      <w:r w:rsidR="00E4557C" w:rsidRPr="00355AFB">
        <w:rPr>
          <w:rFonts w:asciiTheme="minorHAnsi" w:hAnsiTheme="minorHAnsi" w:cs="Arial"/>
          <w:sz w:val="24"/>
          <w:szCs w:val="24"/>
        </w:rPr>
        <w:t>.</w:t>
      </w:r>
      <w:r w:rsidR="00AC0934">
        <w:rPr>
          <w:rFonts w:asciiTheme="minorHAnsi" w:hAnsiTheme="minorHAnsi" w:cs="Arial"/>
          <w:sz w:val="24"/>
          <w:szCs w:val="24"/>
        </w:rPr>
        <w:t>8</w:t>
      </w:r>
      <w:r w:rsidR="00E4557C" w:rsidRPr="00355AFB">
        <w:rPr>
          <w:rFonts w:asciiTheme="minorHAnsi" w:hAnsiTheme="minorHAnsi" w:cs="Arial"/>
          <w:sz w:val="24"/>
          <w:szCs w:val="24"/>
        </w:rPr>
        <w:t>40</w:t>
      </w:r>
      <w:r w:rsidR="00EB7FFA" w:rsidRPr="00355AFB">
        <w:rPr>
          <w:rFonts w:asciiTheme="minorHAnsi" w:hAnsiTheme="minorHAnsi" w:cs="Arial"/>
          <w:sz w:val="24"/>
          <w:szCs w:val="24"/>
        </w:rPr>
        <w:t>,-</w:t>
      </w:r>
      <w:proofErr w:type="gramEnd"/>
      <w:r w:rsidR="00EB7FFA" w:rsidRPr="00355AFB">
        <w:rPr>
          <w:rFonts w:asciiTheme="minorHAnsi" w:hAnsiTheme="minorHAnsi" w:cs="Arial"/>
          <w:sz w:val="24"/>
          <w:szCs w:val="24"/>
        </w:rPr>
        <w:t xml:space="preserve"> Kč vč. DPH </w:t>
      </w:r>
      <w:r w:rsidR="00137465" w:rsidRPr="00355AFB">
        <w:rPr>
          <w:rFonts w:asciiTheme="minorHAnsi" w:hAnsiTheme="minorHAnsi" w:cs="Arial"/>
          <w:sz w:val="24"/>
          <w:szCs w:val="24"/>
        </w:rPr>
        <w:t xml:space="preserve">nejpozději do </w:t>
      </w:r>
      <w:r w:rsidR="00C71584">
        <w:rPr>
          <w:rFonts w:asciiTheme="minorHAnsi" w:hAnsiTheme="minorHAnsi" w:cs="Arial"/>
          <w:sz w:val="24"/>
          <w:szCs w:val="24"/>
        </w:rPr>
        <w:t>26</w:t>
      </w:r>
      <w:r w:rsidR="00582FF4" w:rsidRPr="00355AFB">
        <w:rPr>
          <w:rFonts w:asciiTheme="minorHAnsi" w:hAnsiTheme="minorHAnsi" w:cs="Arial"/>
          <w:sz w:val="24"/>
          <w:szCs w:val="24"/>
        </w:rPr>
        <w:t xml:space="preserve">. </w:t>
      </w:r>
      <w:r w:rsidR="00C71584">
        <w:rPr>
          <w:rFonts w:asciiTheme="minorHAnsi" w:hAnsiTheme="minorHAnsi" w:cs="Arial"/>
          <w:sz w:val="24"/>
          <w:szCs w:val="24"/>
        </w:rPr>
        <w:t>5</w:t>
      </w:r>
      <w:r w:rsidR="00582FF4" w:rsidRPr="00355AFB">
        <w:rPr>
          <w:rFonts w:asciiTheme="minorHAnsi" w:hAnsiTheme="minorHAnsi" w:cs="Arial"/>
          <w:sz w:val="24"/>
          <w:szCs w:val="24"/>
        </w:rPr>
        <w:t>.</w:t>
      </w:r>
      <w:r w:rsidR="006D71F8" w:rsidRPr="00355AFB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355AFB">
        <w:rPr>
          <w:rFonts w:asciiTheme="minorHAnsi" w:hAnsiTheme="minorHAnsi" w:cs="Arial"/>
          <w:sz w:val="24"/>
          <w:szCs w:val="24"/>
        </w:rPr>
        <w:t>202</w:t>
      </w:r>
      <w:r w:rsidR="009A27AC" w:rsidRPr="00355AFB">
        <w:rPr>
          <w:rFonts w:asciiTheme="minorHAnsi" w:hAnsiTheme="minorHAnsi" w:cs="Arial"/>
          <w:sz w:val="24"/>
          <w:szCs w:val="24"/>
        </w:rPr>
        <w:t>4</w:t>
      </w:r>
      <w:r w:rsidR="00EF2BBC" w:rsidRPr="00355AFB">
        <w:rPr>
          <w:rFonts w:asciiTheme="minorHAnsi" w:hAnsiTheme="minorHAnsi" w:cs="Arial"/>
          <w:sz w:val="24"/>
          <w:szCs w:val="24"/>
        </w:rPr>
        <w:t>, na základě předem vystavené faktury ze strany pronajímatele.</w:t>
      </w:r>
    </w:p>
    <w:p w14:paraId="23280E0F" w14:textId="77777777" w:rsidR="00060B5F" w:rsidRPr="00355AFB" w:rsidRDefault="00060B5F" w:rsidP="00C71584">
      <w:pPr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09E2DDCF" w14:textId="20FCEA7C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</w:p>
    <w:p w14:paraId="303685D8" w14:textId="53D16E88" w:rsidR="009363A3" w:rsidRDefault="009363A3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Cena </w:t>
      </w:r>
      <w:r w:rsidR="003A1E6B">
        <w:rPr>
          <w:rFonts w:asciiTheme="minorHAnsi" w:hAnsiTheme="minorHAnsi" w:cs="Arial"/>
          <w:sz w:val="24"/>
          <w:szCs w:val="24"/>
        </w:rPr>
        <w:t xml:space="preserve">dodatečných technických služeb byla stanovena na </w:t>
      </w:r>
      <w:proofErr w:type="gramStart"/>
      <w:r w:rsidR="003A1E6B">
        <w:rPr>
          <w:rFonts w:asciiTheme="minorHAnsi" w:hAnsiTheme="minorHAnsi" w:cs="Arial"/>
          <w:sz w:val="24"/>
          <w:szCs w:val="24"/>
        </w:rPr>
        <w:t>50.000,-</w:t>
      </w:r>
      <w:proofErr w:type="gramEnd"/>
      <w:r w:rsidR="003A1E6B">
        <w:rPr>
          <w:rFonts w:asciiTheme="minorHAnsi" w:hAnsiTheme="minorHAnsi" w:cs="Arial"/>
          <w:sz w:val="24"/>
          <w:szCs w:val="24"/>
        </w:rPr>
        <w:t xml:space="preserve"> Kč bez DPH a bude vyúčtována dle </w:t>
      </w:r>
      <w:r>
        <w:rPr>
          <w:rFonts w:asciiTheme="minorHAnsi" w:hAnsiTheme="minorHAnsi" w:cs="Arial"/>
          <w:sz w:val="24"/>
          <w:szCs w:val="24"/>
        </w:rPr>
        <w:t xml:space="preserve">skutečného čerpání </w:t>
      </w:r>
      <w:r w:rsidR="003A1E6B">
        <w:rPr>
          <w:rFonts w:asciiTheme="minorHAnsi" w:hAnsiTheme="minorHAnsi" w:cs="Arial"/>
          <w:sz w:val="24"/>
          <w:szCs w:val="24"/>
        </w:rPr>
        <w:t>v rámci finální</w:t>
      </w:r>
      <w:r>
        <w:rPr>
          <w:rFonts w:asciiTheme="minorHAnsi" w:hAnsiTheme="minorHAnsi" w:cs="Arial"/>
          <w:sz w:val="24"/>
          <w:szCs w:val="24"/>
        </w:rPr>
        <w:t xml:space="preserve"> fakturace po skončení.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687453" w:rsidRDefault="003B075A" w:rsidP="00C12737">
      <w:pPr>
        <w:pStyle w:val="Bezmezer"/>
        <w:rPr>
          <w:rFonts w:ascii="Calibri" w:hAnsi="Calibri" w:cs="Calibr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36022689" w14:textId="74DBB938" w:rsidR="00060B5F" w:rsidRPr="00060B5F" w:rsidRDefault="00F16CAD" w:rsidP="00060B5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37DFE55B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</w:t>
      </w:r>
      <w:r w:rsidR="00DB1A14">
        <w:rPr>
          <w:rFonts w:asciiTheme="minorHAnsi" w:hAnsiTheme="minorHAnsi" w:cs="Arial"/>
          <w:szCs w:val="24"/>
        </w:rPr>
        <w:t>Závazná specifikace modelů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687453">
            <w:pPr>
              <w:pStyle w:val="Bezmezer"/>
              <w:rPr>
                <w:lang w:eastAsia="cs-CZ"/>
              </w:rPr>
            </w:pPr>
          </w:p>
          <w:p w14:paraId="3B422106" w14:textId="5BD42233" w:rsidR="004E2678" w:rsidRPr="00402B6C" w:rsidRDefault="004E2678" w:rsidP="00687453">
            <w:pPr>
              <w:pStyle w:val="Bezmezer"/>
            </w:pPr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687453">
            <w:pPr>
              <w:pStyle w:val="Bezmezer"/>
            </w:pPr>
          </w:p>
          <w:p w14:paraId="0AEDA7DA" w14:textId="77777777" w:rsidR="00687453" w:rsidRDefault="00687453" w:rsidP="00687453">
            <w:pPr>
              <w:pStyle w:val="Bezmezer"/>
            </w:pPr>
          </w:p>
          <w:p w14:paraId="1254065F" w14:textId="77777777" w:rsidR="00ED226F" w:rsidRPr="00402B6C" w:rsidRDefault="00ED226F" w:rsidP="00687453">
            <w:pPr>
              <w:pStyle w:val="Bezmezer"/>
            </w:pPr>
          </w:p>
          <w:p w14:paraId="2A0A3BED" w14:textId="77777777" w:rsidR="004E2678" w:rsidRPr="00402B6C" w:rsidRDefault="004E2678" w:rsidP="00687453">
            <w:pPr>
              <w:pStyle w:val="Bezmezer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687453">
            <w:pPr>
              <w:pStyle w:val="Bezmezer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687453">
            <w:pPr>
              <w:pStyle w:val="Bezmezer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687453">
            <w:pPr>
              <w:pStyle w:val="Bezmezer"/>
            </w:pPr>
          </w:p>
          <w:p w14:paraId="5CD46EAA" w14:textId="1C5F2F18" w:rsidR="004E2678" w:rsidRPr="007B79FD" w:rsidRDefault="003311ED" w:rsidP="00687453">
            <w:pPr>
              <w:pStyle w:val="Bezmezer"/>
            </w:pPr>
            <w:r w:rsidRPr="007B79FD">
              <w:t xml:space="preserve">Za </w:t>
            </w:r>
            <w:r w:rsidR="00C71584">
              <w:rPr>
                <w:b/>
                <w:bCs/>
              </w:rPr>
              <w:t>FUEL</w:t>
            </w:r>
            <w:r w:rsidR="00355AFB" w:rsidRPr="007B79FD">
              <w:rPr>
                <w:b/>
                <w:bCs/>
              </w:rPr>
              <w:t xml:space="preserve"> 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Default="004E2678" w:rsidP="00687453">
            <w:pPr>
              <w:pStyle w:val="Bezmezer"/>
            </w:pPr>
          </w:p>
          <w:p w14:paraId="043DA2A6" w14:textId="77777777" w:rsidR="00687453" w:rsidRDefault="00687453" w:rsidP="00687453">
            <w:pPr>
              <w:pStyle w:val="Bezmezer"/>
            </w:pPr>
          </w:p>
          <w:p w14:paraId="3FC97602" w14:textId="77777777" w:rsidR="00687453" w:rsidRPr="007B79FD" w:rsidRDefault="00687453" w:rsidP="00687453">
            <w:pPr>
              <w:pStyle w:val="Bezmezer"/>
            </w:pPr>
          </w:p>
          <w:p w14:paraId="2F42306C" w14:textId="4EFA64F9" w:rsidR="004E2678" w:rsidRPr="007B79FD" w:rsidRDefault="004E2678" w:rsidP="00687453">
            <w:pPr>
              <w:pStyle w:val="Bezmezer"/>
            </w:pPr>
            <w:r w:rsidRPr="007B79FD">
              <w:t>__________________________________</w:t>
            </w:r>
          </w:p>
          <w:p w14:paraId="19485D94" w14:textId="608EC342" w:rsidR="004E2678" w:rsidRPr="007B79FD" w:rsidRDefault="004E2678" w:rsidP="00687453">
            <w:pPr>
              <w:pStyle w:val="Bezmezer"/>
            </w:pPr>
            <w:r w:rsidRPr="007B79FD">
              <w:t xml:space="preserve">Jméno: </w:t>
            </w:r>
            <w:r w:rsidR="00C71584">
              <w:t>Jiří Pokorný</w:t>
            </w:r>
          </w:p>
          <w:p w14:paraId="1C8B49A4" w14:textId="420A8AA5" w:rsidR="004E2678" w:rsidRPr="007B79FD" w:rsidRDefault="004E2678" w:rsidP="00687453">
            <w:pPr>
              <w:pStyle w:val="Bezmezer"/>
            </w:pPr>
            <w:r w:rsidRPr="007B79FD">
              <w:t>Funkce:</w:t>
            </w:r>
            <w:r w:rsidR="00252FA1" w:rsidRPr="007B79FD">
              <w:t xml:space="preserve"> </w:t>
            </w:r>
            <w:r w:rsidR="00355AFB" w:rsidRPr="007B79FD">
              <w:t>jednatel</w:t>
            </w:r>
          </w:p>
          <w:p w14:paraId="083AAF0A" w14:textId="60AF3C6D" w:rsidR="003A1E6B" w:rsidRPr="007B79FD" w:rsidRDefault="003A1E6B" w:rsidP="00687453">
            <w:pPr>
              <w:pStyle w:val="Bezmezer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6A1C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4296" w14:textId="77777777" w:rsidR="006A1C08" w:rsidRDefault="006A1C08" w:rsidP="001119E9">
      <w:r>
        <w:separator/>
      </w:r>
    </w:p>
  </w:endnote>
  <w:endnote w:type="continuationSeparator" w:id="0">
    <w:p w14:paraId="67502A09" w14:textId="77777777" w:rsidR="006A1C08" w:rsidRDefault="006A1C08" w:rsidP="001119E9">
      <w:r>
        <w:continuationSeparator/>
      </w:r>
    </w:p>
  </w:endnote>
  <w:endnote w:type="continuationNotice" w:id="1">
    <w:p w14:paraId="334D64D4" w14:textId="77777777" w:rsidR="006A1C08" w:rsidRDefault="006A1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1F7E" w14:textId="77777777" w:rsidR="006A1C08" w:rsidRDefault="006A1C08" w:rsidP="001119E9">
      <w:r>
        <w:separator/>
      </w:r>
    </w:p>
  </w:footnote>
  <w:footnote w:type="continuationSeparator" w:id="0">
    <w:p w14:paraId="4661084B" w14:textId="77777777" w:rsidR="006A1C08" w:rsidRDefault="006A1C08" w:rsidP="001119E9">
      <w:r>
        <w:continuationSeparator/>
      </w:r>
    </w:p>
  </w:footnote>
  <w:footnote w:type="continuationNotice" w:id="1">
    <w:p w14:paraId="63F5994A" w14:textId="77777777" w:rsidR="006A1C08" w:rsidRDefault="006A1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3BC870F1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EF4585">
      <w:rPr>
        <w:rFonts w:asciiTheme="minorHAnsi" w:hAnsiTheme="minorHAnsi"/>
        <w:sz w:val="16"/>
        <w:szCs w:val="16"/>
      </w:rPr>
      <w:t>1928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2EB74704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40</w:t>
    </w:r>
    <w:r w:rsidR="008D374B">
      <w:rPr>
        <w:rFonts w:asciiTheme="minorHAnsi" w:hAnsiTheme="minorHAnsi"/>
        <w:sz w:val="16"/>
        <w:szCs w:val="16"/>
      </w:rPr>
      <w:t>532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F19613F"/>
    <w:multiLevelType w:val="multilevel"/>
    <w:tmpl w:val="89FAB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06D38"/>
    <w:multiLevelType w:val="singleLevel"/>
    <w:tmpl w:val="E6FCE50C"/>
    <w:lvl w:ilvl="0">
      <w:start w:val="3"/>
      <w:numFmt w:val="decimal"/>
      <w:lvlText w:val="3.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2"/>
  </w:num>
  <w:num w:numId="2" w16cid:durableId="1640568347">
    <w:abstractNumId w:val="11"/>
  </w:num>
  <w:num w:numId="3" w16cid:durableId="884829229">
    <w:abstractNumId w:val="2"/>
  </w:num>
  <w:num w:numId="4" w16cid:durableId="3828552">
    <w:abstractNumId w:val="0"/>
  </w:num>
  <w:num w:numId="5" w16cid:durableId="2112554096">
    <w:abstractNumId w:val="13"/>
  </w:num>
  <w:num w:numId="6" w16cid:durableId="1874150966">
    <w:abstractNumId w:val="8"/>
  </w:num>
  <w:num w:numId="7" w16cid:durableId="387343149">
    <w:abstractNumId w:val="4"/>
  </w:num>
  <w:num w:numId="8" w16cid:durableId="1882740753">
    <w:abstractNumId w:val="10"/>
  </w:num>
  <w:num w:numId="9" w16cid:durableId="427509325">
    <w:abstractNumId w:val="9"/>
  </w:num>
  <w:num w:numId="10" w16cid:durableId="576599834">
    <w:abstractNumId w:val="6"/>
  </w:num>
  <w:num w:numId="11" w16cid:durableId="485320271">
    <w:abstractNumId w:val="3"/>
  </w:num>
  <w:num w:numId="12" w16cid:durableId="829830186">
    <w:abstractNumId w:val="7"/>
  </w:num>
  <w:num w:numId="13" w16cid:durableId="76461168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1158424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5E1C"/>
    <w:rsid w:val="000176FB"/>
    <w:rsid w:val="000245F6"/>
    <w:rsid w:val="00024A46"/>
    <w:rsid w:val="00031C5E"/>
    <w:rsid w:val="0003792F"/>
    <w:rsid w:val="00042243"/>
    <w:rsid w:val="00044103"/>
    <w:rsid w:val="00045A95"/>
    <w:rsid w:val="00050531"/>
    <w:rsid w:val="0005188B"/>
    <w:rsid w:val="00056DCB"/>
    <w:rsid w:val="00060059"/>
    <w:rsid w:val="00060B5F"/>
    <w:rsid w:val="00060CDE"/>
    <w:rsid w:val="00060F70"/>
    <w:rsid w:val="00062307"/>
    <w:rsid w:val="0006369C"/>
    <w:rsid w:val="00064F1C"/>
    <w:rsid w:val="00067D5E"/>
    <w:rsid w:val="0007436E"/>
    <w:rsid w:val="00074E8B"/>
    <w:rsid w:val="00083425"/>
    <w:rsid w:val="000863E4"/>
    <w:rsid w:val="000865C9"/>
    <w:rsid w:val="000909E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E7970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25225"/>
    <w:rsid w:val="0013047B"/>
    <w:rsid w:val="00133B93"/>
    <w:rsid w:val="00137465"/>
    <w:rsid w:val="00141358"/>
    <w:rsid w:val="00142A38"/>
    <w:rsid w:val="00143056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504F"/>
    <w:rsid w:val="001E71F0"/>
    <w:rsid w:val="001E7C18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16BCF"/>
    <w:rsid w:val="00223A65"/>
    <w:rsid w:val="00225ABE"/>
    <w:rsid w:val="0022762D"/>
    <w:rsid w:val="002308AC"/>
    <w:rsid w:val="00231D61"/>
    <w:rsid w:val="00233625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4BEF"/>
    <w:rsid w:val="002656AD"/>
    <w:rsid w:val="00266C9E"/>
    <w:rsid w:val="002764D6"/>
    <w:rsid w:val="00277858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65DB"/>
    <w:rsid w:val="00306602"/>
    <w:rsid w:val="00306AAD"/>
    <w:rsid w:val="0031078B"/>
    <w:rsid w:val="003211C9"/>
    <w:rsid w:val="003215A3"/>
    <w:rsid w:val="003218E4"/>
    <w:rsid w:val="00321AE1"/>
    <w:rsid w:val="00327635"/>
    <w:rsid w:val="00330B7D"/>
    <w:rsid w:val="003311ED"/>
    <w:rsid w:val="00340BD7"/>
    <w:rsid w:val="00341A9A"/>
    <w:rsid w:val="00346037"/>
    <w:rsid w:val="00355AFB"/>
    <w:rsid w:val="00355EE7"/>
    <w:rsid w:val="00357017"/>
    <w:rsid w:val="0035783A"/>
    <w:rsid w:val="0036109F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95562"/>
    <w:rsid w:val="003A0AF0"/>
    <w:rsid w:val="003A1E6B"/>
    <w:rsid w:val="003A3676"/>
    <w:rsid w:val="003A4D2B"/>
    <w:rsid w:val="003A5632"/>
    <w:rsid w:val="003A78E1"/>
    <w:rsid w:val="003A7FCB"/>
    <w:rsid w:val="003B0520"/>
    <w:rsid w:val="003B075A"/>
    <w:rsid w:val="003B4FFD"/>
    <w:rsid w:val="003C13C0"/>
    <w:rsid w:val="003C48D7"/>
    <w:rsid w:val="003D0A4B"/>
    <w:rsid w:val="003D2C5C"/>
    <w:rsid w:val="003D50F6"/>
    <w:rsid w:val="003D627D"/>
    <w:rsid w:val="003D6313"/>
    <w:rsid w:val="003D698D"/>
    <w:rsid w:val="003D7DA6"/>
    <w:rsid w:val="003D7DF7"/>
    <w:rsid w:val="003E0113"/>
    <w:rsid w:val="003E0F0E"/>
    <w:rsid w:val="003F05D3"/>
    <w:rsid w:val="003F1697"/>
    <w:rsid w:val="00401E51"/>
    <w:rsid w:val="00402B6C"/>
    <w:rsid w:val="00402FCE"/>
    <w:rsid w:val="00412215"/>
    <w:rsid w:val="0041254D"/>
    <w:rsid w:val="00416098"/>
    <w:rsid w:val="00416469"/>
    <w:rsid w:val="004204E1"/>
    <w:rsid w:val="0042109F"/>
    <w:rsid w:val="00421DF6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50DF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898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0334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561"/>
    <w:rsid w:val="00603E0E"/>
    <w:rsid w:val="006043FB"/>
    <w:rsid w:val="006078D6"/>
    <w:rsid w:val="006131A9"/>
    <w:rsid w:val="006243BF"/>
    <w:rsid w:val="00625763"/>
    <w:rsid w:val="006261A2"/>
    <w:rsid w:val="00631070"/>
    <w:rsid w:val="00641602"/>
    <w:rsid w:val="00641ED0"/>
    <w:rsid w:val="006537F1"/>
    <w:rsid w:val="00654F8A"/>
    <w:rsid w:val="00655C33"/>
    <w:rsid w:val="0066088E"/>
    <w:rsid w:val="006656ED"/>
    <w:rsid w:val="00665EC6"/>
    <w:rsid w:val="00666484"/>
    <w:rsid w:val="00671CC9"/>
    <w:rsid w:val="00674467"/>
    <w:rsid w:val="006753A4"/>
    <w:rsid w:val="00681F09"/>
    <w:rsid w:val="006827E8"/>
    <w:rsid w:val="00685226"/>
    <w:rsid w:val="00685238"/>
    <w:rsid w:val="00687453"/>
    <w:rsid w:val="006878E8"/>
    <w:rsid w:val="00693A3E"/>
    <w:rsid w:val="006A1C08"/>
    <w:rsid w:val="006A253D"/>
    <w:rsid w:val="006A2907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4160"/>
    <w:rsid w:val="007501C9"/>
    <w:rsid w:val="00754B14"/>
    <w:rsid w:val="0076175C"/>
    <w:rsid w:val="00761C19"/>
    <w:rsid w:val="00765D99"/>
    <w:rsid w:val="00767092"/>
    <w:rsid w:val="00767E08"/>
    <w:rsid w:val="00773A1E"/>
    <w:rsid w:val="007747B4"/>
    <w:rsid w:val="0077489E"/>
    <w:rsid w:val="00794A8F"/>
    <w:rsid w:val="00794E24"/>
    <w:rsid w:val="007A0E50"/>
    <w:rsid w:val="007A17F5"/>
    <w:rsid w:val="007A1E7C"/>
    <w:rsid w:val="007A2B15"/>
    <w:rsid w:val="007A2E38"/>
    <w:rsid w:val="007A419C"/>
    <w:rsid w:val="007A5529"/>
    <w:rsid w:val="007B1430"/>
    <w:rsid w:val="007B4E0E"/>
    <w:rsid w:val="007B79FD"/>
    <w:rsid w:val="007C1BC5"/>
    <w:rsid w:val="007C26E1"/>
    <w:rsid w:val="007C322B"/>
    <w:rsid w:val="007C3692"/>
    <w:rsid w:val="007C5719"/>
    <w:rsid w:val="007D07AA"/>
    <w:rsid w:val="007D17D0"/>
    <w:rsid w:val="007D1F52"/>
    <w:rsid w:val="007D307C"/>
    <w:rsid w:val="007D3110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463A5"/>
    <w:rsid w:val="00854E1E"/>
    <w:rsid w:val="00860622"/>
    <w:rsid w:val="00865F44"/>
    <w:rsid w:val="008668B7"/>
    <w:rsid w:val="008734C7"/>
    <w:rsid w:val="00877AB9"/>
    <w:rsid w:val="00880BFE"/>
    <w:rsid w:val="00881B15"/>
    <w:rsid w:val="00887213"/>
    <w:rsid w:val="00890C3D"/>
    <w:rsid w:val="00895594"/>
    <w:rsid w:val="00896A69"/>
    <w:rsid w:val="008A1127"/>
    <w:rsid w:val="008A2BF5"/>
    <w:rsid w:val="008A38EE"/>
    <w:rsid w:val="008A492E"/>
    <w:rsid w:val="008B194D"/>
    <w:rsid w:val="008B66EF"/>
    <w:rsid w:val="008C0224"/>
    <w:rsid w:val="008C0A12"/>
    <w:rsid w:val="008C0D94"/>
    <w:rsid w:val="008C33C4"/>
    <w:rsid w:val="008C47D9"/>
    <w:rsid w:val="008D374B"/>
    <w:rsid w:val="008D4852"/>
    <w:rsid w:val="008E1C53"/>
    <w:rsid w:val="008E53C4"/>
    <w:rsid w:val="008E5ED1"/>
    <w:rsid w:val="008E650F"/>
    <w:rsid w:val="008E7584"/>
    <w:rsid w:val="008E7F61"/>
    <w:rsid w:val="008F0CB8"/>
    <w:rsid w:val="008F0CC3"/>
    <w:rsid w:val="008F1989"/>
    <w:rsid w:val="008F4473"/>
    <w:rsid w:val="008F472F"/>
    <w:rsid w:val="008F4DA4"/>
    <w:rsid w:val="00900E52"/>
    <w:rsid w:val="00907B8F"/>
    <w:rsid w:val="00907F77"/>
    <w:rsid w:val="0091230A"/>
    <w:rsid w:val="00913514"/>
    <w:rsid w:val="0093198A"/>
    <w:rsid w:val="009363A3"/>
    <w:rsid w:val="00936F66"/>
    <w:rsid w:val="00942144"/>
    <w:rsid w:val="009433F9"/>
    <w:rsid w:val="0094515E"/>
    <w:rsid w:val="0094676C"/>
    <w:rsid w:val="009506B2"/>
    <w:rsid w:val="0095463C"/>
    <w:rsid w:val="009568F6"/>
    <w:rsid w:val="00957580"/>
    <w:rsid w:val="009609B9"/>
    <w:rsid w:val="009620BB"/>
    <w:rsid w:val="009656AC"/>
    <w:rsid w:val="009672D3"/>
    <w:rsid w:val="00970BFA"/>
    <w:rsid w:val="00976923"/>
    <w:rsid w:val="009771EC"/>
    <w:rsid w:val="00987DEB"/>
    <w:rsid w:val="0099758B"/>
    <w:rsid w:val="00997DE3"/>
    <w:rsid w:val="00997E91"/>
    <w:rsid w:val="009A27AC"/>
    <w:rsid w:val="009B796D"/>
    <w:rsid w:val="009C0B59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4AF"/>
    <w:rsid w:val="009E3D34"/>
    <w:rsid w:val="009F0BFE"/>
    <w:rsid w:val="009F1507"/>
    <w:rsid w:val="009F1E1E"/>
    <w:rsid w:val="009F2BDD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200"/>
    <w:rsid w:val="00A515A0"/>
    <w:rsid w:val="00A5432A"/>
    <w:rsid w:val="00A56628"/>
    <w:rsid w:val="00A62E73"/>
    <w:rsid w:val="00A643F8"/>
    <w:rsid w:val="00A65061"/>
    <w:rsid w:val="00A675E2"/>
    <w:rsid w:val="00A73D34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0934"/>
    <w:rsid w:val="00AC243F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74D17"/>
    <w:rsid w:val="00B82170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6119"/>
    <w:rsid w:val="00BD7525"/>
    <w:rsid w:val="00BD7AAD"/>
    <w:rsid w:val="00BE1D75"/>
    <w:rsid w:val="00BE384E"/>
    <w:rsid w:val="00BE536D"/>
    <w:rsid w:val="00BE791A"/>
    <w:rsid w:val="00BF0D9E"/>
    <w:rsid w:val="00BF18D0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61812"/>
    <w:rsid w:val="00C6498C"/>
    <w:rsid w:val="00C65C2B"/>
    <w:rsid w:val="00C705A8"/>
    <w:rsid w:val="00C71584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00EC"/>
    <w:rsid w:val="00D011D4"/>
    <w:rsid w:val="00D0562A"/>
    <w:rsid w:val="00D06915"/>
    <w:rsid w:val="00D134E5"/>
    <w:rsid w:val="00D14CC7"/>
    <w:rsid w:val="00D1586D"/>
    <w:rsid w:val="00D17614"/>
    <w:rsid w:val="00D24CF9"/>
    <w:rsid w:val="00D3194A"/>
    <w:rsid w:val="00D32280"/>
    <w:rsid w:val="00D3327F"/>
    <w:rsid w:val="00D42AA3"/>
    <w:rsid w:val="00D46965"/>
    <w:rsid w:val="00D504E3"/>
    <w:rsid w:val="00D50590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1A14"/>
    <w:rsid w:val="00DB265E"/>
    <w:rsid w:val="00DB3C64"/>
    <w:rsid w:val="00DB419A"/>
    <w:rsid w:val="00DB5708"/>
    <w:rsid w:val="00DB5C87"/>
    <w:rsid w:val="00DB6721"/>
    <w:rsid w:val="00DB7385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185D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1E7"/>
    <w:rsid w:val="00E22465"/>
    <w:rsid w:val="00E25968"/>
    <w:rsid w:val="00E259BF"/>
    <w:rsid w:val="00E2723D"/>
    <w:rsid w:val="00E27C28"/>
    <w:rsid w:val="00E318B2"/>
    <w:rsid w:val="00E3259E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346D"/>
    <w:rsid w:val="00E85196"/>
    <w:rsid w:val="00E86A01"/>
    <w:rsid w:val="00E93882"/>
    <w:rsid w:val="00E951A8"/>
    <w:rsid w:val="00E97B87"/>
    <w:rsid w:val="00EA20AB"/>
    <w:rsid w:val="00EA2A1C"/>
    <w:rsid w:val="00EA30A0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4585"/>
    <w:rsid w:val="00EF5EBD"/>
    <w:rsid w:val="00F02303"/>
    <w:rsid w:val="00F02ECF"/>
    <w:rsid w:val="00F050D6"/>
    <w:rsid w:val="00F1128C"/>
    <w:rsid w:val="00F126EB"/>
    <w:rsid w:val="00F16CAD"/>
    <w:rsid w:val="00F237BF"/>
    <w:rsid w:val="00F25076"/>
    <w:rsid w:val="00F259F2"/>
    <w:rsid w:val="00F30D20"/>
    <w:rsid w:val="00F328A6"/>
    <w:rsid w:val="00F32E6F"/>
    <w:rsid w:val="00F338CA"/>
    <w:rsid w:val="00F42E3D"/>
    <w:rsid w:val="00F47BDB"/>
    <w:rsid w:val="00F610A5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5A66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C3D4B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  <w:style w:type="character" w:customStyle="1" w:styleId="FontStyle31">
    <w:name w:val="Font Style31"/>
    <w:uiPriority w:val="99"/>
    <w:rsid w:val="00060CDE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2">
    <w:name w:val="Style12"/>
    <w:basedOn w:val="Normln"/>
    <w:uiPriority w:val="99"/>
    <w:rsid w:val="00E8346D"/>
    <w:pPr>
      <w:widowControl w:val="0"/>
      <w:autoSpaceDE w:val="0"/>
      <w:autoSpaceDN w:val="0"/>
      <w:adjustRightInd w:val="0"/>
      <w:spacing w:line="258" w:lineRule="exact"/>
      <w:ind w:hanging="68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2024-04-18T09:33:00Z</cp:lastPrinted>
  <dcterms:created xsi:type="dcterms:W3CDTF">2024-04-29T10:59:00Z</dcterms:created>
  <dcterms:modified xsi:type="dcterms:W3CDTF">2024-04-29T10:59:00Z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