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85" w:right="11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5211200330</w:t>
      </w:r>
    </w:p>
    <w:p>
      <w:pPr>
        <w:spacing w:line="425" w:lineRule="exact" w:before="2"/>
        <w:ind w:left="1185" w:right="11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185" w:right="11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242" w:right="81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24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Podolí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Podolí,</w:t>
      </w:r>
      <w:r>
        <w:rPr>
          <w:spacing w:val="-5"/>
        </w:rPr>
        <w:t> </w:t>
      </w:r>
      <w:r>
        <w:rPr/>
        <w:t>Podolí</w:t>
      </w:r>
      <w:r>
        <w:rPr>
          <w:spacing w:val="-2"/>
        </w:rPr>
        <w:t> </w:t>
      </w:r>
      <w:r>
        <w:rPr/>
        <w:t>33,</w:t>
      </w:r>
      <w:r>
        <w:rPr>
          <w:spacing w:val="-5"/>
        </w:rPr>
        <w:t> </w:t>
      </w:r>
      <w:r>
        <w:rPr/>
        <w:t>756</w:t>
      </w:r>
      <w:r>
        <w:rPr>
          <w:spacing w:val="-3"/>
        </w:rPr>
        <w:t> </w:t>
      </w:r>
      <w:r>
        <w:rPr/>
        <w:t>44</w:t>
      </w:r>
      <w:r>
        <w:rPr>
          <w:spacing w:val="-3"/>
        </w:rPr>
        <w:t> </w:t>
      </w:r>
      <w:r>
        <w:rPr>
          <w:spacing w:val="-2"/>
        </w:rPr>
        <w:t>Loučka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00635791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>
          <w:spacing w:val="-2"/>
        </w:rPr>
        <w:t>zastoupená:</w:t>
      </w:r>
      <w:r>
        <w:rPr/>
        <w:tab/>
        <w:t>Vladimírem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š</w:t>
      </w:r>
      <w:r>
        <w:rPr>
          <w:spacing w:val="-4"/>
        </w:rPr>
        <w:t> </w:t>
      </w:r>
      <w:r>
        <w:rPr/>
        <w:t>í</w:t>
      </w:r>
      <w:r>
        <w:rPr>
          <w:spacing w:val="-4"/>
        </w:rPr>
        <w:t> </w:t>
      </w:r>
      <w:r>
        <w:rPr/>
        <w:t>č k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1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3419851/0710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157"/>
      </w:pPr>
      <w:r>
        <w:rPr>
          <w:spacing w:val="-5"/>
        </w:rPr>
        <w:t>I.</w:t>
      </w:r>
    </w:p>
    <w:p>
      <w:pPr>
        <w:pStyle w:val="Heading2"/>
        <w:spacing w:before="1"/>
        <w:ind w:right="1160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210"/>
      </w:pPr>
      <w:r>
        <w:rPr/>
        <w:t>„Smlouva“) se uzavírá na základě Rozhodnutí ministra životního prostředí č. 5211200330 o poskytnutí finančních prostředků ze Státního fondu životního prostředí ČR ze dne 17.</w:t>
      </w:r>
      <w:r>
        <w:rPr>
          <w:spacing w:val="-1"/>
        </w:rPr>
        <w:t> </w:t>
      </w:r>
      <w:r>
        <w:rPr/>
        <w:t>5.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2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6" w:header="0" w:top="1060" w:bottom="1580" w:left="1460" w:right="9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851"/>
        <w:jc w:val="left"/>
      </w:pPr>
      <w:r>
        <w:rPr/>
        <w:t>„Energetické</w:t>
      </w:r>
      <w:r>
        <w:rPr>
          <w:spacing w:val="-9"/>
        </w:rPr>
        <w:t> </w:t>
      </w:r>
      <w:r>
        <w:rPr/>
        <w:t>úspory</w:t>
      </w:r>
      <w:r>
        <w:rPr>
          <w:spacing w:val="-8"/>
        </w:rPr>
        <w:t> </w:t>
      </w:r>
      <w:r>
        <w:rPr/>
        <w:t>obecního</w:t>
      </w:r>
      <w:r>
        <w:rPr>
          <w:spacing w:val="-8"/>
        </w:rPr>
        <w:t> </w:t>
      </w:r>
      <w:r>
        <w:rPr/>
        <w:t>úřadu</w:t>
      </w:r>
      <w:r>
        <w:rPr>
          <w:spacing w:val="-8"/>
        </w:rPr>
        <w:t> </w:t>
      </w:r>
      <w:r>
        <w:rPr>
          <w:spacing w:val="-2"/>
        </w:rPr>
        <w:t>Podolí“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157"/>
      </w:pPr>
      <w:r>
        <w:rPr>
          <w:spacing w:val="-5"/>
        </w:rPr>
        <w:t>II.</w:t>
      </w:r>
    </w:p>
    <w:p>
      <w:pPr>
        <w:pStyle w:val="Heading2"/>
        <w:spacing w:before="1"/>
        <w:ind w:right="1161"/>
      </w:pPr>
      <w:r>
        <w:rPr/>
        <w:t>Výše</w:t>
      </w:r>
      <w:r>
        <w:rPr>
          <w:spacing w:val="-5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0" w:after="0"/>
        <w:ind w:left="601" w:right="206" w:hanging="360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101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821,71 Kč </w:t>
      </w:r>
      <w:r>
        <w:rPr>
          <w:sz w:val="20"/>
        </w:rPr>
        <w:t>(slovy: jedno sto jeden tisíc osm set dvacet jedna korun českých, sedmdesát jeden haléř).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118" w:after="0"/>
        <w:ind w:left="601" w:right="209" w:hanging="360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254 554,29 Kč.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121" w:after="0"/>
        <w:ind w:left="60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40,00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120" w:after="0"/>
        <w:ind w:left="601" w:right="216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6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120" w:after="0"/>
        <w:ind w:left="601" w:right="2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121" w:after="0"/>
        <w:ind w:left="602" w:right="0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5"/>
          <w:sz w:val="20"/>
        </w:rPr>
        <w:t> </w:t>
      </w:r>
      <w:r>
        <w:rPr>
          <w:sz w:val="20"/>
        </w:rPr>
        <w:t>dodavatelům</w:t>
      </w:r>
      <w:r>
        <w:rPr>
          <w:spacing w:val="56"/>
          <w:sz w:val="20"/>
        </w:rPr>
        <w:t> </w:t>
      </w:r>
      <w:r>
        <w:rPr>
          <w:sz w:val="20"/>
        </w:rPr>
        <w:t>lze</w:t>
      </w:r>
      <w:r>
        <w:rPr>
          <w:spacing w:val="54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7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4"/>
          <w:sz w:val="20"/>
        </w:rPr>
        <w:t> </w:t>
      </w:r>
      <w:r>
        <w:rPr>
          <w:sz w:val="20"/>
        </w:rPr>
        <w:t>za</w:t>
      </w:r>
      <w:r>
        <w:rPr>
          <w:spacing w:val="58"/>
          <w:sz w:val="20"/>
        </w:rPr>
        <w:t> </w:t>
      </w:r>
      <w:r>
        <w:rPr>
          <w:sz w:val="20"/>
        </w:rPr>
        <w:t>stavební</w:t>
      </w:r>
      <w:r>
        <w:rPr>
          <w:spacing w:val="57"/>
          <w:sz w:val="20"/>
        </w:rPr>
        <w:t> </w:t>
      </w:r>
      <w:r>
        <w:rPr>
          <w:sz w:val="20"/>
        </w:rPr>
        <w:t>práce,</w:t>
      </w:r>
      <w:r>
        <w:rPr>
          <w:spacing w:val="58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ind w:left="60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118" w:after="0"/>
        <w:ind w:left="601" w:right="2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161"/>
      </w:pPr>
      <w:r>
        <w:rPr>
          <w:spacing w:val="-4"/>
        </w:rPr>
        <w:t>III.</w:t>
      </w:r>
    </w:p>
    <w:p>
      <w:pPr>
        <w:pStyle w:val="Heading2"/>
        <w:ind w:right="11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2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20"/>
          <w:sz w:val="20"/>
        </w:rPr>
        <w:t> </w:t>
      </w:r>
      <w:r>
        <w:rPr>
          <w:w w:val="95"/>
          <w:sz w:val="20"/>
        </w:rPr>
        <w:t>bude</w:t>
      </w:r>
      <w:r>
        <w:rPr>
          <w:spacing w:val="19"/>
          <w:sz w:val="20"/>
        </w:rPr>
        <w:t> </w:t>
      </w:r>
      <w:r>
        <w:rPr>
          <w:w w:val="95"/>
          <w:sz w:val="20"/>
        </w:rPr>
        <w:t>poskytovat</w:t>
      </w:r>
      <w:r>
        <w:rPr>
          <w:spacing w:val="18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21"/>
          <w:sz w:val="20"/>
        </w:rPr>
        <w:t> </w:t>
      </w:r>
      <w:r>
        <w:rPr>
          <w:w w:val="95"/>
          <w:sz w:val="20"/>
        </w:rPr>
        <w:t>prostředky</w:t>
      </w:r>
      <w:r>
        <w:rPr>
          <w:spacing w:val="18"/>
          <w:sz w:val="20"/>
        </w:rPr>
        <w:t> </w:t>
      </w:r>
      <w:r>
        <w:rPr>
          <w:w w:val="95"/>
          <w:sz w:val="20"/>
        </w:rPr>
        <w:t>průběžně</w:t>
      </w:r>
      <w:r>
        <w:rPr>
          <w:spacing w:val="24"/>
          <w:sz w:val="20"/>
        </w:rPr>
        <w:t> </w:t>
      </w:r>
      <w:r>
        <w:rPr>
          <w:w w:val="95"/>
          <w:sz w:val="20"/>
        </w:rPr>
        <w:t>postupem</w:t>
      </w:r>
      <w:r>
        <w:rPr>
          <w:spacing w:val="20"/>
          <w:sz w:val="20"/>
        </w:rPr>
        <w:t> </w:t>
      </w:r>
      <w:r>
        <w:rPr>
          <w:w w:val="95"/>
          <w:sz w:val="20"/>
        </w:rPr>
        <w:t>stanoveným</w:t>
      </w:r>
      <w:r>
        <w:rPr>
          <w:spacing w:val="23"/>
          <w:sz w:val="20"/>
        </w:rPr>
        <w:t> </w:t>
      </w:r>
      <w:r>
        <w:rPr>
          <w:w w:val="95"/>
          <w:sz w:val="20"/>
        </w:rPr>
        <w:t>touto</w:t>
      </w:r>
      <w:r>
        <w:rPr>
          <w:spacing w:val="22"/>
          <w:sz w:val="20"/>
        </w:rPr>
        <w:t> </w:t>
      </w:r>
      <w:r>
        <w:rPr>
          <w:w w:val="95"/>
          <w:sz w:val="20"/>
        </w:rPr>
        <w:t>Smlouvou</w:t>
      </w:r>
      <w:r>
        <w:rPr>
          <w:spacing w:val="22"/>
          <w:sz w:val="20"/>
        </w:rPr>
        <w:t> </w:t>
      </w:r>
      <w:r>
        <w:rPr>
          <w:w w:val="95"/>
          <w:sz w:val="20"/>
        </w:rPr>
        <w:t>tak,</w:t>
      </w:r>
      <w:r>
        <w:rPr>
          <w:spacing w:val="20"/>
          <w:sz w:val="20"/>
        </w:rPr>
        <w:t> </w:t>
      </w:r>
      <w:r>
        <w:rPr>
          <w:w w:val="95"/>
          <w:sz w:val="20"/>
        </w:rPr>
        <w:t>aby</w:t>
      </w:r>
      <w:r>
        <w:rPr>
          <w:spacing w:val="19"/>
          <w:sz w:val="20"/>
        </w:rPr>
        <w:t> </w:t>
      </w:r>
      <w:r>
        <w:rPr>
          <w:spacing w:val="-5"/>
          <w:w w:val="95"/>
          <w:sz w:val="20"/>
        </w:rPr>
        <w:t>byl</w:t>
      </w:r>
    </w:p>
    <w:p>
      <w:pPr>
        <w:pStyle w:val="BodyText"/>
        <w:ind w:left="0" w:right="2419"/>
        <w:jc w:val="right"/>
      </w:pPr>
      <w:r>
        <w:rPr/>
        <w:t>dodržen</w:t>
      </w:r>
      <w:r>
        <w:rPr>
          <w:spacing w:val="-6"/>
        </w:rPr>
        <w:t> </w:t>
      </w:r>
      <w:r>
        <w:rPr/>
        <w:t>poměr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vlastních</w:t>
      </w:r>
      <w:r>
        <w:rPr>
          <w:spacing w:val="-6"/>
        </w:rPr>
        <w:t> </w:t>
      </w:r>
      <w:r>
        <w:rPr/>
        <w:t>zdrojů</w:t>
      </w:r>
      <w:r>
        <w:rPr>
          <w:spacing w:val="-7"/>
        </w:rPr>
        <w:t> </w:t>
      </w:r>
      <w:r>
        <w:rPr/>
        <w:t>vyplývající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níže</w:t>
      </w:r>
      <w:r>
        <w:rPr>
          <w:spacing w:val="-7"/>
        </w:rPr>
        <w:t> </w:t>
      </w:r>
      <w:r>
        <w:rPr/>
        <w:t>uvedených</w:t>
      </w:r>
      <w:r>
        <w:rPr>
          <w:spacing w:val="-4"/>
        </w:rPr>
        <w:t> </w:t>
      </w:r>
      <w:r>
        <w:rPr>
          <w:spacing w:val="-2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24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397"/>
      </w:tblGrid>
      <w:tr>
        <w:trPr>
          <w:trHeight w:val="506" w:hRule="atLeast"/>
        </w:trPr>
        <w:tc>
          <w:tcPr>
            <w:tcW w:w="4820" w:type="dxa"/>
          </w:tcPr>
          <w:p>
            <w:pPr>
              <w:pStyle w:val="TableParagraph"/>
              <w:ind w:left="0" w:right="2116"/>
              <w:jc w:val="righ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397" w:type="dxa"/>
          </w:tcPr>
          <w:p>
            <w:pPr>
              <w:pStyle w:val="TableParagraph"/>
              <w:ind w:left="1689" w:right="1687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820" w:type="dxa"/>
          </w:tcPr>
          <w:p>
            <w:pPr>
              <w:pStyle w:val="TableParagraph"/>
              <w:ind w:left="0" w:right="218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397" w:type="dxa"/>
          </w:tcPr>
          <w:p>
            <w:pPr>
              <w:pStyle w:val="TableParagraph"/>
              <w:ind w:left="1689" w:right="1684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821,71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2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3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060" w:bottom="1660" w:left="1460" w:right="9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2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2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2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2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2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2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79"/>
          <w:sz w:val="20"/>
        </w:rPr>
        <w:t> </w:t>
      </w:r>
      <w:r>
        <w:rPr>
          <w:sz w:val="20"/>
        </w:rPr>
        <w:t>mohou</w:t>
      </w:r>
      <w:r>
        <w:rPr>
          <w:spacing w:val="77"/>
          <w:sz w:val="20"/>
        </w:rPr>
        <w:t> </w:t>
      </w:r>
      <w:r>
        <w:rPr>
          <w:sz w:val="20"/>
        </w:rPr>
        <w:t>být</w:t>
      </w:r>
      <w:r>
        <w:rPr>
          <w:spacing w:val="78"/>
          <w:sz w:val="20"/>
        </w:rPr>
        <w:t> </w:t>
      </w:r>
      <w:r>
        <w:rPr>
          <w:sz w:val="20"/>
        </w:rPr>
        <w:t>předloženy</w:t>
      </w:r>
      <w:r>
        <w:rPr>
          <w:spacing w:val="79"/>
          <w:sz w:val="20"/>
        </w:rPr>
        <w:t> </w:t>
      </w:r>
      <w:r>
        <w:rPr>
          <w:sz w:val="20"/>
        </w:rPr>
        <w:t>faktury</w:t>
      </w:r>
      <w:r>
        <w:rPr>
          <w:spacing w:val="79"/>
          <w:sz w:val="20"/>
        </w:rPr>
        <w:t> </w:t>
      </w:r>
      <w:r>
        <w:rPr>
          <w:sz w:val="20"/>
        </w:rPr>
        <w:t>již</w:t>
      </w:r>
      <w:r>
        <w:rPr>
          <w:spacing w:val="79"/>
          <w:sz w:val="20"/>
        </w:rPr>
        <w:t> </w:t>
      </w:r>
      <w:r>
        <w:rPr>
          <w:sz w:val="20"/>
        </w:rPr>
        <w:t>uhrazené.</w:t>
      </w:r>
      <w:r>
        <w:rPr>
          <w:spacing w:val="52"/>
          <w:w w:val="150"/>
          <w:sz w:val="20"/>
        </w:rPr>
        <w:t> </w:t>
      </w:r>
      <w:r>
        <w:rPr>
          <w:sz w:val="20"/>
        </w:rPr>
        <w:t>Fond</w:t>
      </w:r>
      <w:r>
        <w:rPr>
          <w:spacing w:val="52"/>
          <w:w w:val="150"/>
          <w:sz w:val="20"/>
        </w:rPr>
        <w:t> </w:t>
      </w:r>
      <w:r>
        <w:rPr>
          <w:sz w:val="20"/>
        </w:rPr>
        <w:t>akceptuje</w:t>
      </w:r>
      <w:r>
        <w:rPr>
          <w:spacing w:val="78"/>
          <w:sz w:val="20"/>
        </w:rPr>
        <w:t> </w:t>
      </w:r>
      <w:r>
        <w:rPr>
          <w:sz w:val="20"/>
        </w:rPr>
        <w:t>předložení</w:t>
      </w:r>
      <w:r>
        <w:rPr>
          <w:spacing w:val="79"/>
          <w:sz w:val="20"/>
        </w:rPr>
        <w:t> </w:t>
      </w:r>
      <w:r>
        <w:rPr>
          <w:sz w:val="20"/>
        </w:rPr>
        <w:t>faktur</w:t>
      </w:r>
      <w:r>
        <w:rPr>
          <w:spacing w:val="79"/>
          <w:sz w:val="20"/>
        </w:rPr>
        <w:t> </w:t>
      </w:r>
      <w:r>
        <w:rPr>
          <w:sz w:val="20"/>
        </w:rPr>
        <w:t>i</w:t>
      </w:r>
      <w:r>
        <w:rPr>
          <w:spacing w:val="7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2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2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2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</w:t>
      </w:r>
      <w:r>
        <w:rPr>
          <w:spacing w:val="-1"/>
          <w:sz w:val="20"/>
        </w:rPr>
        <w:t> </w:t>
      </w: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1"/>
          <w:sz w:val="20"/>
        </w:rPr>
        <w:t> </w:t>
      </w:r>
      <w:r>
        <w:rPr>
          <w:sz w:val="20"/>
        </w:rPr>
        <w:t>dohoda</w:t>
      </w:r>
      <w:r>
        <w:rPr>
          <w:spacing w:val="-1"/>
          <w:sz w:val="20"/>
        </w:rPr>
        <w:t> </w:t>
      </w:r>
      <w:r>
        <w:rPr>
          <w:sz w:val="20"/>
        </w:rPr>
        <w:t>musí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uzavřena</w:t>
      </w:r>
      <w:r>
        <w:rPr>
          <w:spacing w:val="-1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2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060" w:bottom="1660" w:left="1460" w:right="9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17" w:right="47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47" w:right="24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6" w:top="1060" w:bottom="1580" w:left="1460" w:right="920"/>
          <w:cols w:num="2" w:equalWidth="0">
            <w:col w:w="2126" w:space="63"/>
            <w:col w:w="76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50" w:val="left" w:leader="none"/>
        </w:tabs>
        <w:spacing w:line="240" w:lineRule="auto" w:before="121" w:after="0"/>
        <w:ind w:left="950" w:right="216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dojde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zateplení</w:t>
      </w:r>
      <w:r>
        <w:rPr>
          <w:spacing w:val="-7"/>
          <w:sz w:val="20"/>
        </w:rPr>
        <w:t> </w:t>
      </w:r>
      <w:r>
        <w:rPr>
          <w:sz w:val="20"/>
        </w:rPr>
        <w:t>stropu</w:t>
      </w:r>
      <w:r>
        <w:rPr>
          <w:spacing w:val="-5"/>
          <w:sz w:val="20"/>
        </w:rPr>
        <w:t> </w:t>
      </w:r>
      <w:r>
        <w:rPr>
          <w:sz w:val="20"/>
        </w:rPr>
        <w:t>nad</w:t>
      </w:r>
      <w:r>
        <w:rPr>
          <w:spacing w:val="-6"/>
          <w:sz w:val="20"/>
        </w:rPr>
        <w:t> </w:t>
      </w:r>
      <w:r>
        <w:rPr>
          <w:sz w:val="20"/>
        </w:rPr>
        <w:t>2.NP,</w:t>
      </w:r>
      <w:r>
        <w:rPr>
          <w:spacing w:val="-7"/>
          <w:sz w:val="20"/>
        </w:rPr>
        <w:t> </w:t>
      </w:r>
      <w:r>
        <w:rPr>
          <w:sz w:val="20"/>
        </w:rPr>
        <w:t>instalaci</w:t>
      </w:r>
      <w:r>
        <w:rPr>
          <w:spacing w:val="-4"/>
          <w:sz w:val="20"/>
        </w:rPr>
        <w:t> </w:t>
      </w:r>
      <w:r>
        <w:rPr>
          <w:sz w:val="20"/>
        </w:rPr>
        <w:t>tepelného</w:t>
      </w:r>
      <w:r>
        <w:rPr>
          <w:spacing w:val="-5"/>
          <w:sz w:val="20"/>
        </w:rPr>
        <w:t> </w:t>
      </w:r>
      <w:r>
        <w:rPr>
          <w:sz w:val="20"/>
        </w:rPr>
        <w:t>čerpadla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svítidel,</w:t>
      </w:r>
    </w:p>
    <w:p>
      <w:pPr>
        <w:pStyle w:val="ListParagraph"/>
        <w:numPr>
          <w:ilvl w:val="2"/>
          <w:numId w:val="4"/>
        </w:numPr>
        <w:tabs>
          <w:tab w:pos="950" w:val="left" w:leader="none"/>
        </w:tabs>
        <w:spacing w:line="240" w:lineRule="auto" w:before="121" w:after="0"/>
        <w:ind w:left="950" w:right="2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0"/>
        <w:gridCol w:w="1688"/>
        <w:gridCol w:w="1847"/>
        <w:gridCol w:w="1736"/>
      </w:tblGrid>
      <w:tr>
        <w:trPr>
          <w:trHeight w:val="505" w:hRule="atLeast"/>
        </w:trPr>
        <w:tc>
          <w:tcPr>
            <w:tcW w:w="3560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8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847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736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3560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847" w:type="dxa"/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30.71</w:t>
            </w:r>
          </w:p>
        </w:tc>
        <w:tc>
          <w:tcPr>
            <w:tcW w:w="1736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10.40</w:t>
            </w:r>
          </w:p>
        </w:tc>
      </w:tr>
      <w:tr>
        <w:trPr>
          <w:trHeight w:val="505" w:hRule="atLeast"/>
        </w:trPr>
        <w:tc>
          <w:tcPr>
            <w:tcW w:w="3560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47" w:type="dxa"/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109.30</w:t>
            </w:r>
          </w:p>
        </w:tc>
        <w:tc>
          <w:tcPr>
            <w:tcW w:w="1736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34.14</w:t>
            </w:r>
          </w:p>
        </w:tc>
      </w:tr>
      <w:tr>
        <w:trPr>
          <w:trHeight w:val="532" w:hRule="atLeast"/>
        </w:trPr>
        <w:tc>
          <w:tcPr>
            <w:tcW w:w="3560" w:type="dxa"/>
          </w:tcPr>
          <w:p>
            <w:pPr>
              <w:pStyle w:val="TableParagraph"/>
              <w:spacing w:line="266" w:lineRule="exact" w:before="0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47" w:type="dxa"/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284.18</w:t>
            </w:r>
          </w:p>
        </w:tc>
        <w:tc>
          <w:tcPr>
            <w:tcW w:w="1736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88.76</w:t>
            </w:r>
          </w:p>
        </w:tc>
      </w:tr>
    </w:tbl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2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2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4"/>
          <w:sz w:val="20"/>
        </w:rPr>
        <w:t> </w:t>
      </w:r>
      <w:r>
        <w:rPr>
          <w:sz w:val="20"/>
        </w:rPr>
        <w:t>dvojímu</w:t>
      </w:r>
      <w:r>
        <w:rPr>
          <w:spacing w:val="-5"/>
          <w:sz w:val="20"/>
        </w:rPr>
        <w:t> </w:t>
      </w:r>
      <w:r>
        <w:rPr>
          <w:sz w:val="20"/>
        </w:rPr>
        <w:t>financování,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2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215" w:hanging="286"/>
        <w:jc w:val="both"/>
        <w:rPr>
          <w:sz w:val="20"/>
        </w:rPr>
      </w:pPr>
      <w:r>
        <w:rPr>
          <w:sz w:val="20"/>
        </w:rPr>
        <w:t>termín dokončení akce do konce 05/2024 a o dodržení tohoto termínu Fond bez zbytečného odkladu</w:t>
      </w:r>
      <w:r>
        <w:rPr>
          <w:spacing w:val="-14"/>
          <w:sz w:val="20"/>
        </w:rPr>
        <w:t> </w:t>
      </w:r>
      <w:r>
        <w:rPr>
          <w:sz w:val="20"/>
        </w:rPr>
        <w:t>informovat</w:t>
      </w:r>
      <w:r>
        <w:rPr>
          <w:spacing w:val="-14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3"/>
          <w:sz w:val="20"/>
        </w:rPr>
        <w:t> </w:t>
      </w:r>
      <w:r>
        <w:rPr>
          <w:sz w:val="20"/>
        </w:rPr>
        <w:t>uvedení</w:t>
      </w:r>
      <w:r>
        <w:rPr>
          <w:spacing w:val="-14"/>
          <w:sz w:val="20"/>
        </w:rPr>
        <w:t> </w:t>
      </w:r>
      <w:r>
        <w:rPr>
          <w:sz w:val="20"/>
        </w:rPr>
        <w:t>stavby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trvalému</w:t>
      </w:r>
      <w:r>
        <w:rPr>
          <w:spacing w:val="-13"/>
          <w:sz w:val="20"/>
        </w:rPr>
        <w:t> </w:t>
      </w:r>
      <w:r>
        <w:rPr>
          <w:sz w:val="20"/>
        </w:rPr>
        <w:t>provozu, 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zákonem</w:t>
      </w:r>
      <w:r>
        <w:rPr>
          <w:spacing w:val="19"/>
          <w:sz w:val="20"/>
        </w:rPr>
        <w:t> </w:t>
      </w:r>
      <w:r>
        <w:rPr>
          <w:sz w:val="20"/>
        </w:rPr>
        <w:t>č.</w:t>
      </w:r>
      <w:r>
        <w:rPr>
          <w:spacing w:val="16"/>
          <w:sz w:val="20"/>
        </w:rPr>
        <w:t> </w:t>
      </w:r>
      <w:r>
        <w:rPr>
          <w:sz w:val="20"/>
        </w:rPr>
        <w:t>183/2006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uzemním</w:t>
      </w:r>
      <w:r>
        <w:rPr>
          <w:spacing w:val="17"/>
          <w:sz w:val="20"/>
        </w:rPr>
        <w:t> </w:t>
      </w:r>
      <w:r>
        <w:rPr>
          <w:sz w:val="20"/>
        </w:rPr>
        <w:t>plánování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stavebním</w:t>
      </w:r>
      <w:r>
        <w:rPr>
          <w:spacing w:val="17"/>
          <w:sz w:val="20"/>
        </w:rPr>
        <w:t> </w:t>
      </w:r>
      <w:r>
        <w:rPr>
          <w:sz w:val="20"/>
        </w:rPr>
        <w:t>řádu</w:t>
      </w:r>
      <w:r>
        <w:rPr>
          <w:spacing w:val="19"/>
          <w:sz w:val="20"/>
        </w:rPr>
        <w:t> </w:t>
      </w:r>
      <w:r>
        <w:rPr>
          <w:sz w:val="20"/>
        </w:rPr>
        <w:t>(stavební</w:t>
      </w:r>
      <w:r>
        <w:rPr>
          <w:spacing w:val="16"/>
          <w:sz w:val="20"/>
        </w:rPr>
        <w:t> </w:t>
      </w:r>
      <w:r>
        <w:rPr>
          <w:sz w:val="20"/>
        </w:rPr>
        <w:t>zákon), v</w:t>
      </w:r>
      <w:r>
        <w:rPr>
          <w:spacing w:val="-14"/>
          <w:sz w:val="20"/>
        </w:rPr>
        <w:t> </w:t>
      </w:r>
      <w:r>
        <w:rPr>
          <w:sz w:val="20"/>
        </w:rPr>
        <w:t>platném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(kolaudační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4"/>
          <w:sz w:val="20"/>
        </w:rPr>
        <w:t> </w:t>
      </w:r>
      <w:r>
        <w:rPr>
          <w:sz w:val="20"/>
        </w:rPr>
        <w:t>doložení</w:t>
      </w:r>
      <w:r>
        <w:rPr>
          <w:spacing w:val="-14"/>
          <w:sz w:val="20"/>
        </w:rPr>
        <w:t> </w:t>
      </w:r>
      <w:r>
        <w:rPr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4"/>
          <w:sz w:val="20"/>
        </w:rPr>
        <w:t> </w:t>
      </w:r>
      <w:r>
        <w:rPr>
          <w:sz w:val="20"/>
        </w:rPr>
        <w:t>úřadu,</w:t>
      </w:r>
      <w:r>
        <w:rPr>
          <w:spacing w:val="-14"/>
          <w:sz w:val="20"/>
        </w:rPr>
        <w:t> </w:t>
      </w:r>
      <w:r>
        <w:rPr>
          <w:sz w:val="20"/>
        </w:rPr>
        <w:t>případně</w:t>
      </w:r>
      <w:r>
        <w:rPr>
          <w:spacing w:val="-13"/>
          <w:sz w:val="20"/>
        </w:rPr>
        <w:t> </w:t>
      </w:r>
      <w:r>
        <w:rPr>
          <w:sz w:val="20"/>
        </w:rPr>
        <w:t>písemný</w:t>
      </w:r>
      <w:r>
        <w:rPr>
          <w:spacing w:val="-14"/>
          <w:sz w:val="20"/>
        </w:rPr>
        <w:t> </w:t>
      </w:r>
      <w:r>
        <w:rPr>
          <w:sz w:val="20"/>
        </w:rPr>
        <w:t>souhlas, že stavbu lze užívat)),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2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3"/>
          <w:sz w:val="20"/>
        </w:rPr>
        <w:t> </w:t>
      </w:r>
      <w:r>
        <w:rPr>
          <w:sz w:val="20"/>
        </w:rPr>
        <w:t>nejpozději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konce</w:t>
      </w:r>
      <w:r>
        <w:rPr>
          <w:spacing w:val="26"/>
          <w:sz w:val="20"/>
        </w:rPr>
        <w:t> </w:t>
      </w:r>
      <w:r>
        <w:rPr>
          <w:sz w:val="20"/>
        </w:rPr>
        <w:t>08/2024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3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3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6" w:top="1060" w:bottom="1580" w:left="1460" w:right="920"/>
        </w:sectPr>
      </w:pPr>
    </w:p>
    <w:p>
      <w:pPr>
        <w:pStyle w:val="BodyText"/>
        <w:spacing w:before="73"/>
        <w:ind w:left="808" w:right="211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2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2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2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2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2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2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2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2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2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2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060" w:bottom="1660" w:left="1460" w:right="920"/>
        </w:sectPr>
      </w:pPr>
    </w:p>
    <w:p>
      <w:pPr>
        <w:pStyle w:val="Heading1"/>
        <w:spacing w:before="79"/>
      </w:pPr>
      <w:r>
        <w:rPr>
          <w:spacing w:val="-5"/>
        </w:rPr>
        <w:t>V.</w:t>
      </w:r>
    </w:p>
    <w:p>
      <w:pPr>
        <w:pStyle w:val="Heading2"/>
        <w:spacing w:before="1"/>
        <w:ind w:right="11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217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8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2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207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</w:pPr>
      <w:r>
        <w:rPr/>
        <w:t>%</w:t>
      </w:r>
      <w:r>
        <w:rPr>
          <w:spacing w:val="8"/>
        </w:rPr>
        <w:t> </w:t>
      </w: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7"/>
        </w:rPr>
        <w:t> </w:t>
      </w:r>
      <w:r>
        <w:rPr/>
        <w:t>podpory</w:t>
      </w:r>
      <w:r>
        <w:rPr>
          <w:spacing w:val="8"/>
        </w:rPr>
        <w:t> </w:t>
      </w:r>
      <w:r>
        <w:rPr/>
        <w:t>v závislosti</w:t>
      </w:r>
      <w:r>
        <w:rPr>
          <w:spacing w:val="10"/>
        </w:rPr>
        <w:t> </w:t>
      </w:r>
      <w:r>
        <w:rPr/>
        <w:t>na</w:t>
      </w:r>
      <w:r>
        <w:rPr>
          <w:spacing w:val="8"/>
        </w:rPr>
        <w:t> </w:t>
      </w:r>
      <w:r>
        <w:rPr/>
        <w:t>míře</w:t>
      </w:r>
      <w:r>
        <w:rPr>
          <w:spacing w:val="8"/>
        </w:rPr>
        <w:t> </w:t>
      </w:r>
      <w:r>
        <w:rPr/>
        <w:t>porušení</w:t>
      </w:r>
      <w:r>
        <w:rPr>
          <w:spacing w:val="10"/>
        </w:rPr>
        <w:t> </w:t>
      </w:r>
      <w:r>
        <w:rPr/>
        <w:t>stanovených</w:t>
      </w:r>
      <w:r>
        <w:rPr>
          <w:spacing w:val="8"/>
        </w:rPr>
        <w:t> </w:t>
      </w:r>
      <w:r>
        <w:rPr/>
        <w:t>indikátorů</w:t>
      </w:r>
      <w:r>
        <w:rPr>
          <w:spacing w:val="11"/>
        </w:rPr>
        <w:t> </w:t>
      </w:r>
      <w:r>
        <w:rPr/>
        <w:t>účelu</w:t>
      </w:r>
      <w:r>
        <w:rPr>
          <w:spacing w:val="8"/>
        </w:rPr>
        <w:t> </w:t>
      </w:r>
      <w:r>
        <w:rPr/>
        <w:t>akce.</w:t>
      </w:r>
      <w:r>
        <w:rPr>
          <w:spacing w:val="13"/>
        </w:rPr>
        <w:t> </w:t>
      </w:r>
      <w:r>
        <w:rPr/>
        <w:t>Plnění</w:t>
      </w:r>
      <w:r>
        <w:rPr>
          <w:spacing w:val="9"/>
        </w:rPr>
        <w:t> </w:t>
      </w:r>
      <w:r>
        <w:rPr>
          <w:spacing w:val="-2"/>
        </w:rPr>
        <w:t>účelu</w:t>
      </w:r>
    </w:p>
    <w:p>
      <w:pPr>
        <w:pStyle w:val="BodyText"/>
      </w:pPr>
      <w:r>
        <w:rPr/>
        <w:t>akce</w:t>
      </w:r>
      <w:r>
        <w:rPr>
          <w:spacing w:val="-8"/>
        </w:rPr>
        <w:t> </w:t>
      </w:r>
      <w:r>
        <w:rPr/>
        <w:t>v</w:t>
      </w:r>
      <w:r>
        <w:rPr>
          <w:spacing w:val="-6"/>
        </w:rPr>
        <w:t> </w:t>
      </w:r>
      <w:r>
        <w:rPr/>
        <w:t>rozmezí</w:t>
      </w:r>
      <w:r>
        <w:rPr>
          <w:spacing w:val="-7"/>
        </w:rPr>
        <w:t> </w:t>
      </w:r>
      <w:r>
        <w:rPr/>
        <w:t>90-100</w:t>
      </w:r>
      <w:r>
        <w:rPr>
          <w:spacing w:val="-7"/>
        </w:rPr>
        <w:t> </w:t>
      </w:r>
      <w:r>
        <w:rPr/>
        <w:t>%</w:t>
      </w:r>
      <w:r>
        <w:rPr>
          <w:spacing w:val="-7"/>
        </w:rPr>
        <w:t> </w:t>
      </w:r>
      <w:r>
        <w:rPr/>
        <w:t>stanovených</w:t>
      </w:r>
      <w:r>
        <w:rPr>
          <w:spacing w:val="-6"/>
        </w:rPr>
        <w:t> </w:t>
      </w:r>
      <w:r>
        <w:rPr/>
        <w:t>indikátorů</w:t>
      </w:r>
      <w:r>
        <w:rPr>
          <w:spacing w:val="-7"/>
        </w:rPr>
        <w:t> </w:t>
      </w:r>
      <w:r>
        <w:rPr/>
        <w:t>nebude</w:t>
      </w:r>
      <w:r>
        <w:rPr>
          <w:spacing w:val="-8"/>
        </w:rPr>
        <w:t> </w:t>
      </w:r>
      <w:r>
        <w:rPr/>
        <w:t>postiženo</w:t>
      </w:r>
      <w:r>
        <w:rPr>
          <w:spacing w:val="-5"/>
        </w:rPr>
        <w:t> </w:t>
      </w:r>
      <w:r>
        <w:rPr>
          <w:spacing w:val="-2"/>
        </w:rPr>
        <w:t>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2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6"/>
          <w:sz w:val="20"/>
        </w:rPr>
        <w:t> </w:t>
      </w:r>
      <w:r>
        <w:rPr>
          <w:sz w:val="20"/>
        </w:rPr>
        <w:t>Porušení</w:t>
      </w:r>
      <w:r>
        <w:rPr>
          <w:spacing w:val="66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6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6"/>
          <w:sz w:val="20"/>
        </w:rPr>
        <w:t> </w:t>
      </w:r>
      <w:r>
        <w:rPr>
          <w:sz w:val="20"/>
        </w:rPr>
        <w:t>10</w:t>
      </w:r>
      <w:r>
        <w:rPr>
          <w:spacing w:val="66"/>
          <w:sz w:val="20"/>
        </w:rPr>
        <w:t> </w:t>
      </w:r>
      <w:r>
        <w:rPr>
          <w:sz w:val="20"/>
        </w:rPr>
        <w:t>kalendářních</w:t>
      </w:r>
      <w:r>
        <w:rPr>
          <w:spacing w:val="66"/>
          <w:sz w:val="20"/>
        </w:rPr>
        <w:t> </w:t>
      </w:r>
      <w:r>
        <w:rPr>
          <w:sz w:val="20"/>
        </w:rPr>
        <w:t>dnů</w:t>
      </w:r>
      <w:r>
        <w:rPr>
          <w:spacing w:val="66"/>
          <w:sz w:val="20"/>
        </w:rPr>
        <w:t> </w:t>
      </w:r>
      <w:r>
        <w:rPr>
          <w:sz w:val="20"/>
        </w:rPr>
        <w:t>nebude</w:t>
      </w:r>
      <w:r>
        <w:rPr>
          <w:spacing w:val="65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157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2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219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213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 není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</w:t>
      </w:r>
      <w:r>
        <w:rPr>
          <w:spacing w:val="-1"/>
          <w:sz w:val="20"/>
        </w:rPr>
        <w:t> </w:t>
      </w:r>
      <w:r>
        <w:rPr>
          <w:sz w:val="20"/>
        </w:rPr>
        <w:t>platném znění, a že mohou být uplatněny odvody podle tohoto zákona.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spacing w:before="1"/>
      </w:pPr>
      <w:r>
        <w:rPr>
          <w:spacing w:val="-4"/>
        </w:rPr>
        <w:t>VII.</w:t>
      </w:r>
    </w:p>
    <w:p>
      <w:pPr>
        <w:pStyle w:val="Heading2"/>
        <w:ind w:right="11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2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2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320" w:bottom="1660" w:left="1460" w:right="920"/>
        </w:sect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73" w:after="0"/>
        <w:ind w:left="525" w:right="2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2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2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2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386" w:top="1060" w:bottom="1660" w:left="14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658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4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5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5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5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5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5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5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5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6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9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5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2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9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5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5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0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0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5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5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85" w:right="11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8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38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2024-05-06T11:11:30Z</dcterms:created>
  <dcterms:modified xsi:type="dcterms:W3CDTF">2024-05-06T11:11:30Z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2024-05-06T00:00:00Z</vt:filetime>
  </property>
</Properties>
</file>