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1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5211200330</w:t>
      </w:r>
    </w:p>
    <w:p>
      <w:pPr>
        <w:spacing w:line="425" w:lineRule="exact" w:before="2"/>
        <w:ind w:left="1185" w:right="11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1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1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Podolí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Podolí,</w:t>
      </w:r>
      <w:r>
        <w:rPr>
          <w:spacing w:val="-5"/>
        </w:rPr>
        <w:t> </w:t>
      </w:r>
      <w:r>
        <w:rPr/>
        <w:t>Podolí</w:t>
      </w:r>
      <w:r>
        <w:rPr>
          <w:spacing w:val="-2"/>
        </w:rPr>
        <w:t> </w:t>
      </w:r>
      <w:r>
        <w:rPr/>
        <w:t>33,</w:t>
      </w:r>
      <w:r>
        <w:rPr>
          <w:spacing w:val="-5"/>
        </w:rPr>
        <w:t> </w:t>
      </w:r>
      <w:r>
        <w:rPr/>
        <w:t>756</w:t>
      </w:r>
      <w:r>
        <w:rPr>
          <w:spacing w:val="-3"/>
        </w:rPr>
        <w:t> </w:t>
      </w:r>
      <w:r>
        <w:rPr/>
        <w:t>44</w:t>
      </w:r>
      <w:r>
        <w:rPr>
          <w:spacing w:val="-3"/>
        </w:rPr>
        <w:t> </w:t>
      </w:r>
      <w:r>
        <w:rPr>
          <w:spacing w:val="-2"/>
        </w:rPr>
        <w:t>Loučka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00635791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2"/>
        </w:rPr>
        <w:t>zastoupená:</w:t>
      </w:r>
      <w:r>
        <w:rPr/>
        <w:tab/>
        <w:t>Vladimírem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í</w:t>
      </w:r>
      <w:r>
        <w:rPr>
          <w:spacing w:val="-4"/>
        </w:rPr>
        <w:t> </w:t>
      </w:r>
      <w:r>
        <w:rPr/>
        <w:t>č 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3419851/0710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157"/>
      </w:pPr>
      <w:r>
        <w:rPr>
          <w:spacing w:val="-5"/>
        </w:rPr>
        <w:t>I.</w:t>
      </w:r>
    </w:p>
    <w:p>
      <w:pPr>
        <w:pStyle w:val="Heading2"/>
        <w:spacing w:before="1"/>
        <w:ind w:right="11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210"/>
      </w:pPr>
      <w:r>
        <w:rPr/>
        <w:t>„Smlouva“) se uzavírá na základě Rozhodnutí ministra životního prostředí č. 5211200330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2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6" w:header="0" w:top="1060" w:bottom="1580" w:left="1460" w:right="9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51"/>
        <w:jc w:val="left"/>
      </w:pPr>
      <w:r>
        <w:rPr/>
        <w:t>„Energetické</w:t>
      </w:r>
      <w:r>
        <w:rPr>
          <w:spacing w:val="-9"/>
        </w:rPr>
        <w:t> </w:t>
      </w:r>
      <w:r>
        <w:rPr/>
        <w:t>úspory</w:t>
      </w:r>
      <w:r>
        <w:rPr>
          <w:spacing w:val="-8"/>
        </w:rPr>
        <w:t> </w:t>
      </w:r>
      <w:r>
        <w:rPr/>
        <w:t>obecního</w:t>
      </w:r>
      <w:r>
        <w:rPr>
          <w:spacing w:val="-8"/>
        </w:rPr>
        <w:t> </w:t>
      </w:r>
      <w:r>
        <w:rPr/>
        <w:t>úřadu</w:t>
      </w:r>
      <w:r>
        <w:rPr>
          <w:spacing w:val="-8"/>
        </w:rPr>
        <w:t> </w:t>
      </w:r>
      <w:r>
        <w:rPr>
          <w:spacing w:val="-2"/>
        </w:rPr>
        <w:t>Podolí“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157"/>
      </w:pPr>
      <w:r>
        <w:rPr>
          <w:spacing w:val="-5"/>
        </w:rPr>
        <w:t>II.</w:t>
      </w:r>
    </w:p>
    <w:p>
      <w:pPr>
        <w:pStyle w:val="Heading2"/>
        <w:spacing w:before="1"/>
        <w:ind w:right="11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206" w:hanging="360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101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821,71 Kč </w:t>
      </w:r>
      <w:r>
        <w:rPr>
          <w:sz w:val="20"/>
        </w:rPr>
        <w:t>(slovy: jedno sto jeden tisíc osm set dvacet jedna korun českých, sedmdesát jeden haléř).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18" w:after="0"/>
        <w:ind w:left="601" w:right="2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254 554,29 Kč.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20" w:after="0"/>
        <w:ind w:left="601" w:right="2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20" w:after="0"/>
        <w:ind w:left="601" w:right="2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0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18" w:after="0"/>
        <w:ind w:left="601" w:right="2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161"/>
      </w:pPr>
      <w:r>
        <w:rPr>
          <w:spacing w:val="-4"/>
        </w:rPr>
        <w:t>III.</w:t>
      </w:r>
    </w:p>
    <w:p>
      <w:pPr>
        <w:pStyle w:val="Heading2"/>
        <w:ind w:right="11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2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4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4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397"/>
      </w:tblGrid>
      <w:tr>
        <w:trPr>
          <w:trHeight w:val="506" w:hRule="atLeast"/>
        </w:trPr>
        <w:tc>
          <w:tcPr>
            <w:tcW w:w="4820" w:type="dxa"/>
          </w:tcPr>
          <w:p>
            <w:pPr>
              <w:pStyle w:val="TableParagraph"/>
              <w:ind w:left="0" w:right="2116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397" w:type="dxa"/>
          </w:tcPr>
          <w:p>
            <w:pPr>
              <w:pStyle w:val="TableParagraph"/>
              <w:ind w:left="1689" w:right="168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820" w:type="dxa"/>
          </w:tcPr>
          <w:p>
            <w:pPr>
              <w:pStyle w:val="TableParagraph"/>
              <w:ind w:left="0" w:right="21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397" w:type="dxa"/>
          </w:tcPr>
          <w:p>
            <w:pPr>
              <w:pStyle w:val="TableParagraph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821,71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60" w:left="1460" w:right="9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2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2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2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2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60" w:left="1460" w:right="9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17" w:right="47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4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6" w:top="1060" w:bottom="1580" w:left="1460" w:right="920"/>
          <w:cols w:num="2" w:equalWidth="0">
            <w:col w:w="2126" w:space="63"/>
            <w:col w:w="76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50" w:val="left" w:leader="none"/>
        </w:tabs>
        <w:spacing w:line="240" w:lineRule="auto" w:before="121" w:after="0"/>
        <w:ind w:left="950" w:right="2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zateplení</w:t>
      </w:r>
      <w:r>
        <w:rPr>
          <w:spacing w:val="-7"/>
          <w:sz w:val="20"/>
        </w:rPr>
        <w:t> </w:t>
      </w:r>
      <w:r>
        <w:rPr>
          <w:sz w:val="20"/>
        </w:rPr>
        <w:t>stropu</w:t>
      </w:r>
      <w:r>
        <w:rPr>
          <w:spacing w:val="-5"/>
          <w:sz w:val="20"/>
        </w:rPr>
        <w:t> </w:t>
      </w:r>
      <w:r>
        <w:rPr>
          <w:sz w:val="20"/>
        </w:rPr>
        <w:t>nad</w:t>
      </w:r>
      <w:r>
        <w:rPr>
          <w:spacing w:val="-6"/>
          <w:sz w:val="20"/>
        </w:rPr>
        <w:t> </w:t>
      </w:r>
      <w:r>
        <w:rPr>
          <w:sz w:val="20"/>
        </w:rPr>
        <w:t>2.NP,</w:t>
      </w:r>
      <w:r>
        <w:rPr>
          <w:spacing w:val="-7"/>
          <w:sz w:val="20"/>
        </w:rPr>
        <w:t> </w:t>
      </w:r>
      <w:r>
        <w:rPr>
          <w:sz w:val="20"/>
        </w:rPr>
        <w:t>instalaci</w:t>
      </w:r>
      <w:r>
        <w:rPr>
          <w:spacing w:val="-4"/>
          <w:sz w:val="20"/>
        </w:rPr>
        <w:t> </w:t>
      </w:r>
      <w:r>
        <w:rPr>
          <w:sz w:val="20"/>
        </w:rPr>
        <w:t>tepelného</w:t>
      </w:r>
      <w:r>
        <w:rPr>
          <w:spacing w:val="-5"/>
          <w:sz w:val="20"/>
        </w:rPr>
        <w:t> </w:t>
      </w:r>
      <w:r>
        <w:rPr>
          <w:sz w:val="20"/>
        </w:rPr>
        <w:t>čerpadla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svítidel,</w:t>
      </w:r>
    </w:p>
    <w:p>
      <w:pPr>
        <w:pStyle w:val="ListParagraph"/>
        <w:numPr>
          <w:ilvl w:val="2"/>
          <w:numId w:val="4"/>
        </w:numPr>
        <w:tabs>
          <w:tab w:pos="950" w:val="left" w:leader="none"/>
        </w:tabs>
        <w:spacing w:line="240" w:lineRule="auto" w:before="121" w:after="0"/>
        <w:ind w:left="950" w:right="2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1688"/>
        <w:gridCol w:w="1847"/>
        <w:gridCol w:w="1736"/>
      </w:tblGrid>
      <w:tr>
        <w:trPr>
          <w:trHeight w:val="505" w:hRule="atLeast"/>
        </w:trPr>
        <w:tc>
          <w:tcPr>
            <w:tcW w:w="356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36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60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7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30.71</w:t>
            </w:r>
          </w:p>
        </w:tc>
        <w:tc>
          <w:tcPr>
            <w:tcW w:w="1736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10.40</w:t>
            </w:r>
          </w:p>
        </w:tc>
      </w:tr>
      <w:tr>
        <w:trPr>
          <w:trHeight w:val="505" w:hRule="atLeast"/>
        </w:trPr>
        <w:tc>
          <w:tcPr>
            <w:tcW w:w="3560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47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109.30</w:t>
            </w:r>
          </w:p>
        </w:tc>
        <w:tc>
          <w:tcPr>
            <w:tcW w:w="1736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34.14</w:t>
            </w:r>
          </w:p>
        </w:tc>
      </w:tr>
      <w:tr>
        <w:trPr>
          <w:trHeight w:val="532" w:hRule="atLeast"/>
        </w:trPr>
        <w:tc>
          <w:tcPr>
            <w:tcW w:w="3560" w:type="dxa"/>
          </w:tcPr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47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284.18</w:t>
            </w:r>
          </w:p>
        </w:tc>
        <w:tc>
          <w:tcPr>
            <w:tcW w:w="1736" w:type="dxa"/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88.76</w:t>
            </w:r>
          </w:p>
        </w:tc>
      </w:tr>
    </w:tbl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2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2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2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215" w:hanging="286"/>
        <w:jc w:val="both"/>
        <w:rPr>
          <w:sz w:val="20"/>
        </w:rPr>
      </w:pPr>
      <w:r>
        <w:rPr>
          <w:sz w:val="20"/>
        </w:rPr>
        <w:t>termín dokončení akce do konce 05/2024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2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08/2024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6" w:top="1060" w:bottom="1580" w:left="1460" w:right="920"/>
        </w:sectPr>
      </w:pPr>
    </w:p>
    <w:p>
      <w:pPr>
        <w:pStyle w:val="BodyText"/>
        <w:spacing w:before="73"/>
        <w:ind w:left="808" w:right="2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2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2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2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2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2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2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2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2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2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2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060" w:bottom="1660" w:left="1460" w:right="920"/>
        </w:sectPr>
      </w:pPr>
    </w:p>
    <w:p>
      <w:pPr>
        <w:pStyle w:val="Heading1"/>
        <w:spacing w:before="79"/>
      </w:pPr>
      <w:r>
        <w:rPr>
          <w:spacing w:val="-5"/>
        </w:rPr>
        <w:t>V.</w:t>
      </w:r>
    </w:p>
    <w:p>
      <w:pPr>
        <w:pStyle w:val="Heading2"/>
        <w:spacing w:before="1"/>
        <w:ind w:right="11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2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8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2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2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2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1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2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2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1"/>
          <w:sz w:val="20"/>
        </w:rPr>
        <w:t> </w:t>
      </w:r>
      <w:r>
        <w:rPr>
          <w:sz w:val="20"/>
        </w:rPr>
        <w:t>platném znění, a že mohou být uplatněny odvody podle tohoto 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4"/>
        </w:rPr>
        <w:t>VII.</w:t>
      </w:r>
    </w:p>
    <w:p>
      <w:pPr>
        <w:pStyle w:val="Heading2"/>
        <w:ind w:right="11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2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2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6" w:top="1320" w:bottom="1660" w:left="1460" w:right="9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2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2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2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2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386" w:top="1060" w:bottom="1660" w:left="14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658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5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6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9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5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2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9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1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8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2024-05-06T11:11:30Z</dcterms:created>
  <dcterms:modified xsi:type="dcterms:W3CDTF">2024-05-06T11:11:30Z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2024-05-06T00:00:00Z</vt:filetime>
  </property>
</Properties>
</file>