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before="72"/>
        <w:ind w:right="0"/>
        <w:jc w:val="left"/>
      </w:pPr>
      <w:r>
        <w:rPr/>
        <w:t>Správa Krkonošského národního parku</w:t>
      </w:r>
    </w:p>
    <w:p>
      <w:pPr>
        <w:pStyle w:val="BodyText"/>
        <w:spacing w:before="2"/>
        <w:ind w:left="136" w:right="4627"/>
      </w:pPr>
      <w:r>
        <w:rPr/>
        <w:t>se sídlem Dobrovského 3, 543 01 Vrchlabí zastoupená PhDr. Robinem Böhnischem, ředitelem IČO: 00088455</w:t>
      </w:r>
    </w:p>
    <w:p>
      <w:pPr>
        <w:pStyle w:val="BodyText"/>
        <w:ind w:left="136"/>
      </w:pPr>
      <w:r>
        <w:rPr/>
        <w:t>DIČ: CZ00088455</w:t>
      </w:r>
    </w:p>
    <w:p>
      <w:pPr>
        <w:pStyle w:val="BodyText"/>
        <w:spacing w:line="229" w:lineRule="exact"/>
        <w:ind w:left="136"/>
      </w:pPr>
      <w:r>
        <w:rPr/>
        <w:t>jako propachtovatel (dále jen „propachtovatel“ či „Správa KRNAP“)</w:t>
      </w:r>
    </w:p>
    <w:p>
      <w:pPr>
        <w:pStyle w:val="BodyText"/>
        <w:spacing w:line="229" w:lineRule="exact"/>
        <w:ind w:left="136"/>
      </w:pPr>
      <w:r>
        <w:rPr/>
        <w:t>– na straně jedné –</w:t>
      </w:r>
    </w:p>
    <w:p>
      <w:pPr>
        <w:pStyle w:val="Heading3"/>
        <w:spacing w:before="118"/>
        <w:ind w:right="0"/>
        <w:jc w:val="left"/>
      </w:pPr>
      <w:r>
        <w:rPr>
          <w:w w:val="99"/>
        </w:rPr>
        <w:t>a</w:t>
      </w:r>
    </w:p>
    <w:p>
      <w:pPr>
        <w:spacing w:before="120"/>
        <w:ind w:left="136" w:right="0" w:firstLine="0"/>
        <w:jc w:val="left"/>
        <w:rPr>
          <w:b/>
          <w:sz w:val="20"/>
        </w:rPr>
      </w:pPr>
      <w:r>
        <w:rPr>
          <w:b/>
          <w:sz w:val="20"/>
        </w:rPr>
        <w:t>David Mlejnek</w:t>
      </w:r>
    </w:p>
    <w:p>
      <w:pPr>
        <w:pStyle w:val="BodyText"/>
        <w:spacing w:before="3"/>
        <w:ind w:left="136"/>
      </w:pPr>
      <w:r>
        <w:rPr/>
        <w:t>se sídlem č.p. 40, 542 03 Královec</w:t>
      </w:r>
    </w:p>
    <w:p>
      <w:pPr>
        <w:pStyle w:val="BodyText"/>
        <w:spacing w:line="229" w:lineRule="exact"/>
        <w:ind w:left="136"/>
      </w:pPr>
      <w:r>
        <w:rPr/>
        <w:t>IČO: 68255730</w:t>
      </w:r>
    </w:p>
    <w:p>
      <w:pPr>
        <w:pStyle w:val="BodyText"/>
        <w:spacing w:line="229" w:lineRule="exact"/>
        <w:ind w:left="136"/>
      </w:pPr>
      <w:r>
        <w:rPr/>
        <w:t>jako pachtýř (dále jen „pachtýř“)</w:t>
      </w:r>
    </w:p>
    <w:p>
      <w:pPr>
        <w:pStyle w:val="BodyText"/>
        <w:spacing w:before="1"/>
        <w:ind w:left="136"/>
      </w:pPr>
      <w:r>
        <w:rPr/>
        <w:t>- na straně druhé –</w:t>
      </w:r>
    </w:p>
    <w:p>
      <w:pPr>
        <w:pStyle w:val="BodyText"/>
        <w:tabs>
          <w:tab w:pos="7428" w:val="left" w:leader="none"/>
        </w:tabs>
        <w:spacing w:before="139"/>
        <w:ind w:left="136" w:right="113"/>
        <w:jc w:val="center"/>
      </w:pPr>
      <w:r>
        <w:rPr/>
        <w:t>uzavírají   podle   ustanovení   §   2332   a   násl.   zákona   č.     </w:t>
      </w:r>
      <w:r>
        <w:rPr>
          <w:spacing w:val="25"/>
        </w:rPr>
        <w:t> </w:t>
      </w:r>
      <w:r>
        <w:rPr/>
        <w:t>89/2012  </w:t>
      </w:r>
      <w:r>
        <w:rPr>
          <w:spacing w:val="22"/>
        </w:rPr>
        <w:t> </w:t>
      </w:r>
      <w:r>
        <w:rPr/>
        <w:t>Sb.,</w:t>
        <w:tab/>
        <w:t>občanský  </w:t>
      </w:r>
      <w:r>
        <w:rPr>
          <w:spacing w:val="22"/>
        </w:rPr>
        <w:t> </w:t>
      </w:r>
      <w:r>
        <w:rPr/>
        <w:t>zákoník,</w:t>
      </w:r>
      <w:r>
        <w:rPr>
          <w:w w:val="99"/>
        </w:rPr>
        <w:t> </w:t>
      </w:r>
      <w:r>
        <w:rPr/>
        <w:t>ve znění pozdějších předpisů (dále jen „občanský zákoník“)  a podle §  27  zákona č. 219/2000  Sb.,   o</w:t>
      </w:r>
      <w:r>
        <w:rPr>
          <w:spacing w:val="-3"/>
        </w:rPr>
        <w:t> </w:t>
      </w:r>
      <w:r>
        <w:rPr/>
        <w:t>majetku</w:t>
      </w:r>
      <w:r>
        <w:rPr>
          <w:spacing w:val="-8"/>
        </w:rPr>
        <w:t> </w:t>
      </w:r>
      <w:r>
        <w:rPr/>
        <w:t>České</w:t>
      </w:r>
      <w:r>
        <w:rPr>
          <w:spacing w:val="-10"/>
        </w:rPr>
        <w:t> </w:t>
      </w:r>
      <w:r>
        <w:rPr/>
        <w:t>republiky</w:t>
      </w:r>
      <w:r>
        <w:rPr>
          <w:spacing w:val="-9"/>
        </w:rPr>
        <w:t> </w:t>
      </w:r>
      <w:r>
        <w:rPr/>
        <w:t>a</w:t>
      </w:r>
      <w:r>
        <w:rPr>
          <w:spacing w:val="-3"/>
        </w:rPr>
        <w:t> </w:t>
      </w:r>
      <w:r>
        <w:rPr/>
        <w:t>jejím</w:t>
      </w:r>
      <w:r>
        <w:rPr>
          <w:spacing w:val="-6"/>
        </w:rPr>
        <w:t> </w:t>
      </w:r>
      <w:r>
        <w:rPr/>
        <w:t>vystupování</w:t>
      </w:r>
      <w:r>
        <w:rPr>
          <w:spacing w:val="-8"/>
        </w:rPr>
        <w:t> </w:t>
      </w:r>
      <w:r>
        <w:rPr/>
        <w:t>v</w:t>
      </w:r>
      <w:r>
        <w:rPr>
          <w:spacing w:val="1"/>
        </w:rPr>
        <w:t> </w:t>
      </w:r>
      <w:r>
        <w:rPr/>
        <w:t>právních</w:t>
      </w:r>
      <w:r>
        <w:rPr>
          <w:spacing w:val="-10"/>
        </w:rPr>
        <w:t> </w:t>
      </w:r>
      <w:r>
        <w:rPr/>
        <w:t>vztazích,</w:t>
      </w:r>
      <w:r>
        <w:rPr>
          <w:spacing w:val="-8"/>
        </w:rPr>
        <w:t> </w:t>
      </w:r>
      <w:r>
        <w:rPr/>
        <w:t>ve</w:t>
      </w:r>
      <w:r>
        <w:rPr>
          <w:spacing w:val="-6"/>
        </w:rPr>
        <w:t> </w:t>
      </w:r>
      <w:r>
        <w:rPr/>
        <w:t>znění</w:t>
      </w:r>
      <w:r>
        <w:rPr>
          <w:spacing w:val="-8"/>
        </w:rPr>
        <w:t> </w:t>
      </w:r>
      <w:r>
        <w:rPr/>
        <w:t>pozdějších</w:t>
      </w:r>
      <w:r>
        <w:rPr>
          <w:spacing w:val="-10"/>
        </w:rPr>
        <w:t> </w:t>
      </w:r>
      <w:r>
        <w:rPr/>
        <w:t>předpisů,</w:t>
      </w:r>
      <w:r>
        <w:rPr>
          <w:spacing w:val="-8"/>
        </w:rPr>
        <w:t> </w:t>
      </w:r>
      <w:r>
        <w:rPr/>
        <w:t>tento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2" w:lineRule="exact"/>
      </w:pPr>
      <w:r>
        <w:rPr/>
        <w:t>Dodatek č.1</w:t>
      </w:r>
    </w:p>
    <w:p>
      <w:pPr>
        <w:pStyle w:val="Heading3"/>
        <w:spacing w:line="229" w:lineRule="exact"/>
        <w:ind w:left="128"/>
      </w:pPr>
      <w:r>
        <w:rPr/>
        <w:t>k pachtovní smlouvě č SMLN-22-98/2021</w:t>
      </w:r>
    </w:p>
    <w:p>
      <w:pPr>
        <w:pStyle w:val="BodyText"/>
        <w:spacing w:before="123"/>
        <w:ind w:left="130" w:right="113"/>
        <w:jc w:val="center"/>
      </w:pPr>
      <w:r>
        <w:rPr/>
        <w:t>(dále jen „dodatek“)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ind w:left="132"/>
      </w:pPr>
      <w:r>
        <w:rPr/>
        <w:t>I.</w:t>
      </w:r>
    </w:p>
    <w:p>
      <w:pPr>
        <w:spacing w:before="0"/>
        <w:ind w:left="131" w:right="113" w:firstLine="0"/>
        <w:jc w:val="center"/>
        <w:rPr>
          <w:b/>
          <w:sz w:val="20"/>
        </w:rPr>
      </w:pPr>
      <w:r>
        <w:rPr>
          <w:b/>
          <w:sz w:val="20"/>
        </w:rPr>
        <w:t>Úvodní ujednání</w:t>
      </w:r>
    </w:p>
    <w:p>
      <w:pPr>
        <w:pStyle w:val="BodyText"/>
        <w:spacing w:before="2"/>
        <w:ind w:left="136" w:right="115"/>
        <w:jc w:val="both"/>
      </w:pPr>
      <w:r>
        <w:rPr/>
        <w:t>Správa  KRNAP  (IČO:  00088455)  a  David  Mlejnek  (IČO:  68255730)   jako smluvní strany   uzavřely dne 01.11.2021    pachtovní     smlouvu     č. SMLN-22-98/2021     (dále     jen     „smlouva“). Z</w:t>
      </w:r>
      <w:r>
        <w:rPr>
          <w:spacing w:val="-2"/>
        </w:rPr>
        <w:t> </w:t>
      </w:r>
      <w:r>
        <w:rPr/>
        <w:t>důvodu</w:t>
      </w:r>
      <w:r>
        <w:rPr>
          <w:spacing w:val="-1"/>
        </w:rPr>
        <w:t> </w:t>
      </w:r>
      <w:r>
        <w:rPr/>
        <w:t>organizačních</w:t>
      </w:r>
      <w:r>
        <w:rPr>
          <w:spacing w:val="-3"/>
        </w:rPr>
        <w:t> </w:t>
      </w:r>
      <w:r>
        <w:rPr/>
        <w:t>změn</w:t>
      </w:r>
      <w:r>
        <w:rPr>
          <w:spacing w:val="-2"/>
        </w:rPr>
        <w:t> </w:t>
      </w:r>
      <w:r>
        <w:rPr/>
        <w:t>v</w:t>
      </w:r>
      <w:r>
        <w:rPr>
          <w:spacing w:val="-4"/>
        </w:rPr>
        <w:t> </w:t>
      </w:r>
      <w:r>
        <w:rPr/>
        <w:t>hospodářství</w:t>
      </w:r>
      <w:r>
        <w:rPr>
          <w:spacing w:val="-3"/>
        </w:rPr>
        <w:t> </w:t>
      </w:r>
      <w:r>
        <w:rPr/>
        <w:t>pachtýře</w:t>
      </w:r>
      <w:r>
        <w:rPr>
          <w:spacing w:val="-1"/>
        </w:rPr>
        <w:t> </w:t>
      </w:r>
      <w:r>
        <w:rPr/>
        <w:t>se</w:t>
      </w:r>
      <w:r>
        <w:rPr>
          <w:spacing w:val="-5"/>
        </w:rPr>
        <w:t> </w:t>
      </w:r>
      <w:r>
        <w:rPr/>
        <w:t>smluvní</w:t>
      </w:r>
      <w:r>
        <w:rPr>
          <w:spacing w:val="-4"/>
        </w:rPr>
        <w:t> </w:t>
      </w:r>
      <w:r>
        <w:rPr/>
        <w:t>strany</w:t>
      </w:r>
      <w:r>
        <w:rPr>
          <w:spacing w:val="-9"/>
        </w:rPr>
        <w:t> </w:t>
      </w:r>
      <w:r>
        <w:rPr/>
        <w:t>dohodly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/>
        <w:t>uzavření</w:t>
      </w:r>
      <w:r>
        <w:rPr>
          <w:spacing w:val="-5"/>
        </w:rPr>
        <w:t> </w:t>
      </w:r>
      <w:r>
        <w:rPr/>
        <w:t>dodatku k této</w:t>
      </w:r>
      <w:r>
        <w:rPr>
          <w:spacing w:val="-7"/>
        </w:rPr>
        <w:t> </w:t>
      </w:r>
      <w:r>
        <w:rPr/>
        <w:t>smlouvě.</w:t>
      </w:r>
    </w:p>
    <w:p>
      <w:pPr>
        <w:pStyle w:val="BodyText"/>
        <w:rPr>
          <w:sz w:val="30"/>
        </w:rPr>
      </w:pPr>
    </w:p>
    <w:p>
      <w:pPr>
        <w:pStyle w:val="Heading3"/>
        <w:ind w:left="130"/>
      </w:pPr>
      <w:r>
        <w:rPr/>
        <w:t>II.</w:t>
      </w:r>
    </w:p>
    <w:p>
      <w:pPr>
        <w:spacing w:before="0"/>
        <w:ind w:left="126" w:right="113" w:firstLine="0"/>
        <w:jc w:val="center"/>
        <w:rPr>
          <w:b/>
          <w:sz w:val="20"/>
        </w:rPr>
      </w:pPr>
      <w:r>
        <w:rPr>
          <w:b/>
          <w:sz w:val="20"/>
        </w:rPr>
        <w:t>Předmět dodatku</w:t>
      </w:r>
    </w:p>
    <w:p>
      <w:pPr>
        <w:pStyle w:val="BodyText"/>
        <w:spacing w:before="3"/>
        <w:ind w:left="136"/>
      </w:pPr>
      <w:r>
        <w:rPr>
          <w:u w:val="single"/>
        </w:rPr>
        <w:t>Ustanovení původního Čl. I a II se ruší a nahrazuje následujícím zněním:</w:t>
      </w:r>
    </w:p>
    <w:p>
      <w:pPr>
        <w:spacing w:line="207" w:lineRule="exact" w:before="120"/>
        <w:ind w:left="132" w:right="113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Čl. I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240" w:lineRule="auto" w:before="0" w:after="47"/>
        <w:ind w:left="563" w:right="112" w:hanging="446"/>
        <w:jc w:val="both"/>
        <w:rPr>
          <w:i/>
          <w:sz w:val="18"/>
        </w:rPr>
      </w:pPr>
      <w:r>
        <w:rPr>
          <w:i/>
          <w:sz w:val="18"/>
        </w:rPr>
        <w:t>Propachtovatel je podle zákona č. 219/2000 Sb., o majetku České republiky a jejím vystupování v právních </w:t>
      </w:r>
      <w:r>
        <w:rPr>
          <w:i/>
          <w:sz w:val="18"/>
        </w:rPr>
        <w:t>vztazích,  ve  znění  pozdějších  předpisů  a   zákona   č.  114/1992   Sb.,  o   ochraně  přírody   a krajiny,   ve znění pozdějších předpisů, příslušný hospodařit s následujícími nemovitými věcmi, které jsou vlastnictvím České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republiky</w:t>
      </w:r>
    </w:p>
    <w:tbl>
      <w:tblPr>
        <w:tblW w:w="0" w:type="auto"/>
        <w:jc w:val="left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1136"/>
        <w:gridCol w:w="1416"/>
        <w:gridCol w:w="991"/>
        <w:gridCol w:w="1419"/>
        <w:gridCol w:w="1419"/>
        <w:gridCol w:w="1133"/>
      </w:tblGrid>
      <w:tr>
        <w:trPr>
          <w:trHeight w:val="192" w:hRule="exact"/>
        </w:trPr>
        <w:tc>
          <w:tcPr>
            <w:tcW w:w="1140" w:type="dxa"/>
          </w:tcPr>
          <w:p>
            <w:pPr>
              <w:pStyle w:val="TableParagraph"/>
              <w:spacing w:line="180" w:lineRule="exact" w:before="0"/>
              <w:ind w:left="67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obec</w:t>
            </w:r>
          </w:p>
        </w:tc>
        <w:tc>
          <w:tcPr>
            <w:tcW w:w="1136" w:type="dxa"/>
          </w:tcPr>
          <w:p>
            <w:pPr>
              <w:pStyle w:val="TableParagraph"/>
              <w:spacing w:line="180" w:lineRule="exact" w:before="0"/>
              <w:ind w:left="67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kat. území</w:t>
            </w:r>
          </w:p>
        </w:tc>
        <w:tc>
          <w:tcPr>
            <w:tcW w:w="1416" w:type="dxa"/>
          </w:tcPr>
          <w:p>
            <w:pPr>
              <w:pStyle w:val="TableParagraph"/>
              <w:spacing w:line="180" w:lineRule="exact" w:before="0"/>
              <w:ind w:left="16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druh evidence</w:t>
            </w:r>
          </w:p>
        </w:tc>
        <w:tc>
          <w:tcPr>
            <w:tcW w:w="991" w:type="dxa"/>
          </w:tcPr>
          <w:p>
            <w:pPr>
              <w:pStyle w:val="TableParagraph"/>
              <w:spacing w:line="180" w:lineRule="exact" w:before="0"/>
              <w:ind w:left="12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parcela č.</w:t>
            </w:r>
          </w:p>
        </w:tc>
        <w:tc>
          <w:tcPr>
            <w:tcW w:w="1419" w:type="dxa"/>
          </w:tcPr>
          <w:p>
            <w:pPr>
              <w:pStyle w:val="TableParagraph"/>
              <w:spacing w:line="180" w:lineRule="exact" w:before="0"/>
              <w:ind w:left="24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výměra [m</w:t>
            </w:r>
            <w:r>
              <w:rPr>
                <w:b/>
                <w:i/>
                <w:position w:val="6"/>
                <w:sz w:val="10"/>
              </w:rPr>
              <w:t>2</w:t>
            </w:r>
            <w:r>
              <w:rPr>
                <w:b/>
                <w:i/>
                <w:sz w:val="16"/>
              </w:rPr>
              <w:t>]</w:t>
            </w:r>
          </w:p>
        </w:tc>
        <w:tc>
          <w:tcPr>
            <w:tcW w:w="141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80" w:lineRule="exact" w:before="0"/>
              <w:ind w:left="67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druh pozemku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80" w:lineRule="exact" w:before="0"/>
              <w:ind w:left="36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LV č.</w:t>
            </w:r>
          </w:p>
        </w:tc>
      </w:tr>
      <w:tr>
        <w:trPr>
          <w:trHeight w:val="218" w:hRule="exact"/>
        </w:trPr>
        <w:tc>
          <w:tcPr>
            <w:tcW w:w="8654" w:type="dxa"/>
            <w:gridSpan w:val="7"/>
          </w:tcPr>
          <w:p>
            <w:pPr>
              <w:pStyle w:val="TableParagraph"/>
              <w:spacing w:before="8"/>
              <w:ind w:left="3253" w:right="3251"/>
              <w:rPr>
                <w:i/>
                <w:sz w:val="16"/>
              </w:rPr>
            </w:pPr>
            <w:r>
              <w:rPr>
                <w:i/>
                <w:sz w:val="16"/>
              </w:rPr>
              <w:t>dle přílohy č. I tohoto dodatku</w:t>
            </w:r>
          </w:p>
        </w:tc>
      </w:tr>
    </w:tbl>
    <w:p>
      <w:pPr>
        <w:spacing w:before="35"/>
        <w:ind w:left="561" w:right="114" w:firstLine="0"/>
        <w:jc w:val="left"/>
        <w:rPr>
          <w:i/>
          <w:sz w:val="18"/>
        </w:rPr>
      </w:pPr>
      <w:r>
        <w:rPr>
          <w:i/>
          <w:sz w:val="18"/>
        </w:rPr>
        <w:t>a  jsou  zapsány  u  Katastrálního  úřadu   pro   Královéhradecký  kraj,   katastrálního   pracoviště   Trutnov </w:t>
      </w:r>
      <w:r>
        <w:rPr>
          <w:i/>
          <w:sz w:val="18"/>
        </w:rPr>
        <w:t>na výše uvedeném listu vlastnictví.</w:t>
      </w:r>
    </w:p>
    <w:p>
      <w:pPr>
        <w:pStyle w:val="ListParagraph"/>
        <w:numPr>
          <w:ilvl w:val="0"/>
          <w:numId w:val="1"/>
        </w:numPr>
        <w:tabs>
          <w:tab w:pos="563" w:val="left" w:leader="none"/>
          <w:tab w:pos="564" w:val="left" w:leader="none"/>
        </w:tabs>
        <w:spacing w:line="204" w:lineRule="exact" w:before="48" w:after="0"/>
        <w:ind w:left="563" w:right="121" w:hanging="446"/>
        <w:jc w:val="left"/>
        <w:rPr>
          <w:i/>
          <w:sz w:val="18"/>
        </w:rPr>
      </w:pPr>
      <w:r>
        <w:rPr>
          <w:i/>
          <w:sz w:val="18"/>
        </w:rPr>
        <w:t>Propachtovatel  dále  prohlašuje,  </w:t>
      </w:r>
      <w:r>
        <w:rPr>
          <w:i/>
          <w:spacing w:val="-3"/>
          <w:sz w:val="18"/>
        </w:rPr>
        <w:t>že  </w:t>
      </w:r>
      <w:r>
        <w:rPr>
          <w:i/>
          <w:sz w:val="18"/>
        </w:rPr>
        <w:t>je  vlastníkem  veškeré  výsadby,   tj.   všech   stromů   a   plodin,  </w:t>
      </w:r>
      <w:r>
        <w:rPr>
          <w:i/>
          <w:sz w:val="18"/>
        </w:rPr>
        <w:t>které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se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na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shora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uvedených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pozemcích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ke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dni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podpisu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této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smlouvy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nacházejí.</w:t>
      </w:r>
    </w:p>
    <w:p>
      <w:pPr>
        <w:pStyle w:val="BodyText"/>
        <w:spacing w:before="4"/>
        <w:rPr>
          <w:i/>
          <w:sz w:val="21"/>
        </w:rPr>
      </w:pPr>
    </w:p>
    <w:p>
      <w:pPr>
        <w:spacing w:line="207" w:lineRule="exact" w:before="0"/>
        <w:ind w:left="134" w:right="113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Čl. II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40" w:lineRule="auto" w:before="0" w:after="0"/>
        <w:ind w:left="563" w:right="112" w:hanging="446"/>
        <w:jc w:val="both"/>
        <w:rPr>
          <w:i/>
          <w:sz w:val="18"/>
        </w:rPr>
      </w:pPr>
      <w:r>
        <w:rPr>
          <w:i/>
          <w:sz w:val="18"/>
        </w:rPr>
        <w:t>Propachtovatel touto smlouvou přenechává pachtýři do užívání  nemovité  věci  uvedené  v  čl.  I  </w:t>
      </w:r>
      <w:r>
        <w:rPr>
          <w:i/>
          <w:spacing w:val="2"/>
          <w:sz w:val="18"/>
        </w:rPr>
        <w:t>odst. </w:t>
      </w:r>
      <w:r>
        <w:rPr>
          <w:i/>
          <w:sz w:val="18"/>
        </w:rPr>
        <w:t>1) </w:t>
      </w:r>
      <w:r>
        <w:rPr>
          <w:i/>
          <w:sz w:val="18"/>
        </w:rPr>
        <w:t>této smlouvy,  či  jejich  části   tak,   jak   jsou   podrobněji   specifikované   v příloze   č.   I   a   vyznačeny  na situačním zákresu  v  příloze  č.  III   této   smlouvy,   jež   jsou   nedílnou   součástí   této   smlouvy   (dále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jen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„pozemky“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či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„předmět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pachtu“),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pachtýř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se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zavazuje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hradit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propachtovateli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pachtovné.</w:t>
      </w:r>
    </w:p>
    <w:p>
      <w:pPr>
        <w:pStyle w:val="ListParagraph"/>
        <w:numPr>
          <w:ilvl w:val="0"/>
          <w:numId w:val="2"/>
        </w:numPr>
        <w:tabs>
          <w:tab w:pos="563" w:val="left" w:leader="none"/>
          <w:tab w:pos="564" w:val="left" w:leader="none"/>
        </w:tabs>
        <w:spacing w:line="204" w:lineRule="exact" w:before="50" w:after="0"/>
        <w:ind w:left="563" w:right="117" w:hanging="446"/>
        <w:jc w:val="left"/>
        <w:rPr>
          <w:i/>
          <w:sz w:val="18"/>
        </w:rPr>
      </w:pPr>
      <w:r>
        <w:rPr>
          <w:i/>
          <w:sz w:val="18"/>
        </w:rPr>
        <w:t>Předmět  pachtu   se   přenechává   pachtýři   do   užívání   za účelem   provozování   zemědělské   výroby  </w:t>
      </w:r>
      <w:r>
        <w:rPr>
          <w:i/>
          <w:sz w:val="18"/>
        </w:rPr>
        <w:t>a současně </w:t>
      </w:r>
      <w:r>
        <w:rPr>
          <w:i/>
          <w:spacing w:val="-3"/>
          <w:sz w:val="18"/>
        </w:rPr>
        <w:t>za </w:t>
      </w:r>
      <w:r>
        <w:rPr>
          <w:i/>
          <w:sz w:val="18"/>
        </w:rPr>
        <w:t>účelem údržby biotopu a podpory</w:t>
      </w:r>
      <w:r>
        <w:rPr>
          <w:i/>
          <w:spacing w:val="-13"/>
          <w:sz w:val="18"/>
        </w:rPr>
        <w:t> </w:t>
      </w:r>
      <w:r>
        <w:rPr>
          <w:i/>
          <w:sz w:val="18"/>
        </w:rPr>
        <w:t>biodiverzity.</w:t>
      </w: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240" w:lineRule="auto" w:before="40" w:after="0"/>
        <w:ind w:left="563" w:right="115" w:hanging="446"/>
        <w:jc w:val="both"/>
        <w:rPr>
          <w:i/>
          <w:sz w:val="18"/>
        </w:rPr>
      </w:pPr>
      <w:r>
        <w:rPr>
          <w:i/>
          <w:sz w:val="18"/>
        </w:rPr>
        <w:t>Propachtovatel   přenechává    pachtýři    předmět    pachtu    ve    stavu    odpovídajícímu    jeho    umístění </w:t>
      </w:r>
      <w:r>
        <w:rPr>
          <w:i/>
          <w:sz w:val="18"/>
        </w:rPr>
        <w:t>a ve stavu způsobilém k ujednanému užívání a požívání. Pachtýř současně prohlašuje, </w:t>
      </w:r>
      <w:r>
        <w:rPr>
          <w:i/>
          <w:spacing w:val="-3"/>
          <w:sz w:val="18"/>
        </w:rPr>
        <w:t>že </w:t>
      </w:r>
      <w:r>
        <w:rPr>
          <w:i/>
          <w:sz w:val="18"/>
        </w:rPr>
        <w:t>mu je stav pozemků dobře znám, a že jsou způsobilé pro užívání ke smluvenému</w:t>
      </w:r>
      <w:r>
        <w:rPr>
          <w:i/>
          <w:spacing w:val="-34"/>
          <w:sz w:val="18"/>
        </w:rPr>
        <w:t> </w:t>
      </w:r>
      <w:r>
        <w:rPr>
          <w:i/>
          <w:sz w:val="18"/>
        </w:rPr>
        <w:t>účelu.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BodyText"/>
        <w:spacing w:before="1"/>
        <w:ind w:left="136"/>
      </w:pPr>
      <w:r>
        <w:rPr>
          <w:u w:val="single"/>
        </w:rPr>
        <w:t>Znění čl. III, odst. 3) se v rozsahu níže uvedených písmen upravuje a mění následovně:</w:t>
      </w:r>
    </w:p>
    <w:p>
      <w:pPr>
        <w:spacing w:before="117"/>
        <w:ind w:left="986" w:right="114" w:hanging="358"/>
        <w:jc w:val="left"/>
        <w:rPr>
          <w:i/>
          <w:sz w:val="18"/>
        </w:rPr>
      </w:pPr>
      <w:r>
        <w:rPr>
          <w:i/>
          <w:sz w:val="18"/>
        </w:rPr>
        <w:t>h) strpět věcná břemena, resp. služebnosti či další omezení vyplývající z této  smlouvy  a z právních </w:t>
      </w:r>
      <w:r>
        <w:rPr>
          <w:i/>
          <w:sz w:val="18"/>
        </w:rPr>
        <w:t>předpisů spojená s předmětem pachtu</w:t>
      </w:r>
    </w:p>
    <w:p>
      <w:pPr>
        <w:pStyle w:val="BodyText"/>
        <w:rPr>
          <w:i/>
        </w:rPr>
      </w:pPr>
    </w:p>
    <w:p>
      <w:pPr>
        <w:pStyle w:val="BodyText"/>
        <w:spacing w:before="5"/>
        <w:rPr>
          <w:i/>
          <w:sz w:val="23"/>
        </w:rPr>
      </w:pPr>
    </w:p>
    <w:p>
      <w:pPr>
        <w:spacing w:before="0"/>
        <w:ind w:left="135" w:right="113" w:firstLine="0"/>
        <w:jc w:val="center"/>
        <w:rPr>
          <w:i/>
          <w:sz w:val="16"/>
        </w:rPr>
      </w:pPr>
      <w:r>
        <w:rPr>
          <w:i/>
          <w:sz w:val="16"/>
        </w:rPr>
        <w:t>str. 1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320" w:bottom="280" w:left="1280" w:right="1300"/>
        </w:sectPr>
      </w:pPr>
    </w:p>
    <w:p>
      <w:pPr>
        <w:spacing w:before="74"/>
        <w:ind w:left="986" w:right="115" w:hanging="358"/>
        <w:jc w:val="both"/>
        <w:rPr>
          <w:i/>
          <w:sz w:val="18"/>
        </w:rPr>
      </w:pPr>
      <w:r>
        <w:rPr>
          <w:i/>
          <w:sz w:val="18"/>
        </w:rPr>
        <w:t>l)  pachtýř   je   povinen,   na   výzvu   propachtovatele   (zejména   pracovníků   Územního   pracoviště   </w:t>
      </w:r>
      <w:r>
        <w:rPr>
          <w:i/>
          <w:sz w:val="18"/>
        </w:rPr>
        <w:t>Pec pod Sněžkou a oddělení ochrany přírody) pro potřeby výkonů nutných k řádné péči o území Krkonošského národního parku a jeho ochranného pásma, strpět využití propachtovaných pozemků  na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nezbytně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nutnou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dobu,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to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jak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propachtovatelem,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tak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i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třetími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osobami.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V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případě,</w:t>
      </w:r>
      <w:r>
        <w:rPr>
          <w:i/>
          <w:spacing w:val="-3"/>
          <w:sz w:val="18"/>
        </w:rPr>
        <w:t> že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pachtýř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poruší svou povinnost stanovenou mu v tomto písmenu smlouvy, je propachtovatel oprávněn vypovědět     tuto smlouvu dle čl. IV odst. 2), písm. f)</w:t>
      </w:r>
      <w:r>
        <w:rPr>
          <w:i/>
          <w:spacing w:val="-19"/>
          <w:sz w:val="18"/>
        </w:rPr>
        <w:t> </w:t>
      </w:r>
      <w:r>
        <w:rPr>
          <w:i/>
          <w:sz w:val="18"/>
        </w:rPr>
        <w:t>smlouvy;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ind w:left="136"/>
        <w:jc w:val="both"/>
      </w:pPr>
      <w:r>
        <w:rPr>
          <w:u w:val="single"/>
        </w:rPr>
        <w:t>Znění čl. III se dále doplňuje o následující ustanovení:</w:t>
      </w: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40" w:lineRule="auto" w:before="119" w:after="0"/>
        <w:ind w:left="568" w:right="111" w:hanging="444"/>
        <w:jc w:val="both"/>
        <w:rPr>
          <w:i/>
          <w:sz w:val="18"/>
        </w:rPr>
      </w:pPr>
      <w:r>
        <w:rPr>
          <w:i/>
          <w:sz w:val="18"/>
        </w:rPr>
        <w:t>Pachtýř se dále zavazuje, že za účelem výkonu povinností z titulu osoby příslušné hospodařit s majetkem </w:t>
      </w:r>
      <w:r>
        <w:rPr>
          <w:i/>
          <w:sz w:val="18"/>
        </w:rPr>
        <w:t>státu, a dále </w:t>
      </w:r>
      <w:r>
        <w:rPr>
          <w:i/>
          <w:spacing w:val="-3"/>
          <w:sz w:val="18"/>
        </w:rPr>
        <w:t>za </w:t>
      </w:r>
      <w:r>
        <w:rPr>
          <w:i/>
          <w:sz w:val="18"/>
        </w:rPr>
        <w:t>účelem výkonu činností vyplývající </w:t>
      </w:r>
      <w:r>
        <w:rPr>
          <w:i/>
          <w:spacing w:val="-3"/>
          <w:sz w:val="18"/>
        </w:rPr>
        <w:t>ze </w:t>
      </w:r>
      <w:r>
        <w:rPr>
          <w:i/>
          <w:sz w:val="18"/>
        </w:rPr>
        <w:t>zákona č. 114/1992 Sb., o ochraně přírody a krajiny,   v platném znění a souvisejících právních předpisů, umožní propachtovateli (zejména pracovníkům oddělení ochrany přírody) a dalším propachtovatelem určeným osobám vstup (a v případě potřeby propachtovatele též vjezd) na předmět pachtu dle potřeb propachtovatele. Těmito potřebami jsou zejména činnosti zahrnující mj. monitoring a výzkum z důvodu sběru podkladových dat pro další potřeby Správy KRNAP (propachtovatele),  a  dále  provedení  speciálních opatření  ochrany  přírody,  kterými  jsou  například, nikoliv však výlučně, likvidace invazivních a expanzivních rostlin, likvidace borůvčí, obnova vodního režimu, kácení náletových dřevin, frézování pařezů, likvidace staré zátěže, obnova zídek a kamenných snosů apod. Pachtýř je povinen  </w:t>
      </w:r>
      <w:r>
        <w:rPr>
          <w:i/>
          <w:spacing w:val="-3"/>
          <w:sz w:val="18"/>
        </w:rPr>
        <w:t>za  </w:t>
      </w:r>
      <w:r>
        <w:rPr>
          <w:i/>
          <w:sz w:val="18"/>
        </w:rPr>
        <w:t>tímto  účelem  poskytnout  propachtovateli  nezbytnou  součinnost  a  provádění těchto činností a opatření strpět. Provedení uvedených činností nebo speciálních opatření bude pachtýři oznámeno  alespoň  30  dnů  předem,  přičemž  při  plánování   těchto   činností   (speciálních opatření) bude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propachtovatel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přihlížet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k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charakteru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hospodaření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pachtýře na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pozemcích,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bude-li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to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objektivně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možné. V případě, </w:t>
      </w:r>
      <w:r>
        <w:rPr>
          <w:i/>
          <w:spacing w:val="-3"/>
          <w:sz w:val="18"/>
        </w:rPr>
        <w:t>že </w:t>
      </w:r>
      <w:r>
        <w:rPr>
          <w:i/>
          <w:sz w:val="18"/>
        </w:rPr>
        <w:t>pachtýř poruší své povinnosti stanovené mu v tomto písmenu smlouvy, je propachtovatel oprávněn vypovědět tuto smlouvu dle čl. IV odst. 2), písm. f)</w:t>
      </w:r>
      <w:r>
        <w:rPr>
          <w:i/>
          <w:spacing w:val="-23"/>
          <w:sz w:val="18"/>
        </w:rPr>
        <w:t> </w:t>
      </w:r>
      <w:r>
        <w:rPr>
          <w:i/>
          <w:sz w:val="18"/>
        </w:rPr>
        <w:t>smlouvy.</w:t>
      </w:r>
    </w:p>
    <w:p>
      <w:pPr>
        <w:pStyle w:val="ListParagraph"/>
        <w:numPr>
          <w:ilvl w:val="0"/>
          <w:numId w:val="3"/>
        </w:numPr>
        <w:tabs>
          <w:tab w:pos="564" w:val="left" w:leader="none"/>
        </w:tabs>
        <w:spacing w:line="240" w:lineRule="auto" w:before="39" w:after="0"/>
        <w:ind w:left="563" w:right="111" w:hanging="285"/>
        <w:jc w:val="both"/>
        <w:rPr>
          <w:i/>
          <w:sz w:val="18"/>
        </w:rPr>
      </w:pPr>
      <w:r>
        <w:rPr>
          <w:i/>
          <w:sz w:val="18"/>
        </w:rPr>
        <w:t>Za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předpokladu,</w:t>
      </w:r>
      <w:r>
        <w:rPr>
          <w:i/>
          <w:spacing w:val="-3"/>
          <w:sz w:val="18"/>
        </w:rPr>
        <w:t> že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pastva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hospodářských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zvířat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je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stanovena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jako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způsob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údržby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biotopu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(bod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1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přílohy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č.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II </w:t>
      </w:r>
      <w:r>
        <w:rPr>
          <w:i/>
          <w:sz w:val="18"/>
        </w:rPr>
        <w:t>tohoto dodatku), se pachtýř dále zavazuje, že po dobu trvání této smlouvy nebude mít žádné zimoviště hospodářských  zvířat  na  propachtovaných  pozemcích,  ledaže ve výjimečných  případech  s přihlédnutím k zájmům ochrany přírody se smluvní strany dohodnou jinak. V případě, </w:t>
      </w:r>
      <w:r>
        <w:rPr>
          <w:i/>
          <w:spacing w:val="-3"/>
          <w:sz w:val="18"/>
        </w:rPr>
        <w:t>že </w:t>
      </w:r>
      <w:r>
        <w:rPr>
          <w:i/>
          <w:sz w:val="18"/>
        </w:rPr>
        <w:t>pachtýř poruší tuto povinnost,    je propachtovatel oprávněn vypovědět tuto smlouvu dle čl. IV odst. 2), písm. f)</w:t>
      </w:r>
      <w:r>
        <w:rPr>
          <w:i/>
          <w:spacing w:val="-32"/>
          <w:sz w:val="18"/>
        </w:rPr>
        <w:t> </w:t>
      </w:r>
      <w:r>
        <w:rPr>
          <w:i/>
          <w:sz w:val="18"/>
        </w:rPr>
        <w:t>smlouvy.</w:t>
      </w:r>
    </w:p>
    <w:p>
      <w:pPr>
        <w:spacing w:line="240" w:lineRule="auto" w:before="42"/>
        <w:ind w:left="563" w:right="114" w:firstLine="0"/>
        <w:jc w:val="both"/>
        <w:rPr>
          <w:i/>
          <w:sz w:val="18"/>
        </w:rPr>
      </w:pPr>
      <w:r>
        <w:rPr>
          <w:i/>
          <w:sz w:val="18"/>
        </w:rPr>
        <w:t>V této souvislosti současně propachtovatel upozorňuje pachtýře, </w:t>
      </w:r>
      <w:r>
        <w:rPr>
          <w:i/>
          <w:spacing w:val="-3"/>
          <w:sz w:val="18"/>
        </w:rPr>
        <w:t>že </w:t>
      </w:r>
      <w:r>
        <w:rPr>
          <w:i/>
          <w:sz w:val="18"/>
        </w:rPr>
        <w:t>pokud budou mít zimoviště </w:t>
      </w:r>
      <w:r>
        <w:rPr>
          <w:i/>
          <w:sz w:val="18"/>
        </w:rPr>
        <w:t>hospodářských zvířat  na  jiných  pozemcích  nacházejících se  na území  Krkonošského národního  parku  a jeho ochranného  pásma,  je   třeba   učinit   taková   opatření,   aby   nedocházelo   k porušení   zákona  č.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114/1992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Sb.,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o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ochraně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přírody</w:t>
      </w:r>
      <w:r>
        <w:rPr>
          <w:i/>
          <w:spacing w:val="-13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krajiny,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v</w:t>
      </w:r>
      <w:r>
        <w:rPr>
          <w:i/>
          <w:spacing w:val="-13"/>
          <w:sz w:val="18"/>
        </w:rPr>
        <w:t> </w:t>
      </w:r>
      <w:r>
        <w:rPr>
          <w:i/>
          <w:sz w:val="18"/>
        </w:rPr>
        <w:t>platném</w:t>
      </w:r>
      <w:r>
        <w:rPr>
          <w:i/>
          <w:spacing w:val="-13"/>
          <w:sz w:val="18"/>
        </w:rPr>
        <w:t> </w:t>
      </w:r>
      <w:r>
        <w:rPr>
          <w:i/>
          <w:sz w:val="18"/>
        </w:rPr>
        <w:t>znění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s ním</w:t>
      </w:r>
      <w:r>
        <w:rPr>
          <w:i/>
          <w:spacing w:val="-15"/>
          <w:sz w:val="18"/>
        </w:rPr>
        <w:t> </w:t>
      </w:r>
      <w:r>
        <w:rPr>
          <w:i/>
          <w:sz w:val="18"/>
        </w:rPr>
        <w:t>souvisejících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právních</w:t>
      </w:r>
      <w:r>
        <w:rPr>
          <w:i/>
          <w:spacing w:val="-16"/>
          <w:sz w:val="18"/>
        </w:rPr>
        <w:t> </w:t>
      </w:r>
      <w:r>
        <w:rPr>
          <w:i/>
          <w:sz w:val="18"/>
        </w:rPr>
        <w:t>předpisů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norem. V opačném případě se pachtýř vystavuje nebezpečí uložení sankcí k tomu příslušnými</w:t>
      </w:r>
      <w:r>
        <w:rPr>
          <w:i/>
          <w:spacing w:val="-31"/>
          <w:sz w:val="18"/>
        </w:rPr>
        <w:t> </w:t>
      </w:r>
      <w:r>
        <w:rPr>
          <w:i/>
          <w:sz w:val="18"/>
        </w:rPr>
        <w:t>orgány.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BodyText"/>
        <w:spacing w:before="1"/>
        <w:ind w:left="136"/>
        <w:jc w:val="both"/>
      </w:pPr>
      <w:r>
        <w:rPr>
          <w:u w:val="single"/>
        </w:rPr>
        <w:t>Znění čl. IV, odst. 2) se rozšiřuje o následující ustanovení:</w:t>
      </w:r>
    </w:p>
    <w:p>
      <w:pPr>
        <w:spacing w:line="240" w:lineRule="auto" w:before="120"/>
        <w:ind w:left="985" w:right="111" w:hanging="358"/>
        <w:jc w:val="both"/>
        <w:rPr>
          <w:i/>
          <w:sz w:val="18"/>
        </w:rPr>
      </w:pPr>
      <w:r>
        <w:rPr>
          <w:i/>
          <w:sz w:val="18"/>
        </w:rPr>
        <w:t>f) Propachtovatel je oprávněn vypovědět tuto smlouvu též v případech, kdy dojde k podstatnému porušení </w:t>
      </w:r>
      <w:r>
        <w:rPr>
          <w:i/>
          <w:sz w:val="18"/>
        </w:rPr>
        <w:t>povinností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této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smlouvy</w:t>
      </w:r>
      <w:r>
        <w:rPr>
          <w:i/>
          <w:spacing w:val="-7"/>
          <w:sz w:val="18"/>
        </w:rPr>
        <w:t> </w:t>
      </w:r>
      <w:r>
        <w:rPr>
          <w:i/>
          <w:spacing w:val="-3"/>
          <w:sz w:val="18"/>
        </w:rPr>
        <w:t>ze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strany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pachtýře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(zejména,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nebude-li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pachtýř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plnit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řádně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povinnosti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stanovené v příloze č. II této smlouvy) a dále v případech uvedených v této smlouvě. Výpovědní doba v takovém případě činí 1 měsíc a počíná běžet prvním dnem následujícího kalendářního měsíce po doručení výpovědi.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BodyText"/>
        <w:spacing w:before="1"/>
        <w:ind w:left="136"/>
        <w:jc w:val="both"/>
      </w:pPr>
      <w:r>
        <w:rPr>
          <w:u w:val="single"/>
        </w:rPr>
        <w:t>Ustanovení původního čl. V, odst. 2) se ruší a nahrazuje následujícím zněním:</w:t>
      </w:r>
    </w:p>
    <w:p>
      <w:pPr>
        <w:pStyle w:val="ListParagraph"/>
        <w:numPr>
          <w:ilvl w:val="0"/>
          <w:numId w:val="4"/>
        </w:numPr>
        <w:tabs>
          <w:tab w:pos="564" w:val="left" w:leader="none"/>
        </w:tabs>
        <w:spacing w:line="240" w:lineRule="auto" w:before="117" w:after="0"/>
        <w:ind w:left="563" w:right="115" w:hanging="285"/>
        <w:jc w:val="both"/>
        <w:rPr>
          <w:i/>
          <w:sz w:val="18"/>
        </w:rPr>
      </w:pPr>
      <w:r>
        <w:rPr>
          <w:i/>
          <w:sz w:val="18"/>
        </w:rPr>
        <w:t>Roční  pachtovné  se  stanovuje  dohodou  ve  výši  18.083,-  Kč  (slovy:  osmnáct  tisíc   osmdesát  tři </w:t>
      </w:r>
      <w:r>
        <w:rPr>
          <w:i/>
          <w:sz w:val="18"/>
        </w:rPr>
        <w:t>koruny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českých).</w:t>
      </w:r>
    </w:p>
    <w:p>
      <w:pPr>
        <w:pStyle w:val="ListParagraph"/>
        <w:numPr>
          <w:ilvl w:val="0"/>
          <w:numId w:val="4"/>
        </w:numPr>
        <w:tabs>
          <w:tab w:pos="564" w:val="left" w:leader="none"/>
          <w:tab w:pos="5429" w:val="left" w:leader="none"/>
        </w:tabs>
        <w:spacing w:line="237" w:lineRule="auto" w:before="43" w:after="0"/>
        <w:ind w:left="563" w:right="114" w:hanging="285"/>
        <w:jc w:val="both"/>
        <w:rPr>
          <w:i/>
          <w:sz w:val="18"/>
        </w:rPr>
      </w:pPr>
      <w:r>
        <w:rPr/>
        <w:pict>
          <v:rect style="position:absolute;margin-left:242.410004pt;margin-top:25.475479pt;width:92.1508pt;height:8.4239pt;mso-position-horizontal-relative:page;mso-position-vertical-relative:paragraph;z-index:-24952" filled="true" fillcolor="#000000" stroked="false">
            <v:fill type="solid"/>
            <w10:wrap type="none"/>
          </v:rect>
        </w:pict>
      </w:r>
      <w:r>
        <w:rPr>
          <w:i/>
          <w:sz w:val="18"/>
        </w:rPr>
        <w:t>Pachtovné   bude   hrazeno   </w:t>
      </w:r>
      <w:r>
        <w:rPr>
          <w:b/>
          <w:i/>
          <w:sz w:val="18"/>
        </w:rPr>
        <w:t>1x   ročně</w:t>
      </w:r>
      <w:r>
        <w:rPr>
          <w:i/>
          <w:sz w:val="18"/>
        </w:rPr>
        <w:t>,    a    to    na    základě    daňového    dokladu    (faktury)  </w:t>
      </w:r>
      <w:r>
        <w:rPr>
          <w:i/>
          <w:sz w:val="18"/>
        </w:rPr>
        <w:t>vystavené propachtovatelem a zaslané   na   adresu   pachtýře   uvedenou   v záhlaví   této    smlouvy,  nebo na e-mailovou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adresu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pachtýře:</w:t>
        <w:tab/>
        <w:t>, s termínem splatnosti do 1.10. daného</w:t>
      </w:r>
      <w:r>
        <w:rPr>
          <w:i/>
          <w:spacing w:val="-16"/>
          <w:sz w:val="18"/>
        </w:rPr>
        <w:t> </w:t>
      </w:r>
      <w:r>
        <w:rPr>
          <w:i/>
          <w:sz w:val="18"/>
        </w:rPr>
        <w:t>roku.</w:t>
      </w:r>
    </w:p>
    <w:p>
      <w:pPr>
        <w:pStyle w:val="BodyText"/>
        <w:spacing w:before="7"/>
        <w:rPr>
          <w:i/>
          <w:sz w:val="21"/>
        </w:rPr>
      </w:pPr>
    </w:p>
    <w:p>
      <w:pPr>
        <w:pStyle w:val="BodyText"/>
        <w:spacing w:before="1"/>
        <w:ind w:left="136" w:right="114"/>
        <w:jc w:val="both"/>
      </w:pPr>
      <w:r>
        <w:rPr/>
        <w:t>Smluvní  strany  se  tímto  dále  dohodly   na   tom,   že   pachtovné   za   kalendářní   rok   2024   bude s ohledem na předmět  dodatku,  jenž  spočívá   mj.   v zúžení   předmětu   pachtu   uhrazeno   ve výši  20.452,- Kč (slovy: dvacet tisíc čtyři sta padesát dvě koruny</w:t>
      </w:r>
      <w:r>
        <w:rPr>
          <w:spacing w:val="-26"/>
        </w:rPr>
        <w:t> </w:t>
      </w:r>
      <w:r>
        <w:rPr/>
        <w:t>českých).</w:t>
      </w:r>
    </w:p>
    <w:p>
      <w:pPr>
        <w:pStyle w:val="BodyText"/>
        <w:spacing w:before="1"/>
      </w:pPr>
    </w:p>
    <w:p>
      <w:pPr>
        <w:pStyle w:val="BodyText"/>
        <w:ind w:left="136"/>
        <w:jc w:val="both"/>
      </w:pPr>
      <w:r>
        <w:rPr>
          <w:u w:val="single"/>
        </w:rPr>
        <w:t>Ustanovení původního Čl. VI se ruší a nahrazuje následujícím zněním:</w:t>
      </w:r>
    </w:p>
    <w:p>
      <w:pPr>
        <w:spacing w:before="117"/>
        <w:ind w:left="132" w:right="113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Čl. VI</w:t>
      </w:r>
    </w:p>
    <w:p>
      <w:pPr>
        <w:pStyle w:val="ListParagraph"/>
        <w:numPr>
          <w:ilvl w:val="0"/>
          <w:numId w:val="5"/>
        </w:numPr>
        <w:tabs>
          <w:tab w:pos="564" w:val="left" w:leader="none"/>
        </w:tabs>
        <w:spacing w:line="240" w:lineRule="auto" w:before="2" w:after="0"/>
        <w:ind w:left="563" w:right="114" w:hanging="446"/>
        <w:jc w:val="both"/>
        <w:rPr>
          <w:i/>
          <w:sz w:val="18"/>
        </w:rPr>
      </w:pPr>
      <w:r>
        <w:rPr>
          <w:i/>
          <w:sz w:val="18"/>
        </w:rPr>
        <w:t>Propachtovatel prohlašuje, </w:t>
      </w:r>
      <w:r>
        <w:rPr>
          <w:i/>
          <w:spacing w:val="-3"/>
          <w:sz w:val="18"/>
        </w:rPr>
        <w:t>že </w:t>
      </w:r>
      <w:r>
        <w:rPr>
          <w:i/>
          <w:sz w:val="18"/>
        </w:rPr>
        <w:t>pachtem pozemků bude dosaženo účelnějšího a hospodárnějšího využití </w:t>
      </w:r>
      <w:r>
        <w:rPr>
          <w:i/>
          <w:sz w:val="18"/>
        </w:rPr>
        <w:t>pozemků při zachování hlavního účelu, ke kterému slouží. Účelem pachtu je zajištění zájmů ochrany přírody a krajiny prostřednictvím podmínek stanovených propachtovatelem v příloze č. II této smlouvy, vyplývajících ze zákona č. 114/1992 Sb., o ochraně přírody a krajiny, v platném znění, s ním souvisejících právních předpisů a koncepčních dokumentů  (Zásady  péče o KRNAP a jeho OP, Soubor doporučených opatření  pro EVL a PO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Krkonoše).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22"/>
        </w:rPr>
      </w:pPr>
    </w:p>
    <w:p>
      <w:pPr>
        <w:spacing w:before="96"/>
        <w:ind w:left="135" w:right="113" w:firstLine="0"/>
        <w:jc w:val="center"/>
        <w:rPr>
          <w:i/>
          <w:sz w:val="16"/>
        </w:rPr>
      </w:pPr>
      <w:r>
        <w:rPr>
          <w:i/>
          <w:sz w:val="16"/>
        </w:rPr>
        <w:t>str. 2</w:t>
      </w:r>
    </w:p>
    <w:p>
      <w:pPr>
        <w:spacing w:after="0"/>
        <w:jc w:val="center"/>
        <w:rPr>
          <w:sz w:val="16"/>
        </w:rPr>
        <w:sectPr>
          <w:pgSz w:w="11910" w:h="16840"/>
          <w:pgMar w:top="1320" w:bottom="280" w:left="1280" w:right="1300"/>
        </w:sectPr>
      </w:pPr>
    </w:p>
    <w:p>
      <w:pPr>
        <w:pStyle w:val="BodyText"/>
        <w:spacing w:before="75"/>
        <w:ind w:left="196"/>
      </w:pPr>
      <w:r>
        <w:rPr>
          <w:u w:val="single"/>
        </w:rPr>
        <w:t>Přílohy</w:t>
      </w:r>
    </w:p>
    <w:p>
      <w:pPr>
        <w:pStyle w:val="ListParagraph"/>
        <w:numPr>
          <w:ilvl w:val="1"/>
          <w:numId w:val="5"/>
        </w:numPr>
        <w:tabs>
          <w:tab w:pos="904" w:val="left" w:leader="none"/>
          <w:tab w:pos="905" w:val="left" w:leader="none"/>
        </w:tabs>
        <w:spacing w:line="240" w:lineRule="auto" w:before="0" w:after="0"/>
        <w:ind w:left="904" w:right="0" w:hanging="355"/>
        <w:jc w:val="left"/>
        <w:rPr>
          <w:i/>
          <w:sz w:val="18"/>
        </w:rPr>
      </w:pPr>
      <w:r>
        <w:rPr>
          <w:i/>
          <w:sz w:val="18"/>
        </w:rPr>
        <w:t>Příloha č. I původního znění smlouvy se nahrazuje Přílohou č. II tohoto</w:t>
      </w:r>
      <w:r>
        <w:rPr>
          <w:i/>
          <w:spacing w:val="-28"/>
          <w:sz w:val="18"/>
        </w:rPr>
        <w:t> </w:t>
      </w:r>
      <w:r>
        <w:rPr>
          <w:i/>
          <w:sz w:val="18"/>
        </w:rPr>
        <w:t>dodatku</w:t>
      </w:r>
    </w:p>
    <w:p>
      <w:pPr>
        <w:pStyle w:val="ListParagraph"/>
        <w:numPr>
          <w:ilvl w:val="1"/>
          <w:numId w:val="5"/>
        </w:numPr>
        <w:tabs>
          <w:tab w:pos="904" w:val="left" w:leader="none"/>
          <w:tab w:pos="905" w:val="left" w:leader="none"/>
        </w:tabs>
        <w:spacing w:line="240" w:lineRule="auto" w:before="0" w:after="0"/>
        <w:ind w:left="904" w:right="0" w:hanging="360"/>
        <w:jc w:val="left"/>
        <w:rPr>
          <w:i/>
          <w:sz w:val="18"/>
        </w:rPr>
      </w:pPr>
      <w:r>
        <w:rPr>
          <w:i/>
          <w:sz w:val="18"/>
        </w:rPr>
        <w:t>Příloha č. II původního znění smlouvy se nahrazuje Přílohou č. III tohoto</w:t>
      </w:r>
      <w:r>
        <w:rPr>
          <w:i/>
          <w:spacing w:val="-26"/>
          <w:sz w:val="18"/>
        </w:rPr>
        <w:t> </w:t>
      </w:r>
      <w:r>
        <w:rPr>
          <w:i/>
          <w:sz w:val="18"/>
        </w:rPr>
        <w:t>dodatku</w:t>
      </w:r>
    </w:p>
    <w:p>
      <w:pPr>
        <w:pStyle w:val="BodyText"/>
        <w:spacing w:before="9"/>
        <w:rPr>
          <w:i/>
          <w:sz w:val="19"/>
        </w:rPr>
      </w:pPr>
    </w:p>
    <w:p>
      <w:pPr>
        <w:pStyle w:val="BodyText"/>
        <w:ind w:left="196"/>
      </w:pPr>
      <w:r>
        <w:rPr>
          <w:u w:val="single"/>
        </w:rPr>
        <w:t>Ostatní ustanovení pachtovní smlouvy zůstávají beze změny.</w:t>
      </w:r>
    </w:p>
    <w:p>
      <w:pPr>
        <w:pStyle w:val="BodyText"/>
        <w:spacing w:before="6"/>
        <w:rPr>
          <w:sz w:val="11"/>
        </w:rPr>
      </w:pPr>
    </w:p>
    <w:p>
      <w:pPr>
        <w:pStyle w:val="Heading3"/>
        <w:spacing w:before="92"/>
        <w:ind w:left="3777" w:right="3703"/>
      </w:pPr>
      <w:r>
        <w:rPr/>
        <w:t>III.</w:t>
      </w:r>
    </w:p>
    <w:p>
      <w:pPr>
        <w:spacing w:before="0"/>
        <w:ind w:left="3778" w:right="3703" w:firstLine="0"/>
        <w:jc w:val="center"/>
        <w:rPr>
          <w:b/>
          <w:sz w:val="20"/>
        </w:rPr>
      </w:pPr>
      <w:r>
        <w:rPr>
          <w:b/>
          <w:sz w:val="20"/>
        </w:rPr>
        <w:t>Závěrečná ujednání</w:t>
      </w:r>
    </w:p>
    <w:p>
      <w:pPr>
        <w:pStyle w:val="ListParagraph"/>
        <w:numPr>
          <w:ilvl w:val="0"/>
          <w:numId w:val="6"/>
        </w:numPr>
        <w:tabs>
          <w:tab w:pos="624" w:val="left" w:leader="none"/>
        </w:tabs>
        <w:spacing w:line="240" w:lineRule="auto" w:before="3" w:after="0"/>
        <w:ind w:left="623" w:right="125" w:hanging="463"/>
        <w:jc w:val="both"/>
        <w:rPr>
          <w:sz w:val="20"/>
        </w:rPr>
      </w:pPr>
      <w:r>
        <w:rPr>
          <w:sz w:val="20"/>
        </w:rPr>
        <w:t>Tento dodatek je vyhotoven ve čtyřech  stejnopisech,  z  nichž  každý  má  platnost  originálu.  Dva stejnopisy přebírá pachtýř a dva jsou určeny pro</w:t>
      </w:r>
      <w:r>
        <w:rPr>
          <w:spacing w:val="-20"/>
          <w:sz w:val="20"/>
        </w:rPr>
        <w:t> </w:t>
      </w:r>
      <w:r>
        <w:rPr>
          <w:sz w:val="20"/>
        </w:rPr>
        <w:t>propachtovatele.</w:t>
      </w:r>
    </w:p>
    <w:p>
      <w:pPr>
        <w:pStyle w:val="ListParagraph"/>
        <w:numPr>
          <w:ilvl w:val="0"/>
          <w:numId w:val="6"/>
        </w:numPr>
        <w:tabs>
          <w:tab w:pos="624" w:val="left" w:leader="none"/>
        </w:tabs>
        <w:spacing w:line="240" w:lineRule="auto" w:before="60" w:after="0"/>
        <w:ind w:left="623" w:right="111" w:hanging="463"/>
        <w:jc w:val="both"/>
        <w:rPr>
          <w:sz w:val="20"/>
        </w:rPr>
      </w:pPr>
      <w:r>
        <w:rPr>
          <w:sz w:val="20"/>
        </w:rPr>
        <w:t>Tento   dodatek    nabývá    platnosti    dnem    jeho    podpisu    oběma    smluvními    stranami   a účinnosti dnem uveřejnění   dodatku   v registru   smluv.    Smluvní    strany    tímto    souhlasí se zveřejněním celého znění smlouvy, včetně všech jejích dodatků a změn, v registru</w:t>
      </w:r>
      <w:r>
        <w:rPr>
          <w:spacing w:val="-32"/>
          <w:sz w:val="20"/>
        </w:rPr>
        <w:t> </w:t>
      </w:r>
      <w:r>
        <w:rPr>
          <w:sz w:val="20"/>
        </w:rPr>
        <w:t>smluv.</w:t>
      </w:r>
    </w:p>
    <w:p>
      <w:pPr>
        <w:pStyle w:val="ListParagraph"/>
        <w:numPr>
          <w:ilvl w:val="0"/>
          <w:numId w:val="6"/>
        </w:numPr>
        <w:tabs>
          <w:tab w:pos="624" w:val="left" w:leader="none"/>
        </w:tabs>
        <w:spacing w:line="240" w:lineRule="auto" w:before="60" w:after="0"/>
        <w:ind w:left="623" w:right="114" w:hanging="463"/>
        <w:jc w:val="both"/>
        <w:rPr>
          <w:sz w:val="20"/>
        </w:rPr>
      </w:pPr>
      <w:r>
        <w:rPr>
          <w:sz w:val="20"/>
        </w:rPr>
        <w:t>Smluvní   strany   po   přečtení   tohoto   dodatku   prohlašují,   že   s jeho   obsahem   souhlasí    a že tento dodatek je shodným projevem  jejich vážné  a svobodné vůle, a nebyl  uzavřen  v tísni či za nápadně nevýhodných  podmínek,  že  dodatku  porozuměli   a   chápou   jeho   význam,  což stvrzují svými</w:t>
      </w:r>
      <w:r>
        <w:rPr>
          <w:spacing w:val="-12"/>
          <w:sz w:val="20"/>
        </w:rPr>
        <w:t> </w:t>
      </w:r>
      <w:r>
        <w:rPr>
          <w:sz w:val="20"/>
        </w:rPr>
        <w:t>podpisy.</w:t>
      </w:r>
    </w:p>
    <w:p>
      <w:pPr>
        <w:pStyle w:val="BodyText"/>
        <w:rPr>
          <w:sz w:val="25"/>
        </w:rPr>
      </w:pPr>
    </w:p>
    <w:p>
      <w:pPr>
        <w:tabs>
          <w:tab w:pos="2320" w:val="left" w:leader="none"/>
        </w:tabs>
        <w:spacing w:before="0"/>
        <w:ind w:left="1329" w:right="2748" w:hanging="1133"/>
        <w:jc w:val="left"/>
        <w:rPr>
          <w:sz w:val="16"/>
        </w:rPr>
      </w:pPr>
      <w:r>
        <w:rPr>
          <w:sz w:val="16"/>
        </w:rPr>
        <w:t>Seznam příloh: Příloha</w:t>
      </w:r>
      <w:r>
        <w:rPr>
          <w:spacing w:val="10"/>
          <w:sz w:val="16"/>
        </w:rPr>
        <w:t> </w:t>
      </w:r>
      <w:r>
        <w:rPr>
          <w:sz w:val="16"/>
        </w:rPr>
        <w:t>č.</w:t>
      </w:r>
      <w:r>
        <w:rPr>
          <w:spacing w:val="-2"/>
          <w:sz w:val="16"/>
        </w:rPr>
        <w:t> </w:t>
      </w:r>
      <w:r>
        <w:rPr>
          <w:sz w:val="16"/>
        </w:rPr>
        <w:t>I</w:t>
        <w:tab/>
        <w:t>Seznam pozemků – údaje dle KN a výměry</w:t>
      </w:r>
      <w:r>
        <w:rPr>
          <w:spacing w:val="-19"/>
          <w:sz w:val="16"/>
        </w:rPr>
        <w:t> </w:t>
      </w:r>
      <w:r>
        <w:rPr>
          <w:sz w:val="16"/>
        </w:rPr>
        <w:t>předmětu</w:t>
      </w:r>
      <w:r>
        <w:rPr>
          <w:spacing w:val="-4"/>
          <w:sz w:val="16"/>
        </w:rPr>
        <w:t> </w:t>
      </w:r>
      <w:r>
        <w:rPr>
          <w:sz w:val="16"/>
        </w:rPr>
        <w:t>pachtu</w:t>
      </w:r>
      <w:r>
        <w:rPr>
          <w:w w:val="100"/>
          <w:sz w:val="16"/>
        </w:rPr>
        <w:t> </w:t>
      </w:r>
      <w:r>
        <w:rPr>
          <w:sz w:val="16"/>
        </w:rPr>
        <w:t>Příloha č. II Podmínky zemědělského užívání a způsobu údržby biotopu Příloha č. III   Mapový zákres – vymezení předmětu</w:t>
      </w:r>
      <w:r>
        <w:rPr>
          <w:spacing w:val="-18"/>
          <w:sz w:val="16"/>
        </w:rPr>
        <w:t> </w:t>
      </w:r>
      <w:r>
        <w:rPr>
          <w:sz w:val="16"/>
        </w:rPr>
        <w:t>pachtu</w:t>
      </w:r>
    </w:p>
    <w:p>
      <w:pPr>
        <w:pStyle w:val="BodyText"/>
      </w:pP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1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4"/>
        <w:gridCol w:w="4324"/>
      </w:tblGrid>
      <w:tr>
        <w:trPr>
          <w:trHeight w:val="801" w:hRule="exact"/>
        </w:trPr>
        <w:tc>
          <w:tcPr>
            <w:tcW w:w="4324" w:type="dxa"/>
          </w:tcPr>
          <w:p>
            <w:pPr>
              <w:pStyle w:val="TableParagraph"/>
              <w:spacing w:line="223" w:lineRule="exact" w:before="0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Ve Vrchlabí dne:</w:t>
            </w:r>
          </w:p>
        </w:tc>
        <w:tc>
          <w:tcPr>
            <w:tcW w:w="4324" w:type="dxa"/>
          </w:tcPr>
          <w:p>
            <w:pPr>
              <w:pStyle w:val="TableParagraph"/>
              <w:spacing w:line="223" w:lineRule="exact" w:before="0"/>
              <w:ind w:left="412"/>
              <w:jc w:val="left"/>
              <w:rPr>
                <w:sz w:val="20"/>
              </w:rPr>
            </w:pPr>
            <w:r>
              <w:rPr>
                <w:sz w:val="20"/>
              </w:rPr>
              <w:t>V Peci pod Sněžkou dne:</w:t>
            </w:r>
          </w:p>
        </w:tc>
      </w:tr>
      <w:tr>
        <w:trPr>
          <w:trHeight w:val="1490" w:hRule="exact"/>
        </w:trPr>
        <w:tc>
          <w:tcPr>
            <w:tcW w:w="4324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782" w:right="390"/>
              <w:rPr>
                <w:sz w:val="20"/>
              </w:rPr>
            </w:pPr>
            <w:r>
              <w:rPr>
                <w:sz w:val="20"/>
              </w:rPr>
              <w:t>………………………………………..</w:t>
            </w:r>
          </w:p>
          <w:p>
            <w:pPr>
              <w:pStyle w:val="TableParagraph"/>
              <w:spacing w:before="0"/>
              <w:ind w:left="782" w:right="389"/>
              <w:rPr>
                <w:sz w:val="20"/>
              </w:rPr>
            </w:pPr>
            <w:r>
              <w:rPr>
                <w:sz w:val="20"/>
              </w:rPr>
              <w:t>Správa KRNAP</w:t>
            </w:r>
          </w:p>
          <w:p>
            <w:pPr>
              <w:pStyle w:val="TableParagraph"/>
              <w:spacing w:before="0"/>
              <w:ind w:left="782" w:right="387"/>
              <w:rPr>
                <w:sz w:val="20"/>
              </w:rPr>
            </w:pPr>
            <w:r>
              <w:rPr>
                <w:sz w:val="20"/>
              </w:rPr>
              <w:t>PhDr. Robin Böhnisch, ředitel propachtovatel</w:t>
            </w:r>
          </w:p>
        </w:tc>
        <w:tc>
          <w:tcPr>
            <w:tcW w:w="4324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994" w:right="178"/>
              <w:rPr>
                <w:sz w:val="20"/>
              </w:rPr>
            </w:pPr>
            <w:r>
              <w:rPr>
                <w:sz w:val="20"/>
              </w:rPr>
              <w:t>………………………………………..</w:t>
            </w:r>
          </w:p>
          <w:p>
            <w:pPr>
              <w:pStyle w:val="TableParagraph"/>
              <w:spacing w:before="0"/>
              <w:ind w:left="1943" w:right="1125"/>
              <w:rPr>
                <w:sz w:val="20"/>
              </w:rPr>
            </w:pPr>
            <w:r>
              <w:rPr>
                <w:sz w:val="20"/>
              </w:rPr>
              <w:t>David Mlejnek pachtýř</w:t>
            </w: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30"/>
        <w:ind w:left="3778" w:right="3696" w:firstLine="0"/>
        <w:jc w:val="center"/>
        <w:rPr>
          <w:i/>
          <w:sz w:val="16"/>
        </w:rPr>
      </w:pPr>
      <w:r>
        <w:rPr>
          <w:i/>
          <w:sz w:val="16"/>
        </w:rPr>
        <w:t>str. 3</w:t>
      </w:r>
    </w:p>
    <w:p>
      <w:pPr>
        <w:spacing w:after="0"/>
        <w:jc w:val="center"/>
        <w:rPr>
          <w:sz w:val="16"/>
        </w:rPr>
        <w:sectPr>
          <w:pgSz w:w="11910" w:h="16840"/>
          <w:pgMar w:top="1320" w:bottom="280" w:left="1220" w:right="1300"/>
        </w:sectPr>
      </w:pPr>
    </w:p>
    <w:p>
      <w:pPr>
        <w:pStyle w:val="BodyText"/>
        <w:rPr>
          <w:i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3.100006pt;margin-top:33.899982pt;width:213pt;height:33pt;mso-position-horizontal-relative:page;mso-position-vertical-relative:page;z-index:1048" type="#_x0000_t202" filled="false" stroked="true" strokeweight="2pt" strokecolor="#000000">
            <v:textbox inset="0,0,0,0">
              <w:txbxContent>
                <w:p>
                  <w:pPr>
                    <w:spacing w:before="168"/>
                    <w:ind w:left="1346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Příloha č.I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2"/>
        <w:rPr>
          <w:i/>
          <w:sz w:val="19"/>
        </w:rPr>
      </w:pPr>
    </w:p>
    <w:tbl>
      <w:tblPr>
        <w:tblW w:w="0" w:type="auto"/>
        <w:jc w:val="left"/>
        <w:tblInd w:w="116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0"/>
        <w:gridCol w:w="985"/>
        <w:gridCol w:w="819"/>
        <w:gridCol w:w="819"/>
        <w:gridCol w:w="819"/>
        <w:gridCol w:w="1433"/>
        <w:gridCol w:w="704"/>
        <w:gridCol w:w="154"/>
        <w:gridCol w:w="1906"/>
      </w:tblGrid>
      <w:tr>
        <w:trPr>
          <w:trHeight w:val="499" w:hRule="exact"/>
        </w:trPr>
        <w:tc>
          <w:tcPr>
            <w:tcW w:w="1420" w:type="dxa"/>
            <w:shd w:val="clear" w:color="auto" w:fill="BEBEBE"/>
          </w:tcPr>
          <w:p>
            <w:pPr>
              <w:pStyle w:val="TableParagraph"/>
              <w:spacing w:before="16"/>
              <w:ind w:left="7" w:right="1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obec</w:t>
            </w:r>
          </w:p>
        </w:tc>
        <w:tc>
          <w:tcPr>
            <w:tcW w:w="985" w:type="dxa"/>
            <w:shd w:val="clear" w:color="auto" w:fill="BEBEBE"/>
          </w:tcPr>
          <w:p>
            <w:pPr>
              <w:pStyle w:val="TableParagraph"/>
              <w:spacing w:before="16"/>
              <w:ind w:left="63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kat. území</w:t>
            </w:r>
          </w:p>
        </w:tc>
        <w:tc>
          <w:tcPr>
            <w:tcW w:w="819" w:type="dxa"/>
            <w:shd w:val="clear" w:color="auto" w:fill="BEBEBE"/>
          </w:tcPr>
          <w:p>
            <w:pPr>
              <w:pStyle w:val="TableParagraph"/>
              <w:spacing w:line="283" w:lineRule="auto" w:before="16"/>
              <w:ind w:left="25" w:right="42" w:firstLine="192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druh evidence</w:t>
            </w:r>
          </w:p>
        </w:tc>
        <w:tc>
          <w:tcPr>
            <w:tcW w:w="819" w:type="dxa"/>
            <w:shd w:val="clear" w:color="auto" w:fill="BEBEBE"/>
          </w:tcPr>
          <w:p>
            <w:pPr>
              <w:pStyle w:val="TableParagraph"/>
              <w:spacing w:line="283" w:lineRule="auto" w:before="16"/>
              <w:ind w:left="332" w:right="109" w:hanging="244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parcela č.</w:t>
            </w:r>
          </w:p>
        </w:tc>
        <w:tc>
          <w:tcPr>
            <w:tcW w:w="819" w:type="dxa"/>
            <w:shd w:val="clear" w:color="auto" w:fill="BEBEBE"/>
          </w:tcPr>
          <w:p>
            <w:pPr>
              <w:pStyle w:val="TableParagraph"/>
              <w:spacing w:line="273" w:lineRule="auto" w:before="16"/>
              <w:ind w:left="243" w:right="95" w:hanging="141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výměra [m</w:t>
            </w:r>
            <w:r>
              <w:rPr>
                <w:b/>
                <w:w w:val="105"/>
                <w:position w:val="8"/>
                <w:sz w:val="11"/>
              </w:rPr>
              <w:t>2</w:t>
            </w:r>
            <w:r>
              <w:rPr>
                <w:b/>
                <w:w w:val="105"/>
                <w:sz w:val="16"/>
              </w:rPr>
              <w:t>]</w:t>
            </w:r>
          </w:p>
        </w:tc>
        <w:tc>
          <w:tcPr>
            <w:tcW w:w="1433" w:type="dxa"/>
            <w:shd w:val="clear" w:color="auto" w:fill="BEBEBE"/>
          </w:tcPr>
          <w:p>
            <w:pPr>
              <w:pStyle w:val="TableParagraph"/>
              <w:spacing w:before="16"/>
              <w:ind w:left="127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druh pozemku</w:t>
            </w:r>
          </w:p>
        </w:tc>
        <w:tc>
          <w:tcPr>
            <w:tcW w:w="704" w:type="dxa"/>
            <w:shd w:val="clear" w:color="auto" w:fill="BEBEBE"/>
          </w:tcPr>
          <w:p>
            <w:pPr>
              <w:pStyle w:val="TableParagraph"/>
              <w:spacing w:before="16"/>
              <w:ind w:left="123" w:right="126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LV č.</w:t>
            </w:r>
          </w:p>
        </w:tc>
        <w:tc>
          <w:tcPr>
            <w:tcW w:w="154" w:type="dxa"/>
            <w:shd w:val="clear" w:color="auto" w:fill="BEBEBE"/>
          </w:tcPr>
          <w:p>
            <w:pPr/>
          </w:p>
        </w:tc>
        <w:tc>
          <w:tcPr>
            <w:tcW w:w="1906" w:type="dxa"/>
            <w:shd w:val="clear" w:color="auto" w:fill="BEBEBE"/>
          </w:tcPr>
          <w:p>
            <w:pPr>
              <w:pStyle w:val="TableParagraph"/>
              <w:spacing w:line="273" w:lineRule="auto" w:before="16"/>
              <w:ind w:left="63" w:firstLine="575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výměra předmětu pachtu [m</w:t>
            </w:r>
            <w:r>
              <w:rPr>
                <w:b/>
                <w:w w:val="105"/>
                <w:position w:val="8"/>
                <w:sz w:val="11"/>
              </w:rPr>
              <w:t>2</w:t>
            </w:r>
            <w:r>
              <w:rPr>
                <w:b/>
                <w:w w:val="105"/>
                <w:sz w:val="16"/>
              </w:rPr>
              <w:t>]</w:t>
            </w:r>
          </w:p>
        </w:tc>
      </w:tr>
      <w:tr>
        <w:trPr>
          <w:trHeight w:val="256" w:hRule="exact"/>
        </w:trPr>
        <w:tc>
          <w:tcPr>
            <w:tcW w:w="1420" w:type="dxa"/>
          </w:tcPr>
          <w:p>
            <w:pPr>
              <w:pStyle w:val="TableParagraph"/>
              <w:spacing w:before="42"/>
              <w:ind w:left="7" w:right="43"/>
              <w:rPr>
                <w:sz w:val="16"/>
              </w:rPr>
            </w:pPr>
            <w:r>
              <w:rPr>
                <w:w w:val="105"/>
                <w:sz w:val="16"/>
              </w:rPr>
              <w:t>Pec pod Sněžkou</w:t>
            </w:r>
          </w:p>
        </w:tc>
        <w:tc>
          <w:tcPr>
            <w:tcW w:w="985" w:type="dxa"/>
          </w:tcPr>
          <w:p>
            <w:pPr>
              <w:pStyle w:val="TableParagraph"/>
              <w:spacing w:before="42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Velká Úpa I</w:t>
            </w:r>
          </w:p>
        </w:tc>
        <w:tc>
          <w:tcPr>
            <w:tcW w:w="819" w:type="dxa"/>
          </w:tcPr>
          <w:p>
            <w:pPr>
              <w:pStyle w:val="TableParagraph"/>
              <w:spacing w:before="42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KN</w:t>
            </w:r>
          </w:p>
        </w:tc>
        <w:tc>
          <w:tcPr>
            <w:tcW w:w="819" w:type="dxa"/>
          </w:tcPr>
          <w:p>
            <w:pPr>
              <w:pStyle w:val="TableParagraph"/>
              <w:spacing w:before="42"/>
              <w:ind w:left="124" w:right="124"/>
              <w:rPr>
                <w:sz w:val="16"/>
              </w:rPr>
            </w:pPr>
            <w:r>
              <w:rPr>
                <w:w w:val="105"/>
                <w:sz w:val="16"/>
              </w:rPr>
              <w:t>461</w:t>
            </w:r>
          </w:p>
        </w:tc>
        <w:tc>
          <w:tcPr>
            <w:tcW w:w="819" w:type="dxa"/>
          </w:tcPr>
          <w:p>
            <w:pPr>
              <w:pStyle w:val="TableParagraph"/>
              <w:spacing w:before="42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1433" w:type="dxa"/>
          </w:tcPr>
          <w:p>
            <w:pPr>
              <w:pStyle w:val="TableParagraph"/>
              <w:spacing w:before="42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ostatní plocha</w:t>
            </w:r>
          </w:p>
        </w:tc>
        <w:tc>
          <w:tcPr>
            <w:tcW w:w="704" w:type="dxa"/>
          </w:tcPr>
          <w:p>
            <w:pPr>
              <w:pStyle w:val="TableParagraph"/>
              <w:spacing w:before="42"/>
              <w:ind w:left="123" w:right="111"/>
              <w:rPr>
                <w:sz w:val="16"/>
              </w:rPr>
            </w:pPr>
            <w:r>
              <w:rPr>
                <w:w w:val="105"/>
                <w:sz w:val="16"/>
              </w:rPr>
              <w:t>818</w:t>
            </w:r>
          </w:p>
        </w:tc>
        <w:tc>
          <w:tcPr>
            <w:tcW w:w="154" w:type="dxa"/>
          </w:tcPr>
          <w:p>
            <w:pPr>
              <w:pStyle w:val="TableParagraph"/>
              <w:spacing w:before="42"/>
              <w:ind w:right="35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*</w:t>
            </w:r>
          </w:p>
        </w:tc>
        <w:tc>
          <w:tcPr>
            <w:tcW w:w="1906" w:type="dxa"/>
          </w:tcPr>
          <w:p>
            <w:pPr>
              <w:pStyle w:val="TableParagraph"/>
              <w:spacing w:before="42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</w:tr>
      <w:tr>
        <w:trPr>
          <w:trHeight w:val="256" w:hRule="exact"/>
        </w:trPr>
        <w:tc>
          <w:tcPr>
            <w:tcW w:w="1420" w:type="dxa"/>
          </w:tcPr>
          <w:p>
            <w:pPr>
              <w:pStyle w:val="TableParagraph"/>
              <w:spacing w:before="42"/>
              <w:ind w:left="7" w:right="43"/>
              <w:rPr>
                <w:sz w:val="16"/>
              </w:rPr>
            </w:pPr>
            <w:r>
              <w:rPr>
                <w:w w:val="105"/>
                <w:sz w:val="16"/>
              </w:rPr>
              <w:t>Pec pod Sněžkou</w:t>
            </w:r>
          </w:p>
        </w:tc>
        <w:tc>
          <w:tcPr>
            <w:tcW w:w="985" w:type="dxa"/>
          </w:tcPr>
          <w:p>
            <w:pPr>
              <w:pStyle w:val="TableParagraph"/>
              <w:spacing w:before="42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Velká Úpa I</w:t>
            </w:r>
          </w:p>
        </w:tc>
        <w:tc>
          <w:tcPr>
            <w:tcW w:w="819" w:type="dxa"/>
          </w:tcPr>
          <w:p>
            <w:pPr>
              <w:pStyle w:val="TableParagraph"/>
              <w:spacing w:before="42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KN</w:t>
            </w:r>
          </w:p>
        </w:tc>
        <w:tc>
          <w:tcPr>
            <w:tcW w:w="819" w:type="dxa"/>
          </w:tcPr>
          <w:p>
            <w:pPr>
              <w:pStyle w:val="TableParagraph"/>
              <w:spacing w:before="42"/>
              <w:ind w:left="126" w:right="112"/>
              <w:rPr>
                <w:sz w:val="16"/>
              </w:rPr>
            </w:pPr>
            <w:r>
              <w:rPr>
                <w:w w:val="105"/>
                <w:sz w:val="16"/>
              </w:rPr>
              <w:t>466/5</w:t>
            </w:r>
          </w:p>
        </w:tc>
        <w:tc>
          <w:tcPr>
            <w:tcW w:w="819" w:type="dxa"/>
          </w:tcPr>
          <w:p>
            <w:pPr>
              <w:pStyle w:val="TableParagraph"/>
              <w:spacing w:before="42"/>
              <w:ind w:right="2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1 523</w:t>
            </w:r>
          </w:p>
        </w:tc>
        <w:tc>
          <w:tcPr>
            <w:tcW w:w="1433" w:type="dxa"/>
          </w:tcPr>
          <w:p>
            <w:pPr>
              <w:pStyle w:val="TableParagraph"/>
              <w:spacing w:before="42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trvalý travní porost</w:t>
            </w:r>
          </w:p>
        </w:tc>
        <w:tc>
          <w:tcPr>
            <w:tcW w:w="704" w:type="dxa"/>
          </w:tcPr>
          <w:p>
            <w:pPr>
              <w:pStyle w:val="TableParagraph"/>
              <w:spacing w:before="42"/>
              <w:ind w:left="123" w:right="111"/>
              <w:rPr>
                <w:sz w:val="16"/>
              </w:rPr>
            </w:pPr>
            <w:r>
              <w:rPr>
                <w:w w:val="105"/>
                <w:sz w:val="16"/>
              </w:rPr>
              <w:t>818</w:t>
            </w:r>
          </w:p>
        </w:tc>
        <w:tc>
          <w:tcPr>
            <w:tcW w:w="154" w:type="dxa"/>
          </w:tcPr>
          <w:p>
            <w:pPr/>
          </w:p>
        </w:tc>
        <w:tc>
          <w:tcPr>
            <w:tcW w:w="1906" w:type="dxa"/>
          </w:tcPr>
          <w:p>
            <w:pPr>
              <w:pStyle w:val="TableParagraph"/>
              <w:spacing w:before="42"/>
              <w:ind w:right="2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1 523</w:t>
            </w:r>
          </w:p>
        </w:tc>
      </w:tr>
      <w:tr>
        <w:trPr>
          <w:trHeight w:val="256" w:hRule="exact"/>
        </w:trPr>
        <w:tc>
          <w:tcPr>
            <w:tcW w:w="1420" w:type="dxa"/>
          </w:tcPr>
          <w:p>
            <w:pPr>
              <w:pStyle w:val="TableParagraph"/>
              <w:ind w:left="7" w:right="43"/>
              <w:rPr>
                <w:sz w:val="16"/>
              </w:rPr>
            </w:pPr>
            <w:r>
              <w:rPr>
                <w:w w:val="105"/>
                <w:sz w:val="16"/>
              </w:rPr>
              <w:t>Pec pod Sněžkou</w:t>
            </w:r>
          </w:p>
        </w:tc>
        <w:tc>
          <w:tcPr>
            <w:tcW w:w="985" w:type="dxa"/>
          </w:tcPr>
          <w:p>
            <w:pPr>
              <w:pStyle w:val="TableParagraph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Velká Úpa I</w:t>
            </w:r>
          </w:p>
        </w:tc>
        <w:tc>
          <w:tcPr>
            <w:tcW w:w="819" w:type="dxa"/>
          </w:tcPr>
          <w:p>
            <w:pPr>
              <w:pStyle w:val="TableParagraph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KN</w:t>
            </w:r>
          </w:p>
        </w:tc>
        <w:tc>
          <w:tcPr>
            <w:tcW w:w="819" w:type="dxa"/>
          </w:tcPr>
          <w:p>
            <w:pPr>
              <w:pStyle w:val="TableParagraph"/>
              <w:ind w:left="126" w:right="112"/>
              <w:rPr>
                <w:sz w:val="16"/>
              </w:rPr>
            </w:pPr>
            <w:r>
              <w:rPr>
                <w:w w:val="105"/>
                <w:sz w:val="16"/>
              </w:rPr>
              <w:t>478/2</w:t>
            </w:r>
          </w:p>
        </w:tc>
        <w:tc>
          <w:tcPr>
            <w:tcW w:w="819" w:type="dxa"/>
          </w:tcPr>
          <w:p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3 565</w:t>
            </w:r>
          </w:p>
        </w:tc>
        <w:tc>
          <w:tcPr>
            <w:tcW w:w="1433" w:type="dxa"/>
          </w:tcPr>
          <w:p>
            <w:pPr>
              <w:pStyle w:val="TableParagraph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trvalý travní porost</w:t>
            </w:r>
          </w:p>
        </w:tc>
        <w:tc>
          <w:tcPr>
            <w:tcW w:w="704" w:type="dxa"/>
          </w:tcPr>
          <w:p>
            <w:pPr>
              <w:pStyle w:val="TableParagraph"/>
              <w:ind w:left="123" w:right="111"/>
              <w:rPr>
                <w:sz w:val="16"/>
              </w:rPr>
            </w:pPr>
            <w:r>
              <w:rPr>
                <w:w w:val="105"/>
                <w:sz w:val="16"/>
              </w:rPr>
              <w:t>818</w:t>
            </w:r>
          </w:p>
        </w:tc>
        <w:tc>
          <w:tcPr>
            <w:tcW w:w="154" w:type="dxa"/>
          </w:tcPr>
          <w:p>
            <w:pPr/>
          </w:p>
        </w:tc>
        <w:tc>
          <w:tcPr>
            <w:tcW w:w="1906" w:type="dxa"/>
          </w:tcPr>
          <w:p>
            <w:pPr>
              <w:pStyle w:val="TableParagraph"/>
              <w:ind w:right="2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3 565</w:t>
            </w:r>
          </w:p>
        </w:tc>
      </w:tr>
      <w:tr>
        <w:trPr>
          <w:trHeight w:val="256" w:hRule="exact"/>
        </w:trPr>
        <w:tc>
          <w:tcPr>
            <w:tcW w:w="1420" w:type="dxa"/>
          </w:tcPr>
          <w:p>
            <w:pPr>
              <w:pStyle w:val="TableParagraph"/>
              <w:ind w:left="7" w:right="43"/>
              <w:rPr>
                <w:sz w:val="16"/>
              </w:rPr>
            </w:pPr>
            <w:r>
              <w:rPr>
                <w:w w:val="105"/>
                <w:sz w:val="16"/>
              </w:rPr>
              <w:t>Pec pod Sněžkou</w:t>
            </w:r>
          </w:p>
        </w:tc>
        <w:tc>
          <w:tcPr>
            <w:tcW w:w="985" w:type="dxa"/>
          </w:tcPr>
          <w:p>
            <w:pPr>
              <w:pStyle w:val="TableParagraph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Velká Úpa I</w:t>
            </w:r>
          </w:p>
        </w:tc>
        <w:tc>
          <w:tcPr>
            <w:tcW w:w="819" w:type="dxa"/>
          </w:tcPr>
          <w:p>
            <w:pPr>
              <w:pStyle w:val="TableParagraph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KN</w:t>
            </w:r>
          </w:p>
        </w:tc>
        <w:tc>
          <w:tcPr>
            <w:tcW w:w="819" w:type="dxa"/>
          </w:tcPr>
          <w:p>
            <w:pPr>
              <w:pStyle w:val="TableParagraph"/>
              <w:ind w:left="126" w:right="112"/>
              <w:rPr>
                <w:sz w:val="16"/>
              </w:rPr>
            </w:pPr>
            <w:r>
              <w:rPr>
                <w:w w:val="105"/>
                <w:sz w:val="16"/>
              </w:rPr>
              <w:t>538/5</w:t>
            </w:r>
          </w:p>
        </w:tc>
        <w:tc>
          <w:tcPr>
            <w:tcW w:w="819" w:type="dxa"/>
          </w:tcPr>
          <w:p>
            <w:pPr>
              <w:pStyle w:val="TableParagraph"/>
              <w:ind w:right="2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19 224</w:t>
            </w:r>
          </w:p>
        </w:tc>
        <w:tc>
          <w:tcPr>
            <w:tcW w:w="1433" w:type="dxa"/>
          </w:tcPr>
          <w:p>
            <w:pPr>
              <w:pStyle w:val="TableParagraph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lesní pozemek</w:t>
            </w:r>
          </w:p>
        </w:tc>
        <w:tc>
          <w:tcPr>
            <w:tcW w:w="704" w:type="dxa"/>
          </w:tcPr>
          <w:p>
            <w:pPr>
              <w:pStyle w:val="TableParagraph"/>
              <w:ind w:left="123" w:right="111"/>
              <w:rPr>
                <w:sz w:val="16"/>
              </w:rPr>
            </w:pPr>
            <w:r>
              <w:rPr>
                <w:w w:val="105"/>
                <w:sz w:val="16"/>
              </w:rPr>
              <w:t>818</w:t>
            </w:r>
          </w:p>
        </w:tc>
        <w:tc>
          <w:tcPr>
            <w:tcW w:w="154" w:type="dxa"/>
          </w:tcPr>
          <w:p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*</w:t>
            </w:r>
          </w:p>
        </w:tc>
        <w:tc>
          <w:tcPr>
            <w:tcW w:w="1906" w:type="dxa"/>
          </w:tcPr>
          <w:p>
            <w:pPr>
              <w:pStyle w:val="TableParagraph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801</w:t>
            </w:r>
          </w:p>
        </w:tc>
      </w:tr>
      <w:tr>
        <w:trPr>
          <w:trHeight w:val="256" w:hRule="exact"/>
        </w:trPr>
        <w:tc>
          <w:tcPr>
            <w:tcW w:w="1420" w:type="dxa"/>
          </w:tcPr>
          <w:p>
            <w:pPr>
              <w:pStyle w:val="TableParagraph"/>
              <w:spacing w:before="42"/>
              <w:ind w:left="7" w:right="43"/>
              <w:rPr>
                <w:sz w:val="16"/>
              </w:rPr>
            </w:pPr>
            <w:r>
              <w:rPr>
                <w:w w:val="105"/>
                <w:sz w:val="16"/>
              </w:rPr>
              <w:t>Pec pod Sněžkou</w:t>
            </w:r>
          </w:p>
        </w:tc>
        <w:tc>
          <w:tcPr>
            <w:tcW w:w="985" w:type="dxa"/>
          </w:tcPr>
          <w:p>
            <w:pPr>
              <w:pStyle w:val="TableParagraph"/>
              <w:spacing w:before="42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Velká Úpa I</w:t>
            </w:r>
          </w:p>
        </w:tc>
        <w:tc>
          <w:tcPr>
            <w:tcW w:w="819" w:type="dxa"/>
          </w:tcPr>
          <w:p>
            <w:pPr>
              <w:pStyle w:val="TableParagraph"/>
              <w:spacing w:before="42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KN</w:t>
            </w:r>
          </w:p>
        </w:tc>
        <w:tc>
          <w:tcPr>
            <w:tcW w:w="819" w:type="dxa"/>
          </w:tcPr>
          <w:p>
            <w:pPr>
              <w:pStyle w:val="TableParagraph"/>
              <w:spacing w:before="42"/>
              <w:ind w:left="126" w:right="112"/>
              <w:rPr>
                <w:sz w:val="16"/>
              </w:rPr>
            </w:pPr>
            <w:r>
              <w:rPr>
                <w:w w:val="105"/>
                <w:sz w:val="16"/>
              </w:rPr>
              <w:t>538/6</w:t>
            </w:r>
          </w:p>
        </w:tc>
        <w:tc>
          <w:tcPr>
            <w:tcW w:w="819" w:type="dxa"/>
          </w:tcPr>
          <w:p>
            <w:pPr>
              <w:pStyle w:val="TableParagraph"/>
              <w:spacing w:before="42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335</w:t>
            </w:r>
          </w:p>
        </w:tc>
        <w:tc>
          <w:tcPr>
            <w:tcW w:w="1433" w:type="dxa"/>
          </w:tcPr>
          <w:p>
            <w:pPr>
              <w:pStyle w:val="TableParagraph"/>
              <w:spacing w:before="42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ostatní plocha</w:t>
            </w:r>
          </w:p>
        </w:tc>
        <w:tc>
          <w:tcPr>
            <w:tcW w:w="704" w:type="dxa"/>
          </w:tcPr>
          <w:p>
            <w:pPr>
              <w:pStyle w:val="TableParagraph"/>
              <w:spacing w:before="42"/>
              <w:ind w:left="123" w:right="111"/>
              <w:rPr>
                <w:sz w:val="16"/>
              </w:rPr>
            </w:pPr>
            <w:r>
              <w:rPr>
                <w:w w:val="105"/>
                <w:sz w:val="16"/>
              </w:rPr>
              <w:t>818</w:t>
            </w:r>
          </w:p>
        </w:tc>
        <w:tc>
          <w:tcPr>
            <w:tcW w:w="154" w:type="dxa"/>
          </w:tcPr>
          <w:p>
            <w:pPr>
              <w:pStyle w:val="TableParagraph"/>
              <w:spacing w:before="42"/>
              <w:ind w:right="35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*</w:t>
            </w:r>
          </w:p>
        </w:tc>
        <w:tc>
          <w:tcPr>
            <w:tcW w:w="1906" w:type="dxa"/>
          </w:tcPr>
          <w:p>
            <w:pPr>
              <w:pStyle w:val="TableParagraph"/>
              <w:spacing w:before="42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</w:tr>
      <w:tr>
        <w:trPr>
          <w:trHeight w:val="256" w:hRule="exact"/>
        </w:trPr>
        <w:tc>
          <w:tcPr>
            <w:tcW w:w="1420" w:type="dxa"/>
          </w:tcPr>
          <w:p>
            <w:pPr>
              <w:pStyle w:val="TableParagraph"/>
              <w:spacing w:before="42"/>
              <w:ind w:left="7" w:right="43"/>
              <w:rPr>
                <w:sz w:val="16"/>
              </w:rPr>
            </w:pPr>
            <w:r>
              <w:rPr>
                <w:w w:val="105"/>
                <w:sz w:val="16"/>
              </w:rPr>
              <w:t>Pec pod Sněžkou</w:t>
            </w:r>
          </w:p>
        </w:tc>
        <w:tc>
          <w:tcPr>
            <w:tcW w:w="985" w:type="dxa"/>
          </w:tcPr>
          <w:p>
            <w:pPr>
              <w:pStyle w:val="TableParagraph"/>
              <w:spacing w:before="42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Velká Úpa I</w:t>
            </w:r>
          </w:p>
        </w:tc>
        <w:tc>
          <w:tcPr>
            <w:tcW w:w="819" w:type="dxa"/>
          </w:tcPr>
          <w:p>
            <w:pPr>
              <w:pStyle w:val="TableParagraph"/>
              <w:spacing w:before="42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KN</w:t>
            </w:r>
          </w:p>
        </w:tc>
        <w:tc>
          <w:tcPr>
            <w:tcW w:w="819" w:type="dxa"/>
          </w:tcPr>
          <w:p>
            <w:pPr>
              <w:pStyle w:val="TableParagraph"/>
              <w:spacing w:before="42"/>
              <w:ind w:left="126" w:right="112"/>
              <w:rPr>
                <w:sz w:val="16"/>
              </w:rPr>
            </w:pPr>
            <w:r>
              <w:rPr>
                <w:w w:val="105"/>
                <w:sz w:val="16"/>
              </w:rPr>
              <w:t>538/7</w:t>
            </w:r>
          </w:p>
        </w:tc>
        <w:tc>
          <w:tcPr>
            <w:tcW w:w="819" w:type="dxa"/>
          </w:tcPr>
          <w:p>
            <w:pPr>
              <w:pStyle w:val="TableParagraph"/>
              <w:spacing w:before="42"/>
              <w:ind w:right="2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1 820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42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lesní pozemek</w:t>
            </w:r>
          </w:p>
        </w:tc>
        <w:tc>
          <w:tcPr>
            <w:tcW w:w="704" w:type="dxa"/>
          </w:tcPr>
          <w:p>
            <w:pPr>
              <w:pStyle w:val="TableParagraph"/>
              <w:spacing w:before="42"/>
              <w:ind w:left="123" w:right="111"/>
              <w:rPr>
                <w:sz w:val="16"/>
              </w:rPr>
            </w:pPr>
            <w:r>
              <w:rPr>
                <w:w w:val="105"/>
                <w:sz w:val="16"/>
              </w:rPr>
              <w:t>818</w:t>
            </w:r>
          </w:p>
        </w:tc>
        <w:tc>
          <w:tcPr>
            <w:tcW w:w="154" w:type="dxa"/>
          </w:tcPr>
          <w:p>
            <w:pPr>
              <w:pStyle w:val="TableParagraph"/>
              <w:spacing w:before="42"/>
              <w:ind w:right="35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*</w:t>
            </w:r>
          </w:p>
        </w:tc>
        <w:tc>
          <w:tcPr>
            <w:tcW w:w="1906" w:type="dxa"/>
          </w:tcPr>
          <w:p>
            <w:pPr>
              <w:pStyle w:val="TableParagraph"/>
              <w:spacing w:before="42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</w:tr>
      <w:tr>
        <w:trPr>
          <w:trHeight w:val="256" w:hRule="exact"/>
        </w:trPr>
        <w:tc>
          <w:tcPr>
            <w:tcW w:w="1420" w:type="dxa"/>
          </w:tcPr>
          <w:p>
            <w:pPr>
              <w:pStyle w:val="TableParagraph"/>
              <w:ind w:left="7" w:right="43"/>
              <w:rPr>
                <w:sz w:val="16"/>
              </w:rPr>
            </w:pPr>
            <w:r>
              <w:rPr>
                <w:w w:val="105"/>
                <w:sz w:val="16"/>
              </w:rPr>
              <w:t>Pec pod Sněžkou</w:t>
            </w:r>
          </w:p>
        </w:tc>
        <w:tc>
          <w:tcPr>
            <w:tcW w:w="985" w:type="dxa"/>
          </w:tcPr>
          <w:p>
            <w:pPr>
              <w:pStyle w:val="TableParagraph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Velká Úpa I</w:t>
            </w:r>
          </w:p>
        </w:tc>
        <w:tc>
          <w:tcPr>
            <w:tcW w:w="819" w:type="dxa"/>
          </w:tcPr>
          <w:p>
            <w:pPr>
              <w:pStyle w:val="TableParagraph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KN</w:t>
            </w:r>
          </w:p>
        </w:tc>
        <w:tc>
          <w:tcPr>
            <w:tcW w:w="819" w:type="dxa"/>
          </w:tcPr>
          <w:p>
            <w:pPr>
              <w:pStyle w:val="TableParagraph"/>
              <w:ind w:left="124" w:right="124"/>
              <w:rPr>
                <w:sz w:val="16"/>
              </w:rPr>
            </w:pPr>
            <w:r>
              <w:rPr>
                <w:w w:val="105"/>
                <w:sz w:val="16"/>
              </w:rPr>
              <w:t>608</w:t>
            </w:r>
          </w:p>
        </w:tc>
        <w:tc>
          <w:tcPr>
            <w:tcW w:w="819" w:type="dxa"/>
          </w:tcPr>
          <w:p>
            <w:pPr>
              <w:pStyle w:val="TableParagraph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1433" w:type="dxa"/>
          </w:tcPr>
          <w:p>
            <w:pPr>
              <w:pStyle w:val="TableParagraph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ostatní plocha</w:t>
            </w:r>
          </w:p>
        </w:tc>
        <w:tc>
          <w:tcPr>
            <w:tcW w:w="704" w:type="dxa"/>
          </w:tcPr>
          <w:p>
            <w:pPr>
              <w:pStyle w:val="TableParagraph"/>
              <w:ind w:left="123" w:right="111"/>
              <w:rPr>
                <w:sz w:val="16"/>
              </w:rPr>
            </w:pPr>
            <w:r>
              <w:rPr>
                <w:w w:val="105"/>
                <w:sz w:val="16"/>
              </w:rPr>
              <w:t>818</w:t>
            </w:r>
          </w:p>
        </w:tc>
        <w:tc>
          <w:tcPr>
            <w:tcW w:w="154" w:type="dxa"/>
          </w:tcPr>
          <w:p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*</w:t>
            </w:r>
          </w:p>
        </w:tc>
        <w:tc>
          <w:tcPr>
            <w:tcW w:w="1906" w:type="dxa"/>
          </w:tcPr>
          <w:p>
            <w:pPr>
              <w:pStyle w:val="TableParagraph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175</w:t>
            </w:r>
          </w:p>
        </w:tc>
      </w:tr>
      <w:tr>
        <w:trPr>
          <w:trHeight w:val="256" w:hRule="exact"/>
        </w:trPr>
        <w:tc>
          <w:tcPr>
            <w:tcW w:w="1420" w:type="dxa"/>
          </w:tcPr>
          <w:p>
            <w:pPr>
              <w:pStyle w:val="TableParagraph"/>
              <w:ind w:left="7" w:right="43"/>
              <w:rPr>
                <w:sz w:val="16"/>
              </w:rPr>
            </w:pPr>
            <w:r>
              <w:rPr>
                <w:w w:val="105"/>
                <w:sz w:val="16"/>
              </w:rPr>
              <w:t>Pec pod Sněžkou</w:t>
            </w:r>
          </w:p>
        </w:tc>
        <w:tc>
          <w:tcPr>
            <w:tcW w:w="985" w:type="dxa"/>
          </w:tcPr>
          <w:p>
            <w:pPr>
              <w:pStyle w:val="TableParagraph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Velká Úpa II</w:t>
            </w:r>
          </w:p>
        </w:tc>
        <w:tc>
          <w:tcPr>
            <w:tcW w:w="819" w:type="dxa"/>
          </w:tcPr>
          <w:p>
            <w:pPr>
              <w:pStyle w:val="TableParagraph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KN</w:t>
            </w:r>
          </w:p>
        </w:tc>
        <w:tc>
          <w:tcPr>
            <w:tcW w:w="819" w:type="dxa"/>
          </w:tcPr>
          <w:p>
            <w:pPr>
              <w:pStyle w:val="TableParagraph"/>
              <w:ind w:left="126" w:right="112"/>
              <w:rPr>
                <w:sz w:val="16"/>
              </w:rPr>
            </w:pPr>
            <w:r>
              <w:rPr>
                <w:w w:val="105"/>
                <w:sz w:val="16"/>
              </w:rPr>
              <w:t>369/1</w:t>
            </w:r>
          </w:p>
        </w:tc>
        <w:tc>
          <w:tcPr>
            <w:tcW w:w="819" w:type="dxa"/>
          </w:tcPr>
          <w:p>
            <w:pPr>
              <w:pStyle w:val="TableParagraph"/>
              <w:ind w:right="2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19 912</w:t>
            </w:r>
          </w:p>
        </w:tc>
        <w:tc>
          <w:tcPr>
            <w:tcW w:w="1433" w:type="dxa"/>
          </w:tcPr>
          <w:p>
            <w:pPr>
              <w:pStyle w:val="TableParagraph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trvalý travní porost</w:t>
            </w:r>
          </w:p>
        </w:tc>
        <w:tc>
          <w:tcPr>
            <w:tcW w:w="704" w:type="dxa"/>
          </w:tcPr>
          <w:p>
            <w:pPr>
              <w:pStyle w:val="TableParagraph"/>
              <w:ind w:left="123" w:right="111"/>
              <w:rPr>
                <w:sz w:val="16"/>
              </w:rPr>
            </w:pPr>
            <w:r>
              <w:rPr>
                <w:w w:val="105"/>
                <w:sz w:val="16"/>
              </w:rPr>
              <w:t>818</w:t>
            </w:r>
          </w:p>
        </w:tc>
        <w:tc>
          <w:tcPr>
            <w:tcW w:w="154" w:type="dxa"/>
          </w:tcPr>
          <w:p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*</w:t>
            </w:r>
          </w:p>
        </w:tc>
        <w:tc>
          <w:tcPr>
            <w:tcW w:w="1906" w:type="dxa"/>
          </w:tcPr>
          <w:p>
            <w:pPr>
              <w:pStyle w:val="TableParagraph"/>
              <w:ind w:right="2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3 833</w:t>
            </w:r>
          </w:p>
        </w:tc>
      </w:tr>
      <w:tr>
        <w:trPr>
          <w:trHeight w:val="256" w:hRule="exact"/>
        </w:trPr>
        <w:tc>
          <w:tcPr>
            <w:tcW w:w="1420" w:type="dxa"/>
          </w:tcPr>
          <w:p>
            <w:pPr>
              <w:pStyle w:val="TableParagraph"/>
              <w:spacing w:before="42"/>
              <w:ind w:left="7" w:right="43"/>
              <w:rPr>
                <w:sz w:val="16"/>
              </w:rPr>
            </w:pPr>
            <w:r>
              <w:rPr>
                <w:w w:val="105"/>
                <w:sz w:val="16"/>
              </w:rPr>
              <w:t>Pec pod Sněžkou</w:t>
            </w:r>
          </w:p>
        </w:tc>
        <w:tc>
          <w:tcPr>
            <w:tcW w:w="985" w:type="dxa"/>
          </w:tcPr>
          <w:p>
            <w:pPr>
              <w:pStyle w:val="TableParagraph"/>
              <w:spacing w:before="42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Velká Úpa II</w:t>
            </w:r>
          </w:p>
        </w:tc>
        <w:tc>
          <w:tcPr>
            <w:tcW w:w="819" w:type="dxa"/>
          </w:tcPr>
          <w:p>
            <w:pPr>
              <w:pStyle w:val="TableParagraph"/>
              <w:spacing w:before="42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KN</w:t>
            </w:r>
          </w:p>
        </w:tc>
        <w:tc>
          <w:tcPr>
            <w:tcW w:w="819" w:type="dxa"/>
          </w:tcPr>
          <w:p>
            <w:pPr>
              <w:pStyle w:val="TableParagraph"/>
              <w:spacing w:before="42"/>
              <w:ind w:left="126" w:right="112"/>
              <w:rPr>
                <w:sz w:val="16"/>
              </w:rPr>
            </w:pPr>
            <w:r>
              <w:rPr>
                <w:w w:val="105"/>
                <w:sz w:val="16"/>
              </w:rPr>
              <w:t>971/1</w:t>
            </w:r>
          </w:p>
        </w:tc>
        <w:tc>
          <w:tcPr>
            <w:tcW w:w="819" w:type="dxa"/>
          </w:tcPr>
          <w:p>
            <w:pPr>
              <w:pStyle w:val="TableParagraph"/>
              <w:spacing w:before="42"/>
              <w:ind w:right="2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3 488 609</w:t>
            </w:r>
          </w:p>
        </w:tc>
        <w:tc>
          <w:tcPr>
            <w:tcW w:w="1433" w:type="dxa"/>
          </w:tcPr>
          <w:p>
            <w:pPr>
              <w:pStyle w:val="TableParagraph"/>
              <w:spacing w:before="42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lesní pozemek</w:t>
            </w:r>
          </w:p>
        </w:tc>
        <w:tc>
          <w:tcPr>
            <w:tcW w:w="704" w:type="dxa"/>
          </w:tcPr>
          <w:p>
            <w:pPr>
              <w:pStyle w:val="TableParagraph"/>
              <w:spacing w:before="42"/>
              <w:ind w:left="123" w:right="111"/>
              <w:rPr>
                <w:sz w:val="16"/>
              </w:rPr>
            </w:pPr>
            <w:r>
              <w:rPr>
                <w:w w:val="105"/>
                <w:sz w:val="16"/>
              </w:rPr>
              <w:t>818</w:t>
            </w:r>
          </w:p>
        </w:tc>
        <w:tc>
          <w:tcPr>
            <w:tcW w:w="154" w:type="dxa"/>
          </w:tcPr>
          <w:p>
            <w:pPr>
              <w:pStyle w:val="TableParagraph"/>
              <w:spacing w:before="42"/>
              <w:ind w:right="35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*</w:t>
            </w:r>
          </w:p>
        </w:tc>
        <w:tc>
          <w:tcPr>
            <w:tcW w:w="1906" w:type="dxa"/>
          </w:tcPr>
          <w:p>
            <w:pPr>
              <w:pStyle w:val="TableParagraph"/>
              <w:spacing w:before="42"/>
              <w:ind w:right="2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1 524</w:t>
            </w:r>
          </w:p>
        </w:tc>
      </w:tr>
      <w:tr>
        <w:trPr>
          <w:trHeight w:val="256" w:hRule="exact"/>
        </w:trPr>
        <w:tc>
          <w:tcPr>
            <w:tcW w:w="1420" w:type="dxa"/>
          </w:tcPr>
          <w:p>
            <w:pPr>
              <w:pStyle w:val="TableParagraph"/>
              <w:spacing w:before="42"/>
              <w:ind w:left="7" w:right="43"/>
              <w:rPr>
                <w:sz w:val="16"/>
              </w:rPr>
            </w:pPr>
            <w:r>
              <w:rPr>
                <w:w w:val="105"/>
                <w:sz w:val="16"/>
              </w:rPr>
              <w:t>Pec pod Sněžkou</w:t>
            </w:r>
          </w:p>
        </w:tc>
        <w:tc>
          <w:tcPr>
            <w:tcW w:w="985" w:type="dxa"/>
          </w:tcPr>
          <w:p>
            <w:pPr>
              <w:pStyle w:val="TableParagraph"/>
              <w:spacing w:before="42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Velká Úpa II</w:t>
            </w:r>
          </w:p>
        </w:tc>
        <w:tc>
          <w:tcPr>
            <w:tcW w:w="819" w:type="dxa"/>
          </w:tcPr>
          <w:p>
            <w:pPr>
              <w:pStyle w:val="TableParagraph"/>
              <w:spacing w:before="42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KN</w:t>
            </w:r>
          </w:p>
        </w:tc>
        <w:tc>
          <w:tcPr>
            <w:tcW w:w="819" w:type="dxa"/>
          </w:tcPr>
          <w:p>
            <w:pPr>
              <w:pStyle w:val="TableParagraph"/>
              <w:spacing w:before="42"/>
              <w:ind w:left="126" w:right="124"/>
              <w:rPr>
                <w:sz w:val="16"/>
              </w:rPr>
            </w:pPr>
            <w:r>
              <w:rPr>
                <w:w w:val="105"/>
                <w:sz w:val="16"/>
              </w:rPr>
              <w:t>971/83</w:t>
            </w:r>
          </w:p>
        </w:tc>
        <w:tc>
          <w:tcPr>
            <w:tcW w:w="819" w:type="dxa"/>
          </w:tcPr>
          <w:p>
            <w:pPr>
              <w:pStyle w:val="TableParagraph"/>
              <w:spacing w:before="42"/>
              <w:ind w:right="2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798 493</w:t>
            </w:r>
          </w:p>
        </w:tc>
        <w:tc>
          <w:tcPr>
            <w:tcW w:w="1433" w:type="dxa"/>
          </w:tcPr>
          <w:p>
            <w:pPr>
              <w:pStyle w:val="TableParagraph"/>
              <w:spacing w:before="42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lesní pozemek</w:t>
            </w:r>
          </w:p>
        </w:tc>
        <w:tc>
          <w:tcPr>
            <w:tcW w:w="704" w:type="dxa"/>
          </w:tcPr>
          <w:p>
            <w:pPr>
              <w:pStyle w:val="TableParagraph"/>
              <w:spacing w:before="42"/>
              <w:ind w:left="123" w:right="111"/>
              <w:rPr>
                <w:sz w:val="16"/>
              </w:rPr>
            </w:pPr>
            <w:r>
              <w:rPr>
                <w:w w:val="105"/>
                <w:sz w:val="16"/>
              </w:rPr>
              <w:t>818</w:t>
            </w:r>
          </w:p>
        </w:tc>
        <w:tc>
          <w:tcPr>
            <w:tcW w:w="154" w:type="dxa"/>
          </w:tcPr>
          <w:p>
            <w:pPr>
              <w:pStyle w:val="TableParagraph"/>
              <w:spacing w:before="42"/>
              <w:ind w:right="35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*</w:t>
            </w:r>
          </w:p>
        </w:tc>
        <w:tc>
          <w:tcPr>
            <w:tcW w:w="1906" w:type="dxa"/>
          </w:tcPr>
          <w:p>
            <w:pPr>
              <w:pStyle w:val="TableParagraph"/>
              <w:spacing w:before="42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691</w:t>
            </w:r>
          </w:p>
        </w:tc>
      </w:tr>
      <w:tr>
        <w:trPr>
          <w:trHeight w:val="256" w:hRule="exact"/>
        </w:trPr>
        <w:tc>
          <w:tcPr>
            <w:tcW w:w="1420" w:type="dxa"/>
          </w:tcPr>
          <w:p>
            <w:pPr>
              <w:pStyle w:val="TableParagraph"/>
              <w:ind w:left="7" w:right="43"/>
              <w:rPr>
                <w:sz w:val="16"/>
              </w:rPr>
            </w:pPr>
            <w:r>
              <w:rPr>
                <w:w w:val="105"/>
                <w:sz w:val="16"/>
              </w:rPr>
              <w:t>Pec pod Sněžkou</w:t>
            </w:r>
          </w:p>
        </w:tc>
        <w:tc>
          <w:tcPr>
            <w:tcW w:w="985" w:type="dxa"/>
          </w:tcPr>
          <w:p>
            <w:pPr>
              <w:pStyle w:val="TableParagraph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Velká Úpa II</w:t>
            </w:r>
          </w:p>
        </w:tc>
        <w:tc>
          <w:tcPr>
            <w:tcW w:w="819" w:type="dxa"/>
          </w:tcPr>
          <w:p>
            <w:pPr>
              <w:pStyle w:val="TableParagraph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KN</w:t>
            </w:r>
          </w:p>
        </w:tc>
        <w:tc>
          <w:tcPr>
            <w:tcW w:w="819" w:type="dxa"/>
          </w:tcPr>
          <w:p>
            <w:pPr>
              <w:pStyle w:val="TableParagraph"/>
              <w:ind w:left="124" w:right="124"/>
              <w:rPr>
                <w:sz w:val="16"/>
              </w:rPr>
            </w:pPr>
            <w:r>
              <w:rPr>
                <w:w w:val="105"/>
                <w:sz w:val="16"/>
              </w:rPr>
              <w:t>996</w:t>
            </w:r>
          </w:p>
        </w:tc>
        <w:tc>
          <w:tcPr>
            <w:tcW w:w="819" w:type="dxa"/>
          </w:tcPr>
          <w:p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1 036</w:t>
            </w:r>
          </w:p>
        </w:tc>
        <w:tc>
          <w:tcPr>
            <w:tcW w:w="1433" w:type="dxa"/>
          </w:tcPr>
          <w:p>
            <w:pPr>
              <w:pStyle w:val="TableParagraph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ostatní plocha</w:t>
            </w:r>
          </w:p>
        </w:tc>
        <w:tc>
          <w:tcPr>
            <w:tcW w:w="704" w:type="dxa"/>
          </w:tcPr>
          <w:p>
            <w:pPr>
              <w:pStyle w:val="TableParagraph"/>
              <w:ind w:left="123" w:right="111"/>
              <w:rPr>
                <w:sz w:val="16"/>
              </w:rPr>
            </w:pPr>
            <w:r>
              <w:rPr>
                <w:w w:val="105"/>
                <w:sz w:val="16"/>
              </w:rPr>
              <w:t>818</w:t>
            </w:r>
          </w:p>
        </w:tc>
        <w:tc>
          <w:tcPr>
            <w:tcW w:w="154" w:type="dxa"/>
          </w:tcPr>
          <w:p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*</w:t>
            </w:r>
          </w:p>
        </w:tc>
        <w:tc>
          <w:tcPr>
            <w:tcW w:w="1906" w:type="dxa"/>
          </w:tcPr>
          <w:p>
            <w:pPr>
              <w:pStyle w:val="TableParagraph"/>
              <w:ind w:right="2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1 013</w:t>
            </w:r>
          </w:p>
        </w:tc>
      </w:tr>
      <w:tr>
        <w:trPr>
          <w:trHeight w:val="256" w:hRule="exact"/>
        </w:trPr>
        <w:tc>
          <w:tcPr>
            <w:tcW w:w="1420" w:type="dxa"/>
          </w:tcPr>
          <w:p>
            <w:pPr>
              <w:pStyle w:val="TableParagraph"/>
              <w:ind w:left="7" w:right="43"/>
              <w:rPr>
                <w:sz w:val="16"/>
              </w:rPr>
            </w:pPr>
            <w:r>
              <w:rPr>
                <w:w w:val="105"/>
                <w:sz w:val="16"/>
              </w:rPr>
              <w:t>Pec pod Sněžkou</w:t>
            </w:r>
          </w:p>
        </w:tc>
        <w:tc>
          <w:tcPr>
            <w:tcW w:w="985" w:type="dxa"/>
          </w:tcPr>
          <w:p>
            <w:pPr>
              <w:pStyle w:val="TableParagraph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Velká Úpa II</w:t>
            </w:r>
          </w:p>
        </w:tc>
        <w:tc>
          <w:tcPr>
            <w:tcW w:w="819" w:type="dxa"/>
          </w:tcPr>
          <w:p>
            <w:pPr>
              <w:pStyle w:val="TableParagraph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KN</w:t>
            </w:r>
          </w:p>
        </w:tc>
        <w:tc>
          <w:tcPr>
            <w:tcW w:w="819" w:type="dxa"/>
          </w:tcPr>
          <w:p>
            <w:pPr>
              <w:pStyle w:val="TableParagraph"/>
              <w:ind w:left="124" w:right="124"/>
              <w:rPr>
                <w:sz w:val="16"/>
              </w:rPr>
            </w:pPr>
            <w:r>
              <w:rPr>
                <w:w w:val="105"/>
                <w:sz w:val="16"/>
              </w:rPr>
              <w:t>998</w:t>
            </w:r>
          </w:p>
        </w:tc>
        <w:tc>
          <w:tcPr>
            <w:tcW w:w="819" w:type="dxa"/>
          </w:tcPr>
          <w:p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5 970</w:t>
            </w:r>
          </w:p>
        </w:tc>
        <w:tc>
          <w:tcPr>
            <w:tcW w:w="1433" w:type="dxa"/>
          </w:tcPr>
          <w:p>
            <w:pPr>
              <w:pStyle w:val="TableParagraph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trvalý travní porost</w:t>
            </w:r>
          </w:p>
        </w:tc>
        <w:tc>
          <w:tcPr>
            <w:tcW w:w="704" w:type="dxa"/>
          </w:tcPr>
          <w:p>
            <w:pPr>
              <w:pStyle w:val="TableParagraph"/>
              <w:ind w:left="123" w:right="111"/>
              <w:rPr>
                <w:sz w:val="16"/>
              </w:rPr>
            </w:pPr>
            <w:r>
              <w:rPr>
                <w:w w:val="105"/>
                <w:sz w:val="16"/>
              </w:rPr>
              <w:t>818</w:t>
            </w:r>
          </w:p>
        </w:tc>
        <w:tc>
          <w:tcPr>
            <w:tcW w:w="154" w:type="dxa"/>
          </w:tcPr>
          <w:p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*</w:t>
            </w:r>
          </w:p>
        </w:tc>
        <w:tc>
          <w:tcPr>
            <w:tcW w:w="1906" w:type="dxa"/>
          </w:tcPr>
          <w:p>
            <w:pPr>
              <w:pStyle w:val="TableParagraph"/>
              <w:ind w:right="2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5 804</w:t>
            </w:r>
          </w:p>
        </w:tc>
      </w:tr>
      <w:tr>
        <w:trPr>
          <w:trHeight w:val="256" w:hRule="exact"/>
        </w:trPr>
        <w:tc>
          <w:tcPr>
            <w:tcW w:w="1420" w:type="dxa"/>
          </w:tcPr>
          <w:p>
            <w:pPr>
              <w:pStyle w:val="TableParagraph"/>
              <w:spacing w:before="42"/>
              <w:ind w:left="7" w:right="43"/>
              <w:rPr>
                <w:sz w:val="16"/>
              </w:rPr>
            </w:pPr>
            <w:r>
              <w:rPr>
                <w:w w:val="105"/>
                <w:sz w:val="16"/>
              </w:rPr>
              <w:t>Pec pod Sněžkou</w:t>
            </w:r>
          </w:p>
        </w:tc>
        <w:tc>
          <w:tcPr>
            <w:tcW w:w="985" w:type="dxa"/>
          </w:tcPr>
          <w:p>
            <w:pPr>
              <w:pStyle w:val="TableParagraph"/>
              <w:spacing w:before="42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Velká Úpa II</w:t>
            </w:r>
          </w:p>
        </w:tc>
        <w:tc>
          <w:tcPr>
            <w:tcW w:w="819" w:type="dxa"/>
          </w:tcPr>
          <w:p>
            <w:pPr>
              <w:pStyle w:val="TableParagraph"/>
              <w:spacing w:before="42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KN</w:t>
            </w:r>
          </w:p>
        </w:tc>
        <w:tc>
          <w:tcPr>
            <w:tcW w:w="819" w:type="dxa"/>
          </w:tcPr>
          <w:p>
            <w:pPr>
              <w:pStyle w:val="TableParagraph"/>
              <w:spacing w:before="42"/>
              <w:ind w:left="126" w:right="114"/>
              <w:rPr>
                <w:sz w:val="16"/>
              </w:rPr>
            </w:pPr>
            <w:r>
              <w:rPr>
                <w:w w:val="105"/>
                <w:sz w:val="16"/>
              </w:rPr>
              <w:t>1001</w:t>
            </w:r>
          </w:p>
        </w:tc>
        <w:tc>
          <w:tcPr>
            <w:tcW w:w="819" w:type="dxa"/>
          </w:tcPr>
          <w:p>
            <w:pPr>
              <w:pStyle w:val="TableParagraph"/>
              <w:spacing w:before="42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433" w:type="dxa"/>
          </w:tcPr>
          <w:p>
            <w:pPr>
              <w:pStyle w:val="TableParagraph"/>
              <w:spacing w:before="42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ostatní plocha</w:t>
            </w:r>
          </w:p>
        </w:tc>
        <w:tc>
          <w:tcPr>
            <w:tcW w:w="704" w:type="dxa"/>
          </w:tcPr>
          <w:p>
            <w:pPr>
              <w:pStyle w:val="TableParagraph"/>
              <w:spacing w:before="42"/>
              <w:ind w:left="123" w:right="111"/>
              <w:rPr>
                <w:sz w:val="16"/>
              </w:rPr>
            </w:pPr>
            <w:r>
              <w:rPr>
                <w:w w:val="105"/>
                <w:sz w:val="16"/>
              </w:rPr>
              <w:t>818</w:t>
            </w:r>
          </w:p>
        </w:tc>
        <w:tc>
          <w:tcPr>
            <w:tcW w:w="154" w:type="dxa"/>
          </w:tcPr>
          <w:p>
            <w:pPr>
              <w:pStyle w:val="TableParagraph"/>
              <w:spacing w:before="42"/>
              <w:ind w:right="35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*</w:t>
            </w:r>
          </w:p>
        </w:tc>
        <w:tc>
          <w:tcPr>
            <w:tcW w:w="1906" w:type="dxa"/>
          </w:tcPr>
          <w:p>
            <w:pPr>
              <w:pStyle w:val="TableParagraph"/>
              <w:spacing w:before="42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</w:tr>
      <w:tr>
        <w:trPr>
          <w:trHeight w:val="256" w:hRule="exact"/>
        </w:trPr>
        <w:tc>
          <w:tcPr>
            <w:tcW w:w="1420" w:type="dxa"/>
          </w:tcPr>
          <w:p>
            <w:pPr>
              <w:pStyle w:val="TableParagraph"/>
              <w:ind w:left="7" w:right="43"/>
              <w:rPr>
                <w:sz w:val="16"/>
              </w:rPr>
            </w:pPr>
            <w:r>
              <w:rPr>
                <w:w w:val="105"/>
                <w:sz w:val="16"/>
              </w:rPr>
              <w:t>Pec pod Sněžkou</w:t>
            </w:r>
          </w:p>
        </w:tc>
        <w:tc>
          <w:tcPr>
            <w:tcW w:w="985" w:type="dxa"/>
          </w:tcPr>
          <w:p>
            <w:pPr>
              <w:pStyle w:val="TableParagraph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Velká Úpa II</w:t>
            </w:r>
          </w:p>
        </w:tc>
        <w:tc>
          <w:tcPr>
            <w:tcW w:w="819" w:type="dxa"/>
          </w:tcPr>
          <w:p>
            <w:pPr>
              <w:pStyle w:val="TableParagraph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KN</w:t>
            </w:r>
          </w:p>
        </w:tc>
        <w:tc>
          <w:tcPr>
            <w:tcW w:w="819" w:type="dxa"/>
          </w:tcPr>
          <w:p>
            <w:pPr>
              <w:pStyle w:val="TableParagraph"/>
              <w:ind w:left="126" w:right="124"/>
              <w:rPr>
                <w:sz w:val="16"/>
              </w:rPr>
            </w:pPr>
            <w:r>
              <w:rPr>
                <w:w w:val="105"/>
                <w:sz w:val="16"/>
              </w:rPr>
              <w:t>1007/1</w:t>
            </w:r>
          </w:p>
        </w:tc>
        <w:tc>
          <w:tcPr>
            <w:tcW w:w="819" w:type="dxa"/>
          </w:tcPr>
          <w:p>
            <w:pPr>
              <w:pStyle w:val="TableParagraph"/>
              <w:ind w:right="2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25 434</w:t>
            </w:r>
          </w:p>
        </w:tc>
        <w:tc>
          <w:tcPr>
            <w:tcW w:w="1433" w:type="dxa"/>
          </w:tcPr>
          <w:p>
            <w:pPr>
              <w:pStyle w:val="TableParagraph"/>
              <w:ind w:left="2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ostatní plocha</w:t>
            </w:r>
          </w:p>
        </w:tc>
        <w:tc>
          <w:tcPr>
            <w:tcW w:w="704" w:type="dxa"/>
          </w:tcPr>
          <w:p>
            <w:pPr>
              <w:pStyle w:val="TableParagraph"/>
              <w:ind w:left="123" w:right="111"/>
              <w:rPr>
                <w:sz w:val="16"/>
              </w:rPr>
            </w:pPr>
            <w:r>
              <w:rPr>
                <w:w w:val="105"/>
                <w:sz w:val="16"/>
              </w:rPr>
              <w:t>818</w:t>
            </w:r>
          </w:p>
        </w:tc>
        <w:tc>
          <w:tcPr>
            <w:tcW w:w="154" w:type="dxa"/>
          </w:tcPr>
          <w:p>
            <w:pPr>
              <w:pStyle w:val="TableParagraph"/>
              <w:ind w:right="35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*</w:t>
            </w:r>
          </w:p>
        </w:tc>
        <w:tc>
          <w:tcPr>
            <w:tcW w:w="1906" w:type="dxa"/>
          </w:tcPr>
          <w:p>
            <w:pPr>
              <w:pStyle w:val="TableParagraph"/>
              <w:ind w:right="2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20 960</w:t>
            </w:r>
          </w:p>
        </w:tc>
      </w:tr>
      <w:tr>
        <w:trPr>
          <w:trHeight w:val="256" w:hRule="exact"/>
        </w:trPr>
        <w:tc>
          <w:tcPr>
            <w:tcW w:w="9058" w:type="dxa"/>
            <w:gridSpan w:val="9"/>
            <w:shd w:val="clear" w:color="auto" w:fill="BEBEBE"/>
          </w:tcPr>
          <w:p>
            <w:pPr>
              <w:pStyle w:val="TableParagraph"/>
              <w:tabs>
                <w:tab w:pos="8520" w:val="left" w:leader="none"/>
              </w:tabs>
              <w:ind w:left="25"/>
              <w:jc w:val="left"/>
              <w:rPr>
                <w:b/>
                <w:sz w:val="16"/>
              </w:rPr>
            </w:pPr>
            <w:r>
              <w:rPr>
                <w:b/>
                <w:spacing w:val="2"/>
                <w:w w:val="105"/>
                <w:sz w:val="16"/>
              </w:rPr>
              <w:t>Celkem</w:t>
              <w:tab/>
            </w:r>
            <w:r>
              <w:rPr>
                <w:b/>
                <w:w w:val="105"/>
                <w:sz w:val="16"/>
              </w:rPr>
              <w:t>40</w:t>
            </w:r>
            <w:r>
              <w:rPr>
                <w:b/>
                <w:spacing w:val="-7"/>
                <w:w w:val="105"/>
                <w:sz w:val="16"/>
              </w:rPr>
              <w:t> </w:t>
            </w:r>
            <w:r>
              <w:rPr>
                <w:b/>
                <w:spacing w:val="-3"/>
                <w:w w:val="105"/>
                <w:sz w:val="16"/>
              </w:rPr>
              <w:t>250</w:t>
            </w:r>
          </w:p>
        </w:tc>
      </w:tr>
    </w:tbl>
    <w:p>
      <w:pPr>
        <w:spacing w:line="181" w:lineRule="exact" w:before="0"/>
        <w:ind w:left="116" w:right="0" w:firstLine="0"/>
        <w:jc w:val="left"/>
        <w:rPr>
          <w:i/>
          <w:sz w:val="16"/>
        </w:rPr>
      </w:pPr>
      <w:r>
        <w:rPr>
          <w:i/>
          <w:sz w:val="16"/>
        </w:rPr>
        <w:t>* část pozemku (výměra určena na základě souřadnic S-JTSK)</w:t>
      </w:r>
    </w:p>
    <w:p>
      <w:pPr>
        <w:spacing w:after="0" w:line="181" w:lineRule="exact"/>
        <w:jc w:val="left"/>
        <w:rPr>
          <w:sz w:val="16"/>
        </w:rPr>
        <w:sectPr>
          <w:pgSz w:w="11910" w:h="16840"/>
          <w:pgMar w:top="660" w:bottom="280" w:left="1300" w:right="1300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5"/>
        <w:rPr>
          <w:i/>
          <w:sz w:val="29"/>
        </w:rPr>
      </w:pPr>
    </w:p>
    <w:p>
      <w:pPr>
        <w:pStyle w:val="Heading2"/>
        <w:spacing w:before="94"/>
        <w:ind w:left="1804" w:right="1802"/>
      </w:pPr>
      <w:r>
        <w:rPr/>
        <w:pict>
          <v:shape style="position:absolute;margin-left:198.399994pt;margin-top:-40.412151pt;width:213pt;height:33pt;mso-position-horizontal-relative:page;mso-position-vertical-relative:paragraph;z-index:1072" type="#_x0000_t202" filled="false" stroked="true" strokeweight="2pt" strokecolor="#000000">
            <v:textbox inset="0,0,0,0">
              <w:txbxContent>
                <w:p>
                  <w:pPr>
                    <w:spacing w:before="169"/>
                    <w:ind w:left="1302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Příloha č.II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k pachtovní smlouvě č. SMLN-22-98/2021</w:t>
      </w:r>
    </w:p>
    <w:p>
      <w:pPr>
        <w:pStyle w:val="BodyText"/>
        <w:spacing w:before="3"/>
        <w:rPr>
          <w:b/>
          <w:sz w:val="24"/>
        </w:rPr>
      </w:pPr>
    </w:p>
    <w:p>
      <w:pPr>
        <w:spacing w:before="0"/>
        <w:ind w:left="1804" w:right="1809" w:firstLine="0"/>
        <w:jc w:val="center"/>
        <w:rPr>
          <w:b/>
          <w:i/>
          <w:sz w:val="20"/>
        </w:rPr>
      </w:pPr>
      <w:r>
        <w:rPr>
          <w:b/>
          <w:i/>
          <w:sz w:val="20"/>
        </w:rPr>
        <w:t>Podmínky zemědělského užívání a způsobu údržby biotopu</w:t>
      </w:r>
    </w:p>
    <w:p>
      <w:pPr>
        <w:pStyle w:val="BodyText"/>
        <w:rPr>
          <w:b/>
          <w:i/>
          <w:sz w:val="22"/>
        </w:rPr>
      </w:pPr>
    </w:p>
    <w:p>
      <w:pPr>
        <w:pStyle w:val="BodyText"/>
        <w:spacing w:before="9"/>
        <w:rPr>
          <w:b/>
          <w:i/>
          <w:sz w:val="17"/>
        </w:rPr>
      </w:pPr>
    </w:p>
    <w:p>
      <w:pPr>
        <w:pStyle w:val="BodyText"/>
        <w:spacing w:before="1"/>
        <w:ind w:left="116"/>
      </w:pPr>
      <w:r>
        <w:rPr/>
        <w:t>Správa Krkonošského národního parku vyžaduje, jako propachtovatel předmětných pozemků, následující způsob údržby biotopu:</w:t>
      </w:r>
    </w:p>
    <w:p>
      <w:pPr>
        <w:pStyle w:val="ListParagraph"/>
        <w:numPr>
          <w:ilvl w:val="1"/>
          <w:numId w:val="6"/>
        </w:numPr>
        <w:tabs>
          <w:tab w:pos="1190" w:val="left" w:leader="none"/>
        </w:tabs>
        <w:spacing w:line="276" w:lineRule="auto" w:before="123" w:after="0"/>
        <w:ind w:left="1189" w:right="114" w:hanging="360"/>
        <w:jc w:val="both"/>
        <w:rPr>
          <w:sz w:val="20"/>
        </w:rPr>
      </w:pPr>
      <w:r>
        <w:rPr>
          <w:sz w:val="20"/>
        </w:rPr>
        <w:t>Pachtýř bude propachtované pozemky (dále jen „pozemky“) využívat na pastvu hospodářských zvířat (skot, kůň, ovce a kozy) nebo na, seč travního porostu (senoseč). Pozemky musí být  min.  jednou  ročně  řádně  spaseny,  a  to  v termínu  od  1.  května  do 31. srpna běžného roku, v případě seče, seč proběhne v době od 15. 6. do 31. 8.,        a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včetně</w:t>
      </w:r>
      <w:r>
        <w:rPr>
          <w:spacing w:val="-8"/>
          <w:sz w:val="20"/>
        </w:rPr>
        <w:t> </w:t>
      </w:r>
      <w:r>
        <w:rPr>
          <w:sz w:val="20"/>
        </w:rPr>
        <w:t>úklidu</w:t>
      </w:r>
      <w:r>
        <w:rPr>
          <w:spacing w:val="-8"/>
          <w:sz w:val="20"/>
        </w:rPr>
        <w:t> </w:t>
      </w:r>
      <w:r>
        <w:rPr>
          <w:sz w:val="20"/>
        </w:rPr>
        <w:t>travní</w:t>
      </w:r>
      <w:r>
        <w:rPr>
          <w:spacing w:val="-6"/>
          <w:sz w:val="20"/>
        </w:rPr>
        <w:t> </w:t>
      </w:r>
      <w:r>
        <w:rPr>
          <w:sz w:val="20"/>
        </w:rPr>
        <w:t>hmoty</w:t>
      </w:r>
      <w:r>
        <w:rPr>
          <w:spacing w:val="-9"/>
          <w:sz w:val="20"/>
        </w:rPr>
        <w:t> </w:t>
      </w:r>
      <w:r>
        <w:rPr>
          <w:sz w:val="20"/>
        </w:rPr>
        <w:t>(mimo</w:t>
      </w:r>
      <w:r>
        <w:rPr>
          <w:spacing w:val="-8"/>
          <w:sz w:val="20"/>
        </w:rPr>
        <w:t> </w:t>
      </w:r>
      <w:r>
        <w:rPr>
          <w:sz w:val="20"/>
        </w:rPr>
        <w:t>trvale</w:t>
      </w:r>
      <w:r>
        <w:rPr>
          <w:spacing w:val="-8"/>
          <w:sz w:val="20"/>
        </w:rPr>
        <w:t> </w:t>
      </w:r>
      <w:r>
        <w:rPr>
          <w:sz w:val="20"/>
        </w:rPr>
        <w:t>podmáčené</w:t>
      </w:r>
      <w:r>
        <w:rPr>
          <w:spacing w:val="-8"/>
          <w:sz w:val="20"/>
        </w:rPr>
        <w:t> </w:t>
      </w:r>
      <w:r>
        <w:rPr>
          <w:sz w:val="20"/>
        </w:rPr>
        <w:t>plochy),</w:t>
      </w:r>
      <w:r>
        <w:rPr>
          <w:spacing w:val="-2"/>
          <w:sz w:val="20"/>
        </w:rPr>
        <w:t> </w:t>
      </w:r>
      <w:r>
        <w:rPr>
          <w:sz w:val="20"/>
        </w:rPr>
        <w:t>pokud</w:t>
      </w:r>
      <w:r>
        <w:rPr>
          <w:spacing w:val="-8"/>
          <w:sz w:val="20"/>
        </w:rPr>
        <w:t> </w:t>
      </w:r>
      <w:r>
        <w:rPr>
          <w:sz w:val="20"/>
        </w:rPr>
        <w:t>nebude</w:t>
      </w:r>
      <w:r>
        <w:rPr>
          <w:spacing w:val="-8"/>
          <w:sz w:val="20"/>
        </w:rPr>
        <w:t> </w:t>
      </w:r>
      <w:r>
        <w:rPr>
          <w:sz w:val="20"/>
        </w:rPr>
        <w:t>dohodnuto s odborným pracovníkem propachtovatele</w:t>
      </w:r>
      <w:r>
        <w:rPr>
          <w:spacing w:val="-14"/>
          <w:sz w:val="20"/>
        </w:rPr>
        <w:t> </w:t>
      </w:r>
      <w:r>
        <w:rPr>
          <w:sz w:val="20"/>
        </w:rPr>
        <w:t>jinak.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6"/>
        </w:numPr>
        <w:tabs>
          <w:tab w:pos="1187" w:val="left" w:leader="none"/>
        </w:tabs>
        <w:spacing w:line="276" w:lineRule="auto" w:before="0" w:after="0"/>
        <w:ind w:left="1186" w:right="115" w:hanging="357"/>
        <w:jc w:val="both"/>
        <w:rPr>
          <w:sz w:val="20"/>
        </w:rPr>
      </w:pPr>
      <w:r>
        <w:rPr>
          <w:sz w:val="20"/>
        </w:rPr>
        <w:t>V případě     pastvy,     bude     pastva     prováděna     šetrně,     tak     </w:t>
      </w:r>
      <w:r>
        <w:rPr>
          <w:spacing w:val="2"/>
          <w:sz w:val="20"/>
        </w:rPr>
        <w:t>aby     </w:t>
      </w:r>
      <w:r>
        <w:rPr>
          <w:sz w:val="20"/>
        </w:rPr>
        <w:t>nedošlo      k poškození travního porostu,         dle         posouzení          odborného          pracovníka. Z pozemku budou odstraněny nedopasky sečí, pokud nebude odborným pracovníkem propachtovatele stanoveno</w:t>
      </w:r>
      <w:r>
        <w:rPr>
          <w:spacing w:val="-8"/>
          <w:sz w:val="20"/>
        </w:rPr>
        <w:t> </w:t>
      </w:r>
      <w:r>
        <w:rPr>
          <w:sz w:val="20"/>
        </w:rPr>
        <w:t>jinak.</w:t>
      </w:r>
    </w:p>
    <w:p>
      <w:pPr>
        <w:pStyle w:val="ListParagraph"/>
        <w:numPr>
          <w:ilvl w:val="1"/>
          <w:numId w:val="6"/>
        </w:numPr>
        <w:tabs>
          <w:tab w:pos="1187" w:val="left" w:leader="none"/>
        </w:tabs>
        <w:spacing w:line="276" w:lineRule="auto" w:before="120" w:after="0"/>
        <w:ind w:left="1186" w:right="114" w:hanging="357"/>
        <w:jc w:val="both"/>
        <w:rPr>
          <w:sz w:val="20"/>
        </w:rPr>
      </w:pPr>
      <w:r>
        <w:rPr>
          <w:sz w:val="20"/>
        </w:rPr>
        <w:t>Během pastvy je pachtýř povinen všemi dostupnými prostředky zajistit stádo proti úniku    a zajistit pravidelný dozor. Pastva bude  probíhat  za  využití  elektrických  ohradníků,  které zamezí únikům zvířat z ohrady. Po ukončení pastvy budou  ohradníky odstraněny. Za elektrický ohradník se považuje buď ohradníková síť, nebo provazový ohradník ideálně v bílé  barvě.  Elektrický  ohradník  musí  být  řádně  označen  cedulkou  s  upozorněním.  V případě pevných ohrad (např. anglosasko-novozelándského typu) musí být nejvyšší drát viditelně označen. Viditelné  označení  se  provádí  barevně  výraznými  třapetalkami  nebo gumotextilní   páskou.   V   případě   umístění   pevných   ohrad   na   pozemcích,    je nutný písemný souhlas</w:t>
      </w:r>
      <w:r>
        <w:rPr>
          <w:spacing w:val="-13"/>
          <w:sz w:val="20"/>
        </w:rPr>
        <w:t> </w:t>
      </w:r>
      <w:r>
        <w:rPr>
          <w:sz w:val="20"/>
        </w:rPr>
        <w:t>propachtovatele.</w:t>
      </w:r>
    </w:p>
    <w:p>
      <w:pPr>
        <w:pStyle w:val="ListParagraph"/>
        <w:numPr>
          <w:ilvl w:val="1"/>
          <w:numId w:val="6"/>
        </w:numPr>
        <w:tabs>
          <w:tab w:pos="1187" w:val="left" w:leader="none"/>
        </w:tabs>
        <w:spacing w:line="276" w:lineRule="auto" w:before="120" w:after="0"/>
        <w:ind w:left="1186" w:right="117" w:hanging="357"/>
        <w:jc w:val="both"/>
        <w:rPr>
          <w:sz w:val="20"/>
        </w:rPr>
      </w:pPr>
      <w:r>
        <w:rPr>
          <w:sz w:val="20"/>
        </w:rPr>
        <w:t>V případech narušení terénu, je nutné provést nápravu a její způsob předem konzultovat  s pověřeným pracovníkem</w:t>
      </w:r>
      <w:r>
        <w:rPr>
          <w:spacing w:val="-10"/>
          <w:sz w:val="20"/>
        </w:rPr>
        <w:t> </w:t>
      </w:r>
      <w:r>
        <w:rPr>
          <w:sz w:val="20"/>
        </w:rPr>
        <w:t>propachtovatele.</w:t>
      </w:r>
    </w:p>
    <w:p>
      <w:pPr>
        <w:pStyle w:val="ListParagraph"/>
        <w:numPr>
          <w:ilvl w:val="1"/>
          <w:numId w:val="6"/>
        </w:numPr>
        <w:tabs>
          <w:tab w:pos="1187" w:val="left" w:leader="none"/>
        </w:tabs>
        <w:spacing w:line="278" w:lineRule="auto" w:before="120" w:after="0"/>
        <w:ind w:left="1186" w:right="120" w:hanging="357"/>
        <w:jc w:val="both"/>
        <w:rPr>
          <w:sz w:val="20"/>
        </w:rPr>
      </w:pPr>
      <w:r>
        <w:rPr>
          <w:sz w:val="20"/>
        </w:rPr>
        <w:t>Propachtovatel nenese odpovědnost za škody vzniklé mimo propachtované pozemky případným únikem</w:t>
      </w:r>
      <w:r>
        <w:rPr>
          <w:spacing w:val="-9"/>
          <w:sz w:val="20"/>
        </w:rPr>
        <w:t> </w:t>
      </w:r>
      <w:r>
        <w:rPr>
          <w:sz w:val="20"/>
        </w:rPr>
        <w:t>zvířat.</w:t>
      </w:r>
    </w:p>
    <w:p>
      <w:pPr>
        <w:pStyle w:val="ListParagraph"/>
        <w:numPr>
          <w:ilvl w:val="1"/>
          <w:numId w:val="6"/>
        </w:numPr>
        <w:tabs>
          <w:tab w:pos="1187" w:val="left" w:leader="none"/>
        </w:tabs>
        <w:spacing w:line="276" w:lineRule="auto" w:before="117" w:after="0"/>
        <w:ind w:left="1186" w:right="114" w:hanging="357"/>
        <w:jc w:val="both"/>
        <w:rPr>
          <w:sz w:val="20"/>
        </w:rPr>
      </w:pPr>
      <w:r>
        <w:rPr>
          <w:sz w:val="20"/>
        </w:rPr>
        <w:t>Ohrazení  musí  být  postaveno   dva   metry   od   povrchové   vodoteče,   jeden   metr   od povrchové strouhy  a   jeden   metr   od   mokřadu   (trvale   podmáčené   louky),  pokud není s odborným      pracovníkem      propachtovatele      dohodnuto      jinak. Plochy mimo ohrazení budou pachtýřem posekány a sklizeny (včetně úklidu travní hmoty) v</w:t>
      </w:r>
      <w:r>
        <w:rPr>
          <w:spacing w:val="-4"/>
          <w:sz w:val="20"/>
        </w:rPr>
        <w:t> </w:t>
      </w:r>
      <w:r>
        <w:rPr>
          <w:sz w:val="20"/>
        </w:rPr>
        <w:t>termínu</w:t>
      </w:r>
      <w:r>
        <w:rPr>
          <w:spacing w:val="-15"/>
          <w:sz w:val="20"/>
        </w:rPr>
        <w:t> </w:t>
      </w:r>
      <w:r>
        <w:rPr>
          <w:sz w:val="20"/>
        </w:rPr>
        <w:t>1.7.</w:t>
      </w:r>
      <w:r>
        <w:rPr>
          <w:spacing w:val="-14"/>
          <w:sz w:val="20"/>
        </w:rPr>
        <w:t> </w:t>
      </w:r>
      <w:r>
        <w:rPr>
          <w:sz w:val="20"/>
        </w:rPr>
        <w:t>–</w:t>
      </w:r>
      <w:r>
        <w:rPr>
          <w:spacing w:val="-12"/>
          <w:sz w:val="20"/>
        </w:rPr>
        <w:t> </w:t>
      </w:r>
      <w:r>
        <w:rPr>
          <w:sz w:val="20"/>
        </w:rPr>
        <w:t>30.9.</w:t>
      </w:r>
      <w:r>
        <w:rPr>
          <w:spacing w:val="-11"/>
          <w:sz w:val="20"/>
        </w:rPr>
        <w:t> </w:t>
      </w:r>
      <w:r>
        <w:rPr>
          <w:sz w:val="20"/>
        </w:rPr>
        <w:t>běžného</w:t>
      </w:r>
      <w:r>
        <w:rPr>
          <w:spacing w:val="-15"/>
          <w:sz w:val="20"/>
        </w:rPr>
        <w:t> </w:t>
      </w:r>
      <w:r>
        <w:rPr>
          <w:sz w:val="20"/>
        </w:rPr>
        <w:t>roku,</w:t>
      </w:r>
      <w:r>
        <w:rPr>
          <w:spacing w:val="-14"/>
          <w:sz w:val="20"/>
        </w:rPr>
        <w:t> </w:t>
      </w:r>
      <w:r>
        <w:rPr>
          <w:sz w:val="20"/>
        </w:rPr>
        <w:t>pokud</w:t>
      </w:r>
      <w:r>
        <w:rPr>
          <w:spacing w:val="-12"/>
          <w:sz w:val="20"/>
        </w:rPr>
        <w:t> </w:t>
      </w:r>
      <w:r>
        <w:rPr>
          <w:sz w:val="20"/>
        </w:rPr>
        <w:t>odborný</w:t>
      </w:r>
      <w:r>
        <w:rPr>
          <w:spacing w:val="-15"/>
          <w:sz w:val="20"/>
        </w:rPr>
        <w:t> </w:t>
      </w:r>
      <w:r>
        <w:rPr>
          <w:sz w:val="20"/>
        </w:rPr>
        <w:t>pracovník</w:t>
      </w:r>
      <w:r>
        <w:rPr>
          <w:spacing w:val="-11"/>
          <w:sz w:val="20"/>
        </w:rPr>
        <w:t> </w:t>
      </w:r>
      <w:r>
        <w:rPr>
          <w:sz w:val="20"/>
        </w:rPr>
        <w:t>propachtovatele</w:t>
      </w:r>
      <w:r>
        <w:rPr>
          <w:spacing w:val="-12"/>
          <w:sz w:val="20"/>
        </w:rPr>
        <w:t> </w:t>
      </w:r>
      <w:r>
        <w:rPr>
          <w:sz w:val="20"/>
        </w:rPr>
        <w:t>neurčí</w:t>
      </w:r>
      <w:r>
        <w:rPr>
          <w:spacing w:val="-14"/>
          <w:sz w:val="20"/>
        </w:rPr>
        <w:t> </w:t>
      </w:r>
      <w:r>
        <w:rPr>
          <w:sz w:val="20"/>
        </w:rPr>
        <w:t>jinak.</w:t>
      </w:r>
    </w:p>
    <w:p>
      <w:pPr>
        <w:pStyle w:val="ListParagraph"/>
        <w:numPr>
          <w:ilvl w:val="1"/>
          <w:numId w:val="6"/>
        </w:numPr>
        <w:tabs>
          <w:tab w:pos="1187" w:val="left" w:leader="none"/>
        </w:tabs>
        <w:spacing w:line="276" w:lineRule="auto" w:before="120" w:after="0"/>
        <w:ind w:left="1186" w:right="116" w:hanging="357"/>
        <w:jc w:val="both"/>
        <w:rPr>
          <w:sz w:val="20"/>
        </w:rPr>
      </w:pPr>
      <w:r>
        <w:rPr>
          <w:sz w:val="20"/>
        </w:rPr>
        <w:t>Při pastvě v okolí vodních zdrojů (registrovaných i neregistrovaných) je potřeba dodržovat minimální  ochranné  pásmo  2  metry,  pokud  není  ve  vodoprávním  rozhodnutí,  věcném břemeni apod. uvedeno jinak. Konzultace ohledně vodních zdrojů a jejich ochranných pásem je možná s odborným pracovníkem</w:t>
      </w:r>
      <w:r>
        <w:rPr>
          <w:spacing w:val="-17"/>
          <w:sz w:val="20"/>
        </w:rPr>
        <w:t> </w:t>
      </w:r>
      <w:r>
        <w:rPr>
          <w:sz w:val="20"/>
        </w:rPr>
        <w:t>propachtovatele.</w:t>
      </w:r>
    </w:p>
    <w:p>
      <w:pPr>
        <w:pStyle w:val="ListParagraph"/>
        <w:numPr>
          <w:ilvl w:val="1"/>
          <w:numId w:val="6"/>
        </w:numPr>
        <w:tabs>
          <w:tab w:pos="1187" w:val="left" w:leader="none"/>
        </w:tabs>
        <w:spacing w:line="276" w:lineRule="auto" w:before="123" w:after="0"/>
        <w:ind w:left="1186" w:right="126" w:hanging="357"/>
        <w:jc w:val="both"/>
        <w:rPr>
          <w:sz w:val="20"/>
        </w:rPr>
      </w:pPr>
      <w:r>
        <w:rPr>
          <w:sz w:val="20"/>
        </w:rPr>
        <w:t>Na turistické cestě musí být vždy umožněn bezpečný průchod ohradou, ideálně musí být tato cesta vyjmuta z pastvy a</w:t>
      </w:r>
      <w:r>
        <w:rPr>
          <w:spacing w:val="-13"/>
          <w:sz w:val="20"/>
        </w:rPr>
        <w:t> </w:t>
      </w:r>
      <w:r>
        <w:rPr>
          <w:sz w:val="20"/>
        </w:rPr>
        <w:t>ohrazení.</w:t>
      </w:r>
    </w:p>
    <w:p>
      <w:pPr>
        <w:pStyle w:val="ListParagraph"/>
        <w:numPr>
          <w:ilvl w:val="1"/>
          <w:numId w:val="6"/>
        </w:numPr>
        <w:tabs>
          <w:tab w:pos="1187" w:val="left" w:leader="none"/>
        </w:tabs>
        <w:spacing w:line="276" w:lineRule="auto" w:before="121" w:after="0"/>
        <w:ind w:left="1186" w:right="116" w:hanging="357"/>
        <w:jc w:val="both"/>
        <w:rPr>
          <w:sz w:val="20"/>
        </w:rPr>
      </w:pPr>
      <w:r>
        <w:rPr>
          <w:sz w:val="20"/>
        </w:rPr>
        <w:t>Pachtýř  se  dále  zavazuje  provádět   veškeré   činnosti   na   pozemcích   šetrně.   Kromě pastvy a seče travních porostů bude dbát o údržbu vodního režimu pozemku pravidelným pročišťováním stružek. V případě obnovy nefunkčního stávajícího vodního režimu je nutné kontaktovat propachtovatele a obnovu vodního režimu konzultovat. Vzniklé nerovnosti terénu (samovolně nebo zvěří) je třeba ošetřit běžnými</w:t>
      </w:r>
      <w:r>
        <w:rPr>
          <w:spacing w:val="-30"/>
          <w:sz w:val="20"/>
        </w:rPr>
        <w:t> </w:t>
      </w:r>
      <w:r>
        <w:rPr>
          <w:sz w:val="20"/>
        </w:rPr>
        <w:t>agrotechnickými postupy – smykování,</w:t>
      </w:r>
      <w:r>
        <w:rPr>
          <w:spacing w:val="-11"/>
          <w:sz w:val="20"/>
        </w:rPr>
        <w:t> </w:t>
      </w:r>
      <w:r>
        <w:rPr>
          <w:sz w:val="20"/>
        </w:rPr>
        <w:t>vláčení.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8"/>
        </w:rPr>
      </w:pPr>
    </w:p>
    <w:p>
      <w:pPr>
        <w:spacing w:before="96"/>
        <w:ind w:left="1804" w:right="1804" w:firstLine="0"/>
        <w:jc w:val="center"/>
        <w:rPr>
          <w:i/>
          <w:sz w:val="16"/>
        </w:rPr>
      </w:pPr>
      <w:r>
        <w:rPr>
          <w:i/>
          <w:sz w:val="16"/>
        </w:rPr>
        <w:t>(i)</w:t>
      </w:r>
    </w:p>
    <w:p>
      <w:pPr>
        <w:spacing w:after="0"/>
        <w:jc w:val="center"/>
        <w:rPr>
          <w:sz w:val="16"/>
        </w:rPr>
        <w:sectPr>
          <w:pgSz w:w="11910" w:h="16840"/>
          <w:pgMar w:top="500" w:bottom="280" w:left="1300" w:right="1300"/>
        </w:sectPr>
      </w:pPr>
    </w:p>
    <w:p>
      <w:pPr>
        <w:pStyle w:val="ListParagraph"/>
        <w:numPr>
          <w:ilvl w:val="1"/>
          <w:numId w:val="6"/>
        </w:numPr>
        <w:tabs>
          <w:tab w:pos="1267" w:val="left" w:leader="none"/>
        </w:tabs>
        <w:spacing w:line="276" w:lineRule="auto" w:before="77" w:after="0"/>
        <w:ind w:left="1266" w:right="114" w:hanging="357"/>
        <w:jc w:val="both"/>
        <w:rPr>
          <w:sz w:val="20"/>
        </w:rPr>
      </w:pPr>
      <w:r>
        <w:rPr>
          <w:sz w:val="20"/>
        </w:rPr>
        <w:t>Pachtýř se zavazuje, že bude všemi známými a dostupnými způsoby zabraňovat šíření invazivních  druhů  rostlin  (jejich   včasnou   likvidací   sečí   nebo   jiným   způsobem,   dle dohody s</w:t>
      </w:r>
      <w:r>
        <w:rPr>
          <w:spacing w:val="-7"/>
          <w:sz w:val="20"/>
        </w:rPr>
        <w:t> </w:t>
      </w:r>
      <w:r>
        <w:rPr>
          <w:sz w:val="20"/>
        </w:rPr>
        <w:t>propachtovatelem).</w:t>
      </w:r>
    </w:p>
    <w:p>
      <w:pPr>
        <w:pStyle w:val="ListParagraph"/>
        <w:numPr>
          <w:ilvl w:val="1"/>
          <w:numId w:val="6"/>
        </w:numPr>
        <w:tabs>
          <w:tab w:pos="1267" w:val="left" w:leader="none"/>
        </w:tabs>
        <w:spacing w:line="276" w:lineRule="auto" w:before="120" w:after="0"/>
        <w:ind w:left="1266" w:right="111" w:hanging="357"/>
        <w:jc w:val="both"/>
        <w:rPr>
          <w:sz w:val="20"/>
        </w:rPr>
      </w:pPr>
      <w:r>
        <w:rPr>
          <w:sz w:val="20"/>
        </w:rPr>
        <w:t>Pozemky mohou být s předchozím souhlasem propachtovatele hnojeny nebo vápněny. Souhlas bude udělen buď formou vymezení ve vrstvě enviro v rámci agroenvironmentálně-klimatických  opatření  anebo  písemně.   Hnojení   je   možné  pouze organickými hnojivy, kompostem nebo vyzrálým uleželým hnojem místního původu, a to vždy v období srpen až listopad běžného kalendářního roku. Vápnění je možné pouze přírodním   dolomitickým   vápence   nebo   jiným   typem    přírodního    vápence.  Vápnění je možné provádět v době duben až červen, anebo srpen až listopad běžného roku. Po celou dobu pachtu mohou být pozemky pohnojeny nebo vápněny maximálně 2x až</w:t>
      </w:r>
      <w:r>
        <w:rPr>
          <w:spacing w:val="-6"/>
          <w:sz w:val="20"/>
        </w:rPr>
        <w:t> </w:t>
      </w:r>
      <w:r>
        <w:rPr>
          <w:sz w:val="20"/>
        </w:rPr>
        <w:t>3x,</w:t>
      </w:r>
      <w:r>
        <w:rPr>
          <w:spacing w:val="-5"/>
          <w:sz w:val="20"/>
        </w:rPr>
        <w:t> </w:t>
      </w:r>
      <w:r>
        <w:rPr>
          <w:sz w:val="20"/>
        </w:rPr>
        <w:t>vždy</w:t>
      </w:r>
      <w:r>
        <w:rPr>
          <w:spacing w:val="-8"/>
          <w:sz w:val="20"/>
        </w:rPr>
        <w:t> </w:t>
      </w:r>
      <w:r>
        <w:rPr>
          <w:sz w:val="20"/>
        </w:rPr>
        <w:t>dle</w:t>
      </w:r>
      <w:r>
        <w:rPr>
          <w:spacing w:val="-6"/>
          <w:sz w:val="20"/>
        </w:rPr>
        <w:t> </w:t>
      </w:r>
      <w:r>
        <w:rPr>
          <w:sz w:val="20"/>
        </w:rPr>
        <w:t>klimatických</w:t>
      </w:r>
      <w:r>
        <w:rPr>
          <w:spacing w:val="-3"/>
          <w:sz w:val="20"/>
        </w:rPr>
        <w:t> </w:t>
      </w:r>
      <w:r>
        <w:rPr>
          <w:sz w:val="20"/>
        </w:rPr>
        <w:t>podmínek,</w:t>
      </w:r>
      <w:r>
        <w:rPr>
          <w:spacing w:val="-5"/>
          <w:sz w:val="20"/>
        </w:rPr>
        <w:t> </w:t>
      </w:r>
      <w:r>
        <w:rPr>
          <w:sz w:val="20"/>
        </w:rPr>
        <w:t>pokud</w:t>
      </w:r>
      <w:r>
        <w:rPr>
          <w:spacing w:val="-6"/>
          <w:sz w:val="20"/>
        </w:rPr>
        <w:t> </w:t>
      </w:r>
      <w:r>
        <w:rPr>
          <w:sz w:val="20"/>
        </w:rPr>
        <w:t>nebude</w:t>
      </w:r>
      <w:r>
        <w:rPr>
          <w:spacing w:val="-2"/>
          <w:sz w:val="20"/>
        </w:rPr>
        <w:t> </w:t>
      </w:r>
      <w:r>
        <w:rPr>
          <w:sz w:val="20"/>
        </w:rPr>
        <w:t>s</w:t>
      </w:r>
      <w:r>
        <w:rPr>
          <w:spacing w:val="-2"/>
          <w:sz w:val="20"/>
        </w:rPr>
        <w:t> </w:t>
      </w:r>
      <w:r>
        <w:rPr>
          <w:sz w:val="20"/>
        </w:rPr>
        <w:t>ohledem</w:t>
      </w:r>
      <w:r>
        <w:rPr>
          <w:spacing w:val="-1"/>
          <w:sz w:val="20"/>
        </w:rPr>
        <w:t> </w:t>
      </w:r>
      <w:r>
        <w:rPr>
          <w:sz w:val="20"/>
        </w:rPr>
        <w:t>na</w:t>
      </w:r>
      <w:r>
        <w:rPr>
          <w:spacing w:val="-6"/>
          <w:sz w:val="20"/>
        </w:rPr>
        <w:t> </w:t>
      </w:r>
      <w:r>
        <w:rPr>
          <w:sz w:val="20"/>
        </w:rPr>
        <w:t>stav</w:t>
      </w:r>
      <w:r>
        <w:rPr>
          <w:spacing w:val="-5"/>
          <w:sz w:val="20"/>
        </w:rPr>
        <w:t> </w:t>
      </w:r>
      <w:r>
        <w:rPr>
          <w:sz w:val="20"/>
        </w:rPr>
        <w:t>propachtovaných pozemků mezi pachtýřem a propachtovatelem sjednáno jinak. Množství aplikovaného hnojiva  bude  vždy  předem  konzultováno  s odborným   pracovníkem   propachtovatele. Z hnojení a vápnění budou vyjmuty trvale podmáčené části luk a povrchové vodoteče, aplikace hnoje není možná min. 3 m od podmáčené louky nebo povrchové</w:t>
      </w:r>
      <w:r>
        <w:rPr>
          <w:spacing w:val="-22"/>
          <w:sz w:val="20"/>
        </w:rPr>
        <w:t> </w:t>
      </w:r>
      <w:r>
        <w:rPr>
          <w:sz w:val="20"/>
        </w:rPr>
        <w:t>vodoteče.</w:t>
      </w:r>
    </w:p>
    <w:p>
      <w:pPr>
        <w:pStyle w:val="ListParagraph"/>
        <w:numPr>
          <w:ilvl w:val="1"/>
          <w:numId w:val="6"/>
        </w:numPr>
        <w:tabs>
          <w:tab w:pos="1267" w:val="left" w:leader="none"/>
        </w:tabs>
        <w:spacing w:line="276" w:lineRule="auto" w:before="122" w:after="0"/>
        <w:ind w:left="1266" w:right="119" w:hanging="357"/>
        <w:jc w:val="both"/>
        <w:rPr>
          <w:sz w:val="20"/>
        </w:rPr>
      </w:pPr>
      <w:r>
        <w:rPr>
          <w:sz w:val="20"/>
        </w:rPr>
        <w:t>Pozemky nesmí být mulčovány nebo na nich skladován dlouhodobě hnůj a nesmí na něm být zimována hospodářská zvířata bez předchozího souhlasu</w:t>
      </w:r>
      <w:r>
        <w:rPr>
          <w:spacing w:val="-21"/>
          <w:sz w:val="20"/>
        </w:rPr>
        <w:t> </w:t>
      </w:r>
      <w:r>
        <w:rPr>
          <w:sz w:val="20"/>
        </w:rPr>
        <w:t>propachtovatele.</w:t>
      </w:r>
    </w:p>
    <w:p>
      <w:pPr>
        <w:pStyle w:val="ListParagraph"/>
        <w:numPr>
          <w:ilvl w:val="1"/>
          <w:numId w:val="6"/>
        </w:numPr>
        <w:tabs>
          <w:tab w:pos="1267" w:val="left" w:leader="none"/>
        </w:tabs>
        <w:spacing w:line="276" w:lineRule="auto" w:before="120" w:after="0"/>
        <w:ind w:left="1266" w:right="119" w:hanging="357"/>
        <w:jc w:val="both"/>
        <w:rPr>
          <w:sz w:val="20"/>
        </w:rPr>
      </w:pPr>
      <w:r>
        <w:rPr>
          <w:sz w:val="20"/>
        </w:rPr>
        <w:t>Dřeviny rostoucí na pozemcích nelze kácet bez předchozího souhlasu propachtovatele. Nálet juvenilních dřevin  odstranitelný  žacími  stroji  nebo  křovinořezem  je  považován  za součást bylinného</w:t>
      </w:r>
      <w:r>
        <w:rPr>
          <w:spacing w:val="-11"/>
          <w:sz w:val="20"/>
        </w:rPr>
        <w:t> </w:t>
      </w:r>
      <w:r>
        <w:rPr>
          <w:sz w:val="20"/>
        </w:rPr>
        <w:t>patra.</w:t>
      </w:r>
    </w:p>
    <w:p>
      <w:pPr>
        <w:pStyle w:val="ListParagraph"/>
        <w:numPr>
          <w:ilvl w:val="1"/>
          <w:numId w:val="6"/>
        </w:numPr>
        <w:tabs>
          <w:tab w:pos="1267" w:val="left" w:leader="none"/>
        </w:tabs>
        <w:spacing w:line="276" w:lineRule="auto" w:before="123" w:after="0"/>
        <w:ind w:left="1266" w:right="119" w:hanging="357"/>
        <w:jc w:val="both"/>
        <w:rPr>
          <w:sz w:val="20"/>
        </w:rPr>
      </w:pPr>
      <w:r>
        <w:rPr>
          <w:sz w:val="20"/>
        </w:rPr>
        <w:t>V případě  mimořádných  událostí  a  potřeby  operativně  změnit  stanovené  podmínky   je nutné písemně informovat</w:t>
      </w:r>
      <w:r>
        <w:rPr>
          <w:spacing w:val="-11"/>
          <w:sz w:val="20"/>
        </w:rPr>
        <w:t> </w:t>
      </w:r>
      <w:r>
        <w:rPr>
          <w:sz w:val="20"/>
        </w:rPr>
        <w:t>propachtovatele.</w:t>
      </w:r>
    </w:p>
    <w:p>
      <w:pPr>
        <w:pStyle w:val="ListParagraph"/>
        <w:numPr>
          <w:ilvl w:val="1"/>
          <w:numId w:val="6"/>
        </w:numPr>
        <w:tabs>
          <w:tab w:pos="1267" w:val="left" w:leader="none"/>
        </w:tabs>
        <w:spacing w:line="276" w:lineRule="auto" w:before="120" w:after="0"/>
        <w:ind w:left="1266" w:right="119" w:hanging="357"/>
        <w:jc w:val="both"/>
        <w:rPr>
          <w:sz w:val="20"/>
        </w:rPr>
      </w:pPr>
      <w:r>
        <w:rPr>
          <w:sz w:val="20"/>
        </w:rPr>
        <w:t>Pozemky   mohou   být   zařazeny   do   agroenvironmentálně-klimatických   opatření.  Seč,</w:t>
      </w:r>
      <w:r>
        <w:rPr>
          <w:spacing w:val="-4"/>
          <w:sz w:val="20"/>
        </w:rPr>
        <w:t> </w:t>
      </w:r>
      <w:r>
        <w:rPr>
          <w:sz w:val="20"/>
        </w:rPr>
        <w:t>případnou</w:t>
      </w:r>
      <w:r>
        <w:rPr>
          <w:spacing w:val="-9"/>
          <w:sz w:val="20"/>
        </w:rPr>
        <w:t> </w:t>
      </w:r>
      <w:r>
        <w:rPr>
          <w:sz w:val="20"/>
        </w:rPr>
        <w:t>pastvu</w:t>
      </w:r>
      <w:r>
        <w:rPr>
          <w:spacing w:val="-11"/>
          <w:sz w:val="20"/>
        </w:rPr>
        <w:t> </w:t>
      </w:r>
      <w:r>
        <w:rPr>
          <w:sz w:val="20"/>
        </w:rPr>
        <w:t>je</w:t>
      </w:r>
      <w:r>
        <w:rPr>
          <w:spacing w:val="-9"/>
          <w:sz w:val="20"/>
        </w:rPr>
        <w:t> </w:t>
      </w:r>
      <w:r>
        <w:rPr>
          <w:sz w:val="20"/>
        </w:rPr>
        <w:t>nutné</w:t>
      </w:r>
      <w:r>
        <w:rPr>
          <w:spacing w:val="-7"/>
          <w:sz w:val="20"/>
        </w:rPr>
        <w:t> </w:t>
      </w:r>
      <w:r>
        <w:rPr>
          <w:sz w:val="20"/>
        </w:rPr>
        <w:t>zajistit</w:t>
      </w:r>
      <w:r>
        <w:rPr>
          <w:spacing w:val="-9"/>
          <w:sz w:val="20"/>
        </w:rPr>
        <w:t> </w:t>
      </w:r>
      <w:r>
        <w:rPr>
          <w:sz w:val="20"/>
        </w:rPr>
        <w:t>dle</w:t>
      </w:r>
      <w:r>
        <w:rPr>
          <w:spacing w:val="-11"/>
          <w:sz w:val="20"/>
        </w:rPr>
        <w:t> </w:t>
      </w:r>
      <w:r>
        <w:rPr>
          <w:sz w:val="20"/>
        </w:rPr>
        <w:t>podmínek</w:t>
      </w:r>
      <w:r>
        <w:rPr>
          <w:spacing w:val="-8"/>
          <w:sz w:val="20"/>
        </w:rPr>
        <w:t> </w:t>
      </w:r>
      <w:r>
        <w:rPr>
          <w:sz w:val="20"/>
        </w:rPr>
        <w:t>daných</w:t>
      </w:r>
      <w:r>
        <w:rPr>
          <w:spacing w:val="-9"/>
          <w:sz w:val="20"/>
        </w:rPr>
        <w:t> </w:t>
      </w:r>
      <w:r>
        <w:rPr>
          <w:sz w:val="20"/>
        </w:rPr>
        <w:t>titulů,</w:t>
      </w:r>
      <w:r>
        <w:rPr>
          <w:spacing w:val="-12"/>
          <w:sz w:val="20"/>
        </w:rPr>
        <w:t> </w:t>
      </w:r>
      <w:r>
        <w:rPr>
          <w:sz w:val="20"/>
        </w:rPr>
        <w:t>tak</w:t>
      </w:r>
      <w:r>
        <w:rPr>
          <w:spacing w:val="-8"/>
          <w:sz w:val="20"/>
        </w:rPr>
        <w:t> </w:t>
      </w:r>
      <w:r>
        <w:rPr>
          <w:sz w:val="20"/>
        </w:rPr>
        <w:t>jak</w:t>
      </w:r>
      <w:r>
        <w:rPr>
          <w:spacing w:val="-8"/>
          <w:sz w:val="20"/>
        </w:rPr>
        <w:t> </w:t>
      </w:r>
      <w:r>
        <w:rPr>
          <w:sz w:val="20"/>
        </w:rPr>
        <w:t>budou</w:t>
      </w:r>
      <w:r>
        <w:rPr>
          <w:spacing w:val="-9"/>
          <w:sz w:val="20"/>
        </w:rPr>
        <w:t> </w:t>
      </w:r>
      <w:r>
        <w:rPr>
          <w:sz w:val="20"/>
        </w:rPr>
        <w:t>nastaveny ve vrstvě ENVIRO</w:t>
      </w:r>
      <w:r>
        <w:rPr>
          <w:spacing w:val="-9"/>
          <w:sz w:val="20"/>
        </w:rPr>
        <w:t> </w:t>
      </w:r>
      <w:r>
        <w:rPr>
          <w:sz w:val="20"/>
        </w:rPr>
        <w:t>propachtovatelem.</w:t>
      </w:r>
    </w:p>
    <w:p>
      <w:pPr>
        <w:pStyle w:val="BodyText"/>
        <w:spacing w:before="5"/>
      </w:pPr>
    </w:p>
    <w:tbl>
      <w:tblPr>
        <w:tblW w:w="0" w:type="auto"/>
        <w:jc w:val="left"/>
        <w:tblInd w:w="1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5"/>
        <w:gridCol w:w="4225"/>
      </w:tblGrid>
      <w:tr>
        <w:trPr>
          <w:trHeight w:val="801" w:hRule="exact"/>
        </w:trPr>
        <w:tc>
          <w:tcPr>
            <w:tcW w:w="4225" w:type="dxa"/>
          </w:tcPr>
          <w:p>
            <w:pPr>
              <w:pStyle w:val="TableParagraph"/>
              <w:spacing w:line="223" w:lineRule="exact" w:before="0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Ve Vrchlabí dne:</w:t>
            </w:r>
          </w:p>
        </w:tc>
        <w:tc>
          <w:tcPr>
            <w:tcW w:w="4225" w:type="dxa"/>
          </w:tcPr>
          <w:p>
            <w:pPr>
              <w:pStyle w:val="TableParagraph"/>
              <w:spacing w:line="223" w:lineRule="exact" w:before="0"/>
              <w:ind w:left="511"/>
              <w:jc w:val="left"/>
              <w:rPr>
                <w:sz w:val="20"/>
              </w:rPr>
            </w:pPr>
            <w:r>
              <w:rPr>
                <w:sz w:val="20"/>
              </w:rPr>
              <w:t>V Peci pod Sněžkou dne:</w:t>
            </w:r>
          </w:p>
        </w:tc>
      </w:tr>
      <w:tr>
        <w:trPr>
          <w:trHeight w:val="1493" w:hRule="exact"/>
        </w:trPr>
        <w:tc>
          <w:tcPr>
            <w:tcW w:w="4225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982" w:right="490"/>
              <w:rPr>
                <w:sz w:val="20"/>
              </w:rPr>
            </w:pPr>
            <w:r>
              <w:rPr>
                <w:sz w:val="20"/>
              </w:rPr>
              <w:t>…………………………………..</w:t>
            </w:r>
          </w:p>
          <w:p>
            <w:pPr>
              <w:pStyle w:val="TableParagraph"/>
              <w:spacing w:before="0"/>
              <w:ind w:left="982" w:right="489"/>
              <w:rPr>
                <w:sz w:val="20"/>
              </w:rPr>
            </w:pPr>
            <w:r>
              <w:rPr>
                <w:sz w:val="20"/>
              </w:rPr>
              <w:t>Správa KRNAP</w:t>
            </w:r>
          </w:p>
          <w:p>
            <w:pPr>
              <w:pStyle w:val="TableParagraph"/>
              <w:spacing w:before="0"/>
              <w:ind w:left="982" w:right="490"/>
              <w:rPr>
                <w:sz w:val="20"/>
              </w:rPr>
            </w:pPr>
            <w:r>
              <w:rPr>
                <w:sz w:val="20"/>
              </w:rPr>
              <w:t>PhDr. Robin Böhnisch, ředitel propachtovatel</w:t>
            </w:r>
          </w:p>
        </w:tc>
        <w:tc>
          <w:tcPr>
            <w:tcW w:w="4225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sz w:val="27"/>
              </w:rPr>
            </w:pPr>
          </w:p>
          <w:p>
            <w:pPr>
              <w:pStyle w:val="TableParagraph"/>
              <w:spacing w:before="0"/>
              <w:ind w:left="1295" w:right="179"/>
              <w:rPr>
                <w:sz w:val="20"/>
              </w:rPr>
            </w:pPr>
            <w:r>
              <w:rPr>
                <w:sz w:val="20"/>
              </w:rPr>
              <w:t>…………………………………..</w:t>
            </w:r>
          </w:p>
          <w:p>
            <w:pPr>
              <w:pStyle w:val="TableParagraph"/>
              <w:spacing w:before="0"/>
              <w:ind w:left="2043" w:right="926"/>
              <w:rPr>
                <w:sz w:val="20"/>
              </w:rPr>
            </w:pPr>
            <w:r>
              <w:rPr>
                <w:sz w:val="20"/>
              </w:rPr>
              <w:t>David Mlejnek pachtýř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0"/>
        <w:ind w:left="3778" w:right="3698" w:firstLine="0"/>
        <w:jc w:val="center"/>
        <w:rPr>
          <w:i/>
          <w:sz w:val="16"/>
        </w:rPr>
      </w:pPr>
      <w:r>
        <w:rPr>
          <w:i/>
          <w:sz w:val="16"/>
        </w:rPr>
        <w:t>(ii)</w:t>
      </w:r>
    </w:p>
    <w:p>
      <w:pPr>
        <w:spacing w:after="0"/>
        <w:jc w:val="center"/>
        <w:rPr>
          <w:sz w:val="16"/>
        </w:rPr>
        <w:sectPr>
          <w:pgSz w:w="11910" w:h="16840"/>
          <w:pgMar w:top="1320" w:bottom="280" w:left="1220" w:right="1300"/>
        </w:sectPr>
      </w:pPr>
    </w:p>
    <w:p>
      <w:pPr>
        <w:pStyle w:val="BodyText"/>
        <w:rPr>
          <w:i/>
        </w:rPr>
      </w:pPr>
      <w:r>
        <w:rPr/>
        <w:pict>
          <v:shape style="position:absolute;margin-left:1.322339pt;margin-top:0pt;width:840.5pt;height:593.25pt;mso-position-horizontal-relative:page;mso-position-vertical-relative:page;z-index:-24880" type="#_x0000_t202" filled="false" stroked="false">
            <v:textbox inset="0,0,0,0">
              <w:txbxContent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rPr>
                      <w:b/>
                      <w:sz w:val="8"/>
                    </w:rPr>
                  </w:pPr>
                </w:p>
                <w:p>
                  <w:pPr>
                    <w:pStyle w:val="BodyText"/>
                    <w:spacing w:before="4"/>
                    <w:rPr>
                      <w:b/>
                      <w:sz w:val="9"/>
                    </w:rPr>
                  </w:pPr>
                </w:p>
                <w:p>
                  <w:pPr>
                    <w:spacing w:line="69" w:lineRule="auto" w:before="0"/>
                    <w:ind w:left="959" w:right="15708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sz w:val="16"/>
                    </w:rPr>
                    <w:t>( </w:t>
                  </w:r>
                  <w:r>
                    <w:rPr>
                      <w:i/>
                      <w:sz w:val="16"/>
                    </w:rPr>
                    <w:t>3</w:t>
                  </w:r>
                </w:p>
                <w:p>
                  <w:pPr>
                    <w:spacing w:line="113" w:lineRule="exact" w:before="0"/>
                    <w:ind w:left="959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0"/>
                      <w:sz w:val="16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.322339pt;margin-top:0pt;width:840.5pt;height:593.25pt;mso-position-horizontal-relative:page;mso-position-vertical-relative:page;z-index:-24856" coordorigin="26,0" coordsize="16810,11865">
            <v:shape style="position:absolute;left:26;top:0;width:16810;height:11865" type="#_x0000_t75" stroked="false">
              <v:imagedata r:id="rId5" o:title=""/>
            </v:shape>
            <v:shape style="position:absolute;left:10592;top:612;width:5745;height:449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783.469971pt;margin-top:198.399994pt;width:33pt;height:213pt;mso-position-horizontal-relative:page;mso-position-vertical-relative:page;z-index:1144" type="#_x0000_t202" filled="true" fillcolor="#ffffff" stroked="true" strokeweight="2pt" strokecolor="#000000">
            <v:textbox inset="0,0,0,0" style="layout-flow:vertical">
              <w:txbxContent>
                <w:p>
                  <w:pPr>
                    <w:spacing w:before="169"/>
                    <w:ind w:left="1256" w:right="-507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w w:val="99"/>
                      <w:sz w:val="32"/>
                    </w:rPr>
                    <w:t>P</w:t>
                  </w:r>
                  <w:r>
                    <w:rPr>
                      <w:b/>
                      <w:w w:val="99"/>
                      <w:sz w:val="32"/>
                    </w:rPr>
                    <w:t>říloha</w:t>
                  </w:r>
                  <w:r>
                    <w:rPr>
                      <w:b/>
                      <w:spacing w:val="-1"/>
                      <w:sz w:val="32"/>
                    </w:rPr>
                    <w:t> </w:t>
                  </w:r>
                  <w:r>
                    <w:rPr>
                      <w:b/>
                      <w:w w:val="99"/>
                      <w:sz w:val="32"/>
                    </w:rPr>
                    <w:t>č.III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</w:p>
    <w:p>
      <w:pPr>
        <w:pStyle w:val="BodyText"/>
        <w:rPr>
          <w:i/>
        </w:rPr>
      </w:pPr>
    </w:p>
    <w:p>
      <w:pPr>
        <w:pStyle w:val="Heading1"/>
        <w:spacing w:before="223"/>
        <w:ind w:left="0" w:right="105"/>
        <w:jc w:val="right"/>
      </w:pPr>
      <w:r>
        <w:rPr/>
        <w:t>Vlašské Boudy (Valšovky)</w:t>
      </w:r>
    </w:p>
    <w:p>
      <w:pPr>
        <w:spacing w:after="0"/>
        <w:jc w:val="right"/>
        <w:sectPr>
          <w:pgSz w:w="16840" w:h="11910" w:orient="landscape"/>
          <w:pgMar w:top="0" w:bottom="280" w:left="2420" w:right="17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1.302308pt;width:594.75pt;height:840.65pt;mso-position-horizontal-relative:page;mso-position-vertical-relative:page;z-index:-248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118"/>
                    <w:ind w:left="5834" w:right="5825" w:firstLine="0"/>
                    <w:jc w:val="center"/>
                    <w:rPr>
                      <w:i/>
                      <w:sz w:val="16"/>
                    </w:rPr>
                  </w:pPr>
                  <w:r>
                    <w:rPr>
                      <w:i/>
                      <w:sz w:val="16"/>
                    </w:rPr>
                    <w:t>(4)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1.302308pt;width:594.75pt;height:840.65pt;mso-position-horizontal-relative:page;mso-position-vertical-relative:page;z-index:-24784" coordorigin="0,26" coordsize="11895,16813">
            <v:shape style="position:absolute;left:0;top:26;width:11895;height:16812" type="#_x0000_t75" stroked="false">
              <v:imagedata r:id="rId7" o:title=""/>
            </v:shape>
            <v:shape style="position:absolute;left:612;top:501;width:449;height:5745" type="#_x0000_t75" stroked="false">
              <v:imagedata r:id="rId8" o:title=""/>
            </v:shape>
            <w10:wrap type="none"/>
          </v:group>
        </w:pict>
      </w:r>
      <w:r>
        <w:rPr/>
        <w:pict>
          <v:shape style="position:absolute;margin-left:198.399994pt;margin-top:25.449984pt;width:213pt;height:33pt;mso-position-horizontal-relative:page;mso-position-vertical-relative:page;z-index:1216" type="#_x0000_t202" filled="true" fillcolor="#ffffff" stroked="true" strokeweight="2pt" strokecolor="#000000">
            <v:textbox inset="0,0,0,0">
              <w:txbxContent>
                <w:p>
                  <w:pPr>
                    <w:spacing w:before="169"/>
                    <w:ind w:left="1256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Příloha č.III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33.856716pt;margin-top:120.391975pt;width:15.45pt;height:96.15pt;mso-position-horizontal-relative:page;mso-position-vertical-relative:page;z-index:1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-838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Braun</w:t>
                  </w:r>
                  <w:r>
                    <w:rPr>
                      <w:b/>
                      <w:spacing w:val="2"/>
                      <w:sz w:val="24"/>
                    </w:rPr>
                    <w:t>o</w:t>
                  </w:r>
                  <w:r>
                    <w:rPr>
                      <w:b/>
                      <w:spacing w:val="-2"/>
                      <w:w w:val="99"/>
                      <w:sz w:val="24"/>
                    </w:rPr>
                    <w:t>v</w:t>
                  </w:r>
                  <w:r>
                    <w:rPr>
                      <w:b/>
                      <w:w w:val="99"/>
                      <w:sz w:val="24"/>
                    </w:rPr>
                    <w:t>y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w w:val="100"/>
                      <w:sz w:val="24"/>
                    </w:rPr>
                    <w:t>Lou</w:t>
                  </w:r>
                  <w:r>
                    <w:rPr>
                      <w:b/>
                      <w:spacing w:val="5"/>
                      <w:w w:val="100"/>
                      <w:sz w:val="24"/>
                    </w:rPr>
                    <w:t>k</w:t>
                  </w:r>
                  <w:r>
                    <w:rPr>
                      <w:b/>
                      <w:w w:val="99"/>
                      <w:sz w:val="24"/>
                    </w:rPr>
                    <w:t>y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500" w:bottom="280" w:left="168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0pt;margin-top:0pt;width:594pt;height:839.1pt;mso-position-horizontal-relative:page;mso-position-vertical-relative:page;z-index:-247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8"/>
                    </w:rPr>
                  </w:pPr>
                </w:p>
                <w:p>
                  <w:pPr>
                    <w:spacing w:before="144"/>
                    <w:ind w:left="5834" w:right="5810" w:firstLine="0"/>
                    <w:jc w:val="center"/>
                    <w:rPr>
                      <w:i/>
                      <w:sz w:val="16"/>
                    </w:rPr>
                  </w:pPr>
                  <w:r>
                    <w:rPr>
                      <w:i/>
                      <w:sz w:val="16"/>
                    </w:rPr>
                    <w:t>(5)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4pt;height:839.1pt;mso-position-horizontal-relative:page;mso-position-vertical-relative:page;z-index:-24688" coordorigin="0,0" coordsize="11880,16782">
            <v:shape style="position:absolute;left:0;top:0;width:11880;height:16782" type="#_x0000_t75" stroked="false">
              <v:imagedata r:id="rId9" o:title=""/>
            </v:shape>
            <v:shape style="position:absolute;left:612;top:501;width:449;height:5745" type="#_x0000_t75" stroked="false">
              <v:imagedata r:id="rId8" o:title=""/>
            </v:shape>
            <w10:wrap type="none"/>
          </v:group>
        </w:pict>
      </w:r>
      <w:r>
        <w:rPr/>
        <w:pict>
          <v:shape style="position:absolute;margin-left:198.399994pt;margin-top:25.449984pt;width:213pt;height:33pt;mso-position-horizontal-relative:page;mso-position-vertical-relative:page;z-index:1312" type="#_x0000_t202" filled="true" fillcolor="#ffffff" stroked="true" strokeweight="2pt" strokecolor="#000000">
            <v:textbox inset="0,0,0,0">
              <w:txbxContent>
                <w:p>
                  <w:pPr>
                    <w:spacing w:before="169"/>
                    <w:ind w:left="1256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Příloha č.III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33.856716pt;margin-top:136.439987pt;width:15.45pt;height:64.1pt;mso-position-horizontal-relative:page;mso-position-vertical-relative:page;z-index:1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99"/>
                      <w:sz w:val="24"/>
                    </w:rPr>
                    <w:t>R</w:t>
                  </w:r>
                  <w:r>
                    <w:rPr>
                      <w:b/>
                      <w:spacing w:val="-1"/>
                      <w:w w:val="99"/>
                      <w:sz w:val="24"/>
                    </w:rPr>
                    <w:t>ů</w:t>
                  </w:r>
                  <w:r>
                    <w:rPr>
                      <w:b/>
                      <w:w w:val="100"/>
                      <w:sz w:val="24"/>
                    </w:rPr>
                    <w:t>žoh</w:t>
                  </w:r>
                  <w:r>
                    <w:rPr>
                      <w:b/>
                      <w:spacing w:val="-1"/>
                      <w:w w:val="100"/>
                      <w:sz w:val="24"/>
                    </w:rPr>
                    <w:t>o</w:t>
                  </w:r>
                  <w:r>
                    <w:rPr>
                      <w:b/>
                      <w:w w:val="99"/>
                      <w:sz w:val="24"/>
                    </w:rPr>
                    <w:t>r</w:t>
                  </w:r>
                  <w:r>
                    <w:rPr>
                      <w:b/>
                      <w:spacing w:val="3"/>
                      <w:w w:val="99"/>
                      <w:sz w:val="24"/>
                    </w:rPr>
                    <w:t>k</w:t>
                  </w:r>
                  <w:r>
                    <w:rPr>
                      <w:b/>
                      <w:w w:val="99"/>
                      <w:sz w:val="24"/>
                    </w:rPr>
                    <w:t>y</w:t>
                  </w:r>
                </w:p>
              </w:txbxContent>
            </v:textbox>
            <w10:wrap type="none"/>
          </v:shape>
        </w:pict>
      </w:r>
    </w:p>
    <w:sectPr>
      <w:pgSz w:w="11910" w:h="16840"/>
      <w:pgMar w:top="500" w:bottom="280" w:left="16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)"/>
      <w:lvlJc w:val="left"/>
      <w:pPr>
        <w:ind w:left="623" w:hanging="464"/>
        <w:jc w:val="left"/>
      </w:pPr>
      <w:rPr>
        <w:rFonts w:hint="default" w:ascii="Arial" w:hAnsi="Arial" w:eastAsia="Arial" w:cs="Arial"/>
        <w:spacing w:val="-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left="1189" w:hanging="360"/>
        <w:jc w:val="right"/>
      </w:pPr>
      <w:rPr>
        <w:rFonts w:hint="default" w:ascii="Arial" w:hAnsi="Arial" w:eastAsia="Arial" w:cs="Arial"/>
        <w:spacing w:val="-1"/>
        <w:w w:val="99"/>
        <w:sz w:val="20"/>
        <w:szCs w:val="20"/>
      </w:rPr>
    </w:lvl>
    <w:lvl w:ilvl="2">
      <w:start w:val="0"/>
      <w:numFmt w:val="bullet"/>
      <w:lvlText w:val="•"/>
      <w:lvlJc w:val="left"/>
      <w:pPr>
        <w:ind w:left="208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8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8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91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94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9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00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563" w:hanging="447"/>
        <w:jc w:val="left"/>
      </w:pPr>
      <w:rPr>
        <w:rFonts w:hint="default" w:ascii="Arial" w:hAnsi="Arial" w:eastAsia="Arial" w:cs="Arial"/>
        <w:i/>
        <w:w w:val="99"/>
        <w:sz w:val="18"/>
        <w:szCs w:val="18"/>
      </w:rPr>
    </w:lvl>
    <w:lvl w:ilvl="1">
      <w:start w:val="0"/>
      <w:numFmt w:val="bullet"/>
      <w:lvlText w:val=""/>
      <w:lvlJc w:val="left"/>
      <w:pPr>
        <w:ind w:left="904" w:hanging="356"/>
      </w:pPr>
      <w:rPr>
        <w:rFonts w:hint="default" w:ascii="Symbol" w:hAnsi="Symbol" w:eastAsia="Symbol" w:cs="Symbol"/>
        <w:w w:val="100"/>
        <w:sz w:val="18"/>
        <w:szCs w:val="18"/>
      </w:rPr>
    </w:lvl>
    <w:lvl w:ilvl="2">
      <w:start w:val="0"/>
      <w:numFmt w:val="bullet"/>
      <w:lvlText w:val="•"/>
      <w:lvlJc w:val="left"/>
      <w:pPr>
        <w:ind w:left="1836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72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08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45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81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17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53" w:hanging="356"/>
      </w:pPr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)"/>
      <w:lvlJc w:val="left"/>
      <w:pPr>
        <w:ind w:left="563" w:hanging="286"/>
        <w:jc w:val="left"/>
      </w:pPr>
      <w:rPr>
        <w:rFonts w:hint="default" w:ascii="Arial" w:hAnsi="Arial" w:eastAsia="Arial" w:cs="Arial"/>
        <w:i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1436" w:hanging="2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13" w:hanging="2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89" w:hanging="2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66" w:hanging="2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43" w:hanging="2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19" w:hanging="2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96" w:hanging="2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73" w:hanging="286"/>
      </w:pPr>
      <w:rPr>
        <w:rFonts w:hint="default"/>
      </w:rPr>
    </w:lvl>
  </w:abstractNum>
  <w:abstractNum w:abstractNumId="2">
    <w:multiLevelType w:val="hybridMultilevel"/>
    <w:lvl w:ilvl="0">
      <w:start w:val="7"/>
      <w:numFmt w:val="decimal"/>
      <w:lvlText w:val="%1)"/>
      <w:lvlJc w:val="left"/>
      <w:pPr>
        <w:ind w:left="568" w:hanging="440"/>
        <w:jc w:val="right"/>
      </w:pPr>
      <w:rPr>
        <w:rFonts w:hint="default" w:ascii="Arial" w:hAnsi="Arial" w:eastAsia="Arial" w:cs="Arial"/>
        <w:i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1436" w:hanging="4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13" w:hanging="4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89" w:hanging="4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66" w:hanging="4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43" w:hanging="4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19" w:hanging="4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96" w:hanging="4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73" w:hanging="44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563" w:hanging="447"/>
        <w:jc w:val="left"/>
      </w:pPr>
      <w:rPr>
        <w:rFonts w:hint="default" w:ascii="Arial" w:hAnsi="Arial" w:eastAsia="Arial" w:cs="Arial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980" w:hanging="4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07" w:hanging="4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34" w:hanging="4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62" w:hanging="4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89" w:hanging="4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16" w:hanging="4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44" w:hanging="4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71" w:hanging="44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563" w:hanging="447"/>
        <w:jc w:val="left"/>
      </w:pPr>
      <w:rPr>
        <w:rFonts w:hint="default" w:ascii="Arial" w:hAnsi="Arial" w:eastAsia="Arial" w:cs="Arial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1436" w:hanging="4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13" w:hanging="4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89" w:hanging="4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66" w:hanging="4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43" w:hanging="4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19" w:hanging="4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96" w:hanging="4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73" w:hanging="447"/>
      </w:pPr>
      <w:rPr>
        <w:rFonts w:hint="default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12"/>
      <w:ind w:left="20" w:right="-838"/>
      <w:outlineLvl w:val="1"/>
    </w:pPr>
    <w:rPr>
      <w:rFonts w:ascii="Arial" w:hAnsi="Arial" w:eastAsia="Arial" w:cs="Arial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132" w:right="113"/>
      <w:jc w:val="center"/>
      <w:outlineLvl w:val="2"/>
    </w:pPr>
    <w:rPr>
      <w:rFonts w:ascii="Arial" w:hAnsi="Arial" w:eastAsia="Arial" w:cs="Arial"/>
      <w:b/>
      <w:bCs/>
      <w:sz w:val="22"/>
      <w:szCs w:val="22"/>
    </w:rPr>
  </w:style>
  <w:style w:styleId="Heading3" w:type="paragraph">
    <w:name w:val="Heading 3"/>
    <w:basedOn w:val="Normal"/>
    <w:uiPriority w:val="1"/>
    <w:qFormat/>
    <w:pPr>
      <w:ind w:left="136" w:right="113"/>
      <w:jc w:val="center"/>
      <w:outlineLvl w:val="3"/>
    </w:pPr>
    <w:rPr>
      <w:rFonts w:ascii="Arial" w:hAnsi="Arial" w:eastAsia="Arial" w:cs="Arial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>
      <w:spacing w:before="120"/>
      <w:ind w:left="563" w:right="114" w:hanging="357"/>
      <w:jc w:val="both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before="41"/>
      <w:jc w:val="center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matouskovaa</dc:creator>
  <dc:title>B - část 2/4/1/a - příloha č</dc:title>
  <dcterms:created xsi:type="dcterms:W3CDTF">2024-05-07T06:53:14Z</dcterms:created>
  <dcterms:modified xsi:type="dcterms:W3CDTF">2024-05-07T06:53:14Z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2024-05-07T00:00:00Z</vt:filetime>
  </property>
</Properties>
</file>