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5211200302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Nemocnice</w:t>
      </w:r>
      <w:r>
        <w:rPr>
          <w:spacing w:val="-10"/>
        </w:rPr>
        <w:t> </w:t>
      </w:r>
      <w:r>
        <w:rPr/>
        <w:t>Vyškov,</w:t>
      </w:r>
      <w:r>
        <w:rPr>
          <w:spacing w:val="-10"/>
        </w:rPr>
        <w:t> </w:t>
      </w:r>
      <w:r>
        <w:rPr/>
        <w:t>příspěvková</w:t>
      </w:r>
      <w:r>
        <w:rPr>
          <w:spacing w:val="-10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Purkyňova</w:t>
      </w:r>
      <w:r>
        <w:rPr>
          <w:spacing w:val="-8"/>
        </w:rPr>
        <w:t> </w:t>
      </w:r>
      <w:r>
        <w:rPr/>
        <w:t>235/36,</w:t>
      </w:r>
      <w:r>
        <w:rPr>
          <w:spacing w:val="-7"/>
        </w:rPr>
        <w:t> </w:t>
      </w:r>
      <w:r>
        <w:rPr/>
        <w:t>Nosálovice,</w:t>
      </w:r>
      <w:r>
        <w:rPr>
          <w:spacing w:val="-7"/>
        </w:rPr>
        <w:t> </w:t>
      </w:r>
      <w:r>
        <w:rPr/>
        <w:t>682</w:t>
      </w:r>
      <w:r>
        <w:rPr>
          <w:spacing w:val="-3"/>
        </w:rPr>
        <w:t> </w:t>
      </w:r>
      <w:r>
        <w:rPr/>
        <w:t>01</w:t>
      </w:r>
      <w:r>
        <w:rPr>
          <w:spacing w:val="-7"/>
        </w:rPr>
        <w:t> </w:t>
      </w:r>
      <w:r>
        <w:rPr>
          <w:spacing w:val="-2"/>
        </w:rPr>
        <w:t>Vyškov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00839205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JUDr.</w:t>
      </w:r>
      <w:r>
        <w:rPr>
          <w:spacing w:val="-3"/>
        </w:rPr>
        <w:t> </w:t>
      </w:r>
      <w:r>
        <w:rPr/>
        <w:t>Zdeňkem</w:t>
      </w:r>
      <w:r>
        <w:rPr>
          <w:spacing w:val="-4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MBA,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 w:right="5370"/>
        <w:jc w:val="left"/>
      </w:pPr>
      <w:r>
        <w:rPr/>
        <w:t>číslo účtu:</w:t>
        <w:tab/>
      </w:r>
      <w:r>
        <w:rPr>
          <w:spacing w:val="-2"/>
        </w:rPr>
        <w:t>7939731/0100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5211200302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630"/>
        <w:jc w:val="both"/>
      </w:pPr>
      <w:r>
        <w:rPr/>
        <w:t>„Energetické</w:t>
      </w:r>
      <w:r>
        <w:rPr>
          <w:spacing w:val="-10"/>
        </w:rPr>
        <w:t> </w:t>
      </w:r>
      <w:r>
        <w:rPr/>
        <w:t>úspory</w:t>
      </w:r>
      <w:r>
        <w:rPr>
          <w:spacing w:val="-8"/>
        </w:rPr>
        <w:t> </w:t>
      </w:r>
      <w:r>
        <w:rPr/>
        <w:t>objektu</w:t>
      </w:r>
      <w:r>
        <w:rPr>
          <w:spacing w:val="-8"/>
        </w:rPr>
        <w:t> </w:t>
      </w:r>
      <w:r>
        <w:rPr/>
        <w:t>Patologie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pro</w:t>
      </w:r>
      <w:r>
        <w:rPr>
          <w:spacing w:val="-7"/>
        </w:rPr>
        <w:t> </w:t>
      </w:r>
      <w:r>
        <w:rPr/>
        <w:t>potřebu</w:t>
      </w:r>
      <w:r>
        <w:rPr>
          <w:spacing w:val="-9"/>
        </w:rPr>
        <w:t> </w:t>
      </w:r>
      <w:r>
        <w:rPr/>
        <w:t>Nemocnice</w:t>
      </w:r>
      <w:r>
        <w:rPr>
          <w:spacing w:val="-9"/>
        </w:rPr>
        <w:t> </w:t>
      </w:r>
      <w:r>
        <w:rPr>
          <w:spacing w:val="-2"/>
        </w:rPr>
        <w:t>Vyškov“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34"/>
          <w:sz w:val="20"/>
        </w:rPr>
        <w:t> </w:t>
      </w:r>
      <w:r>
        <w:rPr>
          <w:sz w:val="20"/>
        </w:rPr>
        <w:t>je</w:t>
      </w:r>
      <w:r>
        <w:rPr>
          <w:spacing w:val="33"/>
          <w:sz w:val="20"/>
        </w:rPr>
        <w:t> </w:t>
      </w:r>
      <w:r>
        <w:rPr>
          <w:sz w:val="20"/>
        </w:rPr>
        <w:t>poskytována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režimu</w:t>
      </w:r>
      <w:r>
        <w:rPr>
          <w:spacing w:val="34"/>
          <w:sz w:val="20"/>
        </w:rPr>
        <w:t> </w:t>
      </w:r>
      <w:r>
        <w:rPr>
          <w:sz w:val="20"/>
        </w:rPr>
        <w:t>vyrovnávací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6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závazek</w:t>
      </w:r>
      <w:r>
        <w:rPr>
          <w:spacing w:val="34"/>
          <w:sz w:val="20"/>
        </w:rPr>
        <w:t> </w:t>
      </w:r>
      <w:r>
        <w:rPr>
          <w:sz w:val="20"/>
        </w:rPr>
        <w:t>veřejné</w:t>
      </w:r>
      <w:r>
        <w:rPr>
          <w:spacing w:val="33"/>
          <w:sz w:val="20"/>
        </w:rPr>
        <w:t> </w:t>
      </w:r>
      <w:r>
        <w:rPr>
          <w:sz w:val="20"/>
        </w:rPr>
        <w:t>služby,</w:t>
      </w:r>
      <w:r>
        <w:rPr>
          <w:spacing w:val="34"/>
          <w:sz w:val="20"/>
        </w:rPr>
        <w:t> </w:t>
      </w:r>
      <w:r>
        <w:rPr>
          <w:sz w:val="20"/>
        </w:rPr>
        <w:t>který</w:t>
      </w:r>
      <w:r>
        <w:rPr>
          <w:spacing w:val="34"/>
          <w:sz w:val="20"/>
        </w:rPr>
        <w:t> </w:t>
      </w:r>
      <w:r>
        <w:rPr>
          <w:sz w:val="20"/>
        </w:rPr>
        <w:t>je</w:t>
      </w:r>
      <w:r>
        <w:rPr>
          <w:spacing w:val="33"/>
          <w:sz w:val="20"/>
        </w:rPr>
        <w:t> </w:t>
      </w:r>
      <w:r>
        <w:rPr>
          <w:sz w:val="20"/>
        </w:rPr>
        <w:t>v souladu s</w:t>
      </w:r>
      <w:r>
        <w:rPr>
          <w:spacing w:val="-5"/>
          <w:sz w:val="20"/>
        </w:rPr>
        <w:t> </w:t>
      </w:r>
      <w:r>
        <w:rPr>
          <w:sz w:val="20"/>
        </w:rPr>
        <w:t>Rozhodnutím</w:t>
      </w:r>
      <w:r>
        <w:rPr>
          <w:spacing w:val="-6"/>
          <w:sz w:val="20"/>
        </w:rPr>
        <w:t> </w:t>
      </w:r>
      <w:r>
        <w:rPr>
          <w:sz w:val="20"/>
        </w:rPr>
        <w:t>Komise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20.</w:t>
      </w:r>
      <w:r>
        <w:rPr>
          <w:spacing w:val="-4"/>
          <w:sz w:val="20"/>
        </w:rPr>
        <w:t> </w:t>
      </w:r>
      <w:r>
        <w:rPr>
          <w:sz w:val="20"/>
        </w:rPr>
        <w:t>12.</w:t>
      </w:r>
      <w:r>
        <w:rPr>
          <w:spacing w:val="-4"/>
          <w:sz w:val="20"/>
        </w:rPr>
        <w:t> </w:t>
      </w:r>
      <w:r>
        <w:rPr>
          <w:sz w:val="20"/>
        </w:rPr>
        <w:t>2011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106</w:t>
      </w:r>
      <w:r>
        <w:rPr>
          <w:spacing w:val="-4"/>
          <w:sz w:val="20"/>
        </w:rPr>
        <w:t> </w:t>
      </w:r>
      <w:r>
        <w:rPr>
          <w:sz w:val="20"/>
        </w:rPr>
        <w:t>odst.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fungování</w:t>
      </w:r>
      <w:r>
        <w:rPr>
          <w:spacing w:val="-5"/>
          <w:sz w:val="20"/>
        </w:rPr>
        <w:t> </w:t>
      </w:r>
      <w:r>
        <w:rPr>
          <w:sz w:val="20"/>
        </w:rPr>
        <w:t>Evropské</w:t>
      </w:r>
      <w:r>
        <w:rPr>
          <w:spacing w:val="-5"/>
          <w:sz w:val="20"/>
        </w:rPr>
        <w:t> </w:t>
      </w:r>
      <w:r>
        <w:rPr>
          <w:sz w:val="20"/>
        </w:rPr>
        <w:t>unie na státní podporu ve formě vyrovnávací platby za závazek veřejné služby udělené určitým podnikům pověřeným poskytováním služeb obecného hospodářského zájmu (č. K(2011) 9380), 2012/21/EU, zveřejněném v Úředním věstníku EU dne 11. 1. 2012.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09" w:hanging="360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505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150,40 Kč </w:t>
      </w:r>
      <w:r>
        <w:rPr>
          <w:sz w:val="20"/>
        </w:rPr>
        <w:t>(slovy: pět set pět tisíc sto padesát korun českých a čtyřicet 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1 262 876,00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9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150,40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3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6" w:hanging="281"/>
        <w:jc w:val="both"/>
        <w:rPr>
          <w:sz w:val="20"/>
        </w:rPr>
      </w:pPr>
      <w:r>
        <w:rPr>
          <w:sz w:val="20"/>
        </w:rPr>
        <w:t>dojde ke zlepšení energetické náročnosti objektu prostřednictvím zateplení obvodového pláště budovy,</w:t>
      </w:r>
      <w:r>
        <w:rPr>
          <w:spacing w:val="-14"/>
          <w:sz w:val="20"/>
        </w:rPr>
        <w:t> </w:t>
      </w:r>
      <w:r>
        <w:rPr>
          <w:sz w:val="20"/>
        </w:rPr>
        <w:t>výměny</w:t>
      </w:r>
      <w:r>
        <w:rPr>
          <w:spacing w:val="-14"/>
          <w:sz w:val="20"/>
        </w:rPr>
        <w:t> </w:t>
      </w:r>
      <w:r>
        <w:rPr>
          <w:sz w:val="20"/>
        </w:rPr>
        <w:t>otvorových</w:t>
      </w:r>
      <w:r>
        <w:rPr>
          <w:spacing w:val="-14"/>
          <w:sz w:val="20"/>
        </w:rPr>
        <w:t> </w:t>
      </w:r>
      <w:r>
        <w:rPr>
          <w:sz w:val="20"/>
        </w:rPr>
        <w:t>výplní,</w:t>
      </w:r>
      <w:r>
        <w:rPr>
          <w:spacing w:val="-13"/>
          <w:sz w:val="20"/>
        </w:rPr>
        <w:t> </w:t>
      </w:r>
      <w:r>
        <w:rPr>
          <w:sz w:val="20"/>
        </w:rPr>
        <w:t>výměny</w:t>
      </w:r>
      <w:r>
        <w:rPr>
          <w:spacing w:val="-14"/>
          <w:sz w:val="20"/>
        </w:rPr>
        <w:t> </w:t>
      </w:r>
      <w:r>
        <w:rPr>
          <w:sz w:val="20"/>
        </w:rPr>
        <w:t>zdroje</w:t>
      </w:r>
      <w:r>
        <w:rPr>
          <w:spacing w:val="-14"/>
          <w:sz w:val="20"/>
        </w:rPr>
        <w:t> </w:t>
      </w:r>
      <w:r>
        <w:rPr>
          <w:sz w:val="20"/>
        </w:rPr>
        <w:t>vytápění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zavedení</w:t>
      </w:r>
      <w:r>
        <w:rPr>
          <w:spacing w:val="-14"/>
          <w:sz w:val="20"/>
        </w:rPr>
        <w:t> </w:t>
      </w:r>
      <w:r>
        <w:rPr>
          <w:sz w:val="20"/>
        </w:rPr>
        <w:t>energetického</w:t>
      </w:r>
      <w:r>
        <w:rPr>
          <w:spacing w:val="-13"/>
          <w:sz w:val="20"/>
        </w:rPr>
        <w:t> </w:t>
      </w:r>
      <w:r>
        <w:rPr>
          <w:sz w:val="20"/>
        </w:rPr>
        <w:t>managmentu.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1625"/>
        <w:gridCol w:w="1796"/>
        <w:gridCol w:w="1671"/>
      </w:tblGrid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57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zdroje na zemní plyn (MWt)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0.04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88.21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59.90</w:t>
            </w:r>
          </w:p>
        </w:tc>
      </w:tr>
      <w:tr>
        <w:trPr>
          <w:trHeight w:val="505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804.19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318.32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4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1799.28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544.86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2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3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4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0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5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4"/>
          <w:sz w:val="20"/>
        </w:rPr>
        <w:t> </w:t>
      </w:r>
      <w:r>
        <w:rPr>
          <w:sz w:val="20"/>
        </w:rPr>
        <w:t>řádu</w:t>
      </w:r>
      <w:r>
        <w:rPr>
          <w:spacing w:val="18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01/2025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6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5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4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7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7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6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>
          <w:spacing w:val="-5"/>
        </w:rPr>
        <w:t>VI.</w:t>
      </w:r>
    </w:p>
    <w:p>
      <w:pPr>
        <w:pStyle w:val="Heading2"/>
        <w:spacing w:line="265" w:lineRule="exact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 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</w:t>
      </w:r>
      <w:r>
        <w:rPr>
          <w:spacing w:val="-1"/>
          <w:sz w:val="20"/>
        </w:rPr>
        <w:t> </w:t>
      </w:r>
      <w:r>
        <w:rPr>
          <w:sz w:val="20"/>
        </w:rPr>
        <w:t>platném znění, a že mohou být uplatněny odvody podle tohoto 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67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2024-05-06T12:06:35Z</dcterms:created>
  <dcterms:modified xsi:type="dcterms:W3CDTF">2024-05-06T12:06:35Z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