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35154">
        <w:rPr>
          <w:rFonts w:ascii="Arial" w:hAnsi="Arial" w:cs="Arial"/>
          <w:sz w:val="20"/>
          <w:szCs w:val="20"/>
        </w:rPr>
        <w:t>Níže uvedeného dne, měsíce a roku byla mezi</w:t>
      </w:r>
    </w:p>
    <w:p w:rsidR="002911E9" w:rsidRPr="00735154" w:rsidRDefault="002911E9" w:rsidP="002911E9">
      <w:pPr>
        <w:pStyle w:val="Bezmezer"/>
        <w:rPr>
          <w:rFonts w:ascii="Arial" w:hAnsi="Arial" w:cs="Arial"/>
          <w:b/>
          <w:sz w:val="20"/>
          <w:szCs w:val="20"/>
        </w:rPr>
      </w:pPr>
    </w:p>
    <w:p w:rsidR="002911E9" w:rsidRPr="00735154" w:rsidRDefault="000A6673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název: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="00F06513" w:rsidRPr="00735154">
        <w:rPr>
          <w:rFonts w:ascii="Arial" w:hAnsi="Arial" w:cs="Arial"/>
          <w:sz w:val="20"/>
          <w:szCs w:val="20"/>
        </w:rPr>
        <w:t xml:space="preserve">      </w:t>
      </w:r>
      <w:r w:rsidR="002911E9" w:rsidRPr="00735154">
        <w:rPr>
          <w:rFonts w:ascii="Arial" w:hAnsi="Arial" w:cs="Arial"/>
          <w:b/>
          <w:sz w:val="20"/>
          <w:szCs w:val="20"/>
        </w:rPr>
        <w:t>Česká republika – Ministerstvo vnitra</w:t>
      </w:r>
      <w:r w:rsidR="002911E9" w:rsidRPr="00735154">
        <w:rPr>
          <w:rFonts w:ascii="Arial" w:hAnsi="Arial" w:cs="Arial"/>
          <w:sz w:val="20"/>
          <w:szCs w:val="20"/>
        </w:rPr>
        <w:t>, organizační složka státu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sídlo: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2911E9" w:rsidRPr="00735154">
        <w:rPr>
          <w:rFonts w:ascii="Arial" w:hAnsi="Arial" w:cs="Arial"/>
          <w:sz w:val="20"/>
          <w:szCs w:val="20"/>
        </w:rPr>
        <w:t>Nad Štolou 936/3, 170 34 Praha 7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IČ: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2911E9" w:rsidRPr="00735154">
        <w:rPr>
          <w:rFonts w:ascii="Arial" w:hAnsi="Arial" w:cs="Arial"/>
          <w:sz w:val="20"/>
          <w:szCs w:val="20"/>
        </w:rPr>
        <w:t>000 07 064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DIČ: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2911E9" w:rsidRPr="00735154">
        <w:rPr>
          <w:rFonts w:ascii="Arial" w:hAnsi="Arial" w:cs="Arial"/>
          <w:sz w:val="20"/>
          <w:szCs w:val="20"/>
        </w:rPr>
        <w:t>CZ00007064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plátce DPH: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2911E9" w:rsidRPr="00735154">
        <w:rPr>
          <w:rFonts w:ascii="Arial" w:hAnsi="Arial" w:cs="Arial"/>
          <w:sz w:val="20"/>
          <w:szCs w:val="20"/>
        </w:rPr>
        <w:t xml:space="preserve">ano 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statu</w:t>
      </w:r>
      <w:r w:rsidR="00A25208" w:rsidRPr="00735154">
        <w:rPr>
          <w:rFonts w:ascii="Arial" w:hAnsi="Arial" w:cs="Arial"/>
          <w:sz w:val="20"/>
          <w:szCs w:val="20"/>
        </w:rPr>
        <w:t xml:space="preserve">tární orgán:           </w:t>
      </w:r>
      <w:r w:rsidR="006D6B53">
        <w:rPr>
          <w:rFonts w:ascii="Arial" w:hAnsi="Arial" w:cs="Arial"/>
          <w:sz w:val="20"/>
          <w:szCs w:val="20"/>
        </w:rPr>
        <w:t xml:space="preserve">      </w:t>
      </w:r>
      <w:r w:rsidRPr="00735154">
        <w:rPr>
          <w:rFonts w:ascii="Arial" w:hAnsi="Arial" w:cs="Arial"/>
          <w:sz w:val="20"/>
          <w:szCs w:val="20"/>
        </w:rPr>
        <w:t xml:space="preserve"> PhDr. Jaromír Bischof, ředitel SLZ PP ČR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bankovní spojení:</w:t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0A6673" w:rsidRPr="00735154">
        <w:rPr>
          <w:rFonts w:ascii="Arial" w:hAnsi="Arial" w:cs="Arial"/>
          <w:sz w:val="20"/>
          <w:szCs w:val="20"/>
        </w:rPr>
        <w:t>ČNB, číslo účtu  19-5504881/710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IDDS: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0A6673" w:rsidRPr="00735154">
        <w:rPr>
          <w:rFonts w:ascii="Arial" w:hAnsi="Arial" w:cs="Arial"/>
          <w:sz w:val="20"/>
          <w:szCs w:val="20"/>
        </w:rPr>
        <w:t>gs9ai55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oprávněn</w:t>
      </w:r>
      <w:r w:rsidR="009C2718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(a/i) jednat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  <w:highlight w:val="yellow"/>
        </w:rPr>
      </w:pPr>
      <w:r w:rsidRPr="00735154">
        <w:rPr>
          <w:rFonts w:ascii="Arial" w:hAnsi="Arial" w:cs="Arial"/>
          <w:sz w:val="20"/>
          <w:szCs w:val="20"/>
        </w:rPr>
        <w:t>ve věcech provozních:</w:t>
      </w:r>
      <w:r w:rsidR="006D6B53">
        <w:rPr>
          <w:rFonts w:ascii="Arial" w:hAnsi="Arial" w:cs="Arial"/>
          <w:sz w:val="20"/>
          <w:szCs w:val="20"/>
        </w:rPr>
        <w:t xml:space="preserve">       </w:t>
      </w:r>
      <w:r w:rsidRPr="00735154">
        <w:rPr>
          <w:rFonts w:ascii="Arial" w:hAnsi="Arial" w:cs="Arial"/>
          <w:sz w:val="20"/>
          <w:szCs w:val="20"/>
        </w:rPr>
        <w:t xml:space="preserve"> </w:t>
      </w:r>
      <w:r w:rsidR="002911E9" w:rsidRPr="00735154">
        <w:rPr>
          <w:rFonts w:ascii="Arial" w:hAnsi="Arial" w:cs="Arial"/>
          <w:sz w:val="20"/>
          <w:szCs w:val="20"/>
        </w:rPr>
        <w:t>Ivan Pech, e-mail: ivan.pech@pcr.cz</w:t>
      </w:r>
      <w:r w:rsidRPr="00735154">
        <w:rPr>
          <w:rFonts w:ascii="Arial" w:hAnsi="Arial" w:cs="Arial"/>
          <w:sz w:val="20"/>
          <w:szCs w:val="20"/>
        </w:rPr>
        <w:t>,</w:t>
      </w:r>
      <w:r w:rsidR="002911E9" w:rsidRPr="00735154">
        <w:rPr>
          <w:rFonts w:ascii="Arial" w:hAnsi="Arial" w:cs="Arial"/>
          <w:sz w:val="20"/>
          <w:szCs w:val="20"/>
        </w:rPr>
        <w:t xml:space="preserve"> tel. 837449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 xml:space="preserve">      </w:t>
      </w:r>
      <w:r w:rsidR="00A25208" w:rsidRPr="00735154">
        <w:rPr>
          <w:rFonts w:ascii="Arial" w:hAnsi="Arial" w:cs="Arial"/>
          <w:sz w:val="20"/>
          <w:szCs w:val="20"/>
        </w:rPr>
        <w:t xml:space="preserve">                              </w:t>
      </w:r>
      <w:r w:rsidR="006D6B53">
        <w:rPr>
          <w:rFonts w:ascii="Arial" w:hAnsi="Arial" w:cs="Arial"/>
          <w:sz w:val="20"/>
          <w:szCs w:val="20"/>
        </w:rPr>
        <w:t xml:space="preserve">       </w:t>
      </w:r>
      <w:r w:rsidRPr="00735154">
        <w:rPr>
          <w:rFonts w:ascii="Arial" w:hAnsi="Arial" w:cs="Arial"/>
          <w:sz w:val="20"/>
          <w:szCs w:val="20"/>
        </w:rPr>
        <w:t xml:space="preserve"> Luboš Polakovič, e-mail: lubos.polakovic@pcr.cz   tel. 837401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 xml:space="preserve">      </w:t>
      </w:r>
      <w:r w:rsidR="00A25208" w:rsidRPr="00735154">
        <w:rPr>
          <w:rFonts w:ascii="Arial" w:hAnsi="Arial" w:cs="Arial"/>
          <w:sz w:val="20"/>
          <w:szCs w:val="20"/>
        </w:rPr>
        <w:t xml:space="preserve">                             </w:t>
      </w:r>
      <w:r w:rsidR="006D6B53">
        <w:rPr>
          <w:rFonts w:ascii="Arial" w:hAnsi="Arial" w:cs="Arial"/>
          <w:sz w:val="20"/>
          <w:szCs w:val="20"/>
        </w:rPr>
        <w:t xml:space="preserve">       </w:t>
      </w:r>
      <w:r w:rsidR="00A25208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 xml:space="preserve"> Iveta Havelková, e-mail:  iveta.havelkova@pcr.cz  tel. 837448</w:t>
      </w:r>
    </w:p>
    <w:p w:rsidR="002911E9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6D6B53" w:rsidRDefault="006D6B53" w:rsidP="002911E9">
      <w:pPr>
        <w:pStyle w:val="Bezmezer"/>
        <w:rPr>
          <w:rFonts w:ascii="Arial" w:hAnsi="Arial" w:cs="Arial"/>
          <w:sz w:val="20"/>
          <w:szCs w:val="20"/>
        </w:rPr>
      </w:pPr>
    </w:p>
    <w:p w:rsidR="00735154" w:rsidRPr="00735154" w:rsidRDefault="00735154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evid. číslo smlouvy:</w:t>
      </w:r>
      <w:r w:rsidR="00455974">
        <w:rPr>
          <w:rFonts w:ascii="Arial" w:hAnsi="Arial" w:cs="Arial"/>
          <w:sz w:val="20"/>
          <w:szCs w:val="20"/>
        </w:rPr>
        <w:t xml:space="preserve"> PPR-16847/ČJ-2017-990661</w:t>
      </w:r>
      <w:r w:rsidRPr="00735154">
        <w:rPr>
          <w:rFonts w:ascii="Arial" w:hAnsi="Arial" w:cs="Arial"/>
          <w:sz w:val="20"/>
          <w:szCs w:val="20"/>
        </w:rPr>
        <w:tab/>
        <w:t xml:space="preserve">     </w:t>
      </w:r>
    </w:p>
    <w:p w:rsidR="002911E9" w:rsidRPr="00735154" w:rsidRDefault="006D6B53" w:rsidP="002911E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JID: </w:t>
      </w:r>
      <w:r>
        <w:rPr>
          <w:rFonts w:ascii="Arial" w:hAnsi="Arial" w:cs="Arial"/>
          <w:b/>
          <w:bCs/>
          <w:color w:val="000000"/>
          <w:sz w:val="20"/>
          <w:szCs w:val="20"/>
        </w:rPr>
        <w:t>PCR99ETRpo41254816</w:t>
      </w:r>
      <w:r>
        <w:rPr>
          <w:rFonts w:ascii="Arial" w:hAnsi="Arial" w:cs="Arial"/>
          <w:color w:val="000000"/>
          <w:sz w:val="20"/>
          <w:szCs w:val="20"/>
        </w:rPr>
        <w:t>  </w:t>
      </w:r>
    </w:p>
    <w:p w:rsidR="002911E9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6D6B53" w:rsidRDefault="006D6B53" w:rsidP="002911E9">
      <w:pPr>
        <w:pStyle w:val="Bezmezer"/>
        <w:rPr>
          <w:rFonts w:ascii="Arial" w:hAnsi="Arial" w:cs="Arial"/>
          <w:sz w:val="20"/>
          <w:szCs w:val="20"/>
        </w:rPr>
      </w:pPr>
    </w:p>
    <w:p w:rsidR="006D6B53" w:rsidRDefault="006D6B53" w:rsidP="002911E9">
      <w:pPr>
        <w:pStyle w:val="Bezmezer"/>
        <w:rPr>
          <w:rFonts w:ascii="Arial" w:hAnsi="Arial" w:cs="Arial"/>
          <w:sz w:val="20"/>
          <w:szCs w:val="20"/>
        </w:rPr>
      </w:pPr>
    </w:p>
    <w:p w:rsidR="00735154" w:rsidRPr="00735154" w:rsidRDefault="00735154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jako převodcem na straně jedné (dále jen „převodce“)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735154" w:rsidRPr="00735154" w:rsidRDefault="00735154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ind w:right="-284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a</w:t>
      </w:r>
    </w:p>
    <w:p w:rsidR="002911E9" w:rsidRDefault="002911E9" w:rsidP="002911E9">
      <w:pPr>
        <w:pStyle w:val="Bezmezer"/>
        <w:ind w:right="-284"/>
        <w:rPr>
          <w:rFonts w:ascii="Arial" w:hAnsi="Arial" w:cs="Arial"/>
          <w:sz w:val="20"/>
          <w:szCs w:val="20"/>
        </w:rPr>
      </w:pPr>
    </w:p>
    <w:p w:rsidR="00735154" w:rsidRPr="00735154" w:rsidRDefault="00735154" w:rsidP="002911E9">
      <w:pPr>
        <w:pStyle w:val="Bezmezer"/>
        <w:ind w:right="-284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ind w:right="-284"/>
        <w:rPr>
          <w:rFonts w:ascii="Arial" w:hAnsi="Arial" w:cs="Arial"/>
          <w:sz w:val="20"/>
          <w:szCs w:val="20"/>
        </w:rPr>
      </w:pP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název: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2911E9" w:rsidRPr="00735154">
        <w:rPr>
          <w:rFonts w:ascii="Arial" w:hAnsi="Arial" w:cs="Arial"/>
          <w:b/>
          <w:sz w:val="20"/>
          <w:szCs w:val="20"/>
        </w:rPr>
        <w:t>Zařízení služeb pro Ministerstvo vnitra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sídlo: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2911E9" w:rsidRPr="00735154">
        <w:rPr>
          <w:rFonts w:ascii="Arial" w:hAnsi="Arial" w:cs="Arial"/>
          <w:sz w:val="20"/>
          <w:szCs w:val="20"/>
        </w:rPr>
        <w:t>Přípotoční 300, 101 00 Praha 10 – Vršovice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IČ: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2911E9" w:rsidRPr="00735154">
        <w:rPr>
          <w:rFonts w:ascii="Arial" w:hAnsi="Arial" w:cs="Arial"/>
          <w:sz w:val="20"/>
          <w:szCs w:val="20"/>
        </w:rPr>
        <w:t>677 79 999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DIČ: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2911E9" w:rsidRPr="00735154">
        <w:rPr>
          <w:rFonts w:ascii="Arial" w:hAnsi="Arial" w:cs="Arial"/>
          <w:sz w:val="20"/>
          <w:szCs w:val="20"/>
        </w:rPr>
        <w:t>CZ67779999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plátce DPH: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 </w:t>
      </w:r>
      <w:r w:rsidR="002911E9" w:rsidRPr="00735154">
        <w:rPr>
          <w:rFonts w:ascii="Arial" w:hAnsi="Arial" w:cs="Arial"/>
          <w:sz w:val="20"/>
          <w:szCs w:val="20"/>
        </w:rPr>
        <w:t xml:space="preserve">ano 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statut</w:t>
      </w:r>
      <w:r w:rsidR="00A25208" w:rsidRPr="00735154">
        <w:rPr>
          <w:rFonts w:ascii="Arial" w:hAnsi="Arial" w:cs="Arial"/>
          <w:sz w:val="20"/>
          <w:szCs w:val="20"/>
        </w:rPr>
        <w:t xml:space="preserve">ární orgán:          </w:t>
      </w:r>
      <w:r w:rsidR="006D6B53">
        <w:rPr>
          <w:rFonts w:ascii="Arial" w:hAnsi="Arial" w:cs="Arial"/>
          <w:sz w:val="20"/>
          <w:szCs w:val="20"/>
        </w:rPr>
        <w:t xml:space="preserve">       </w:t>
      </w:r>
      <w:r w:rsidR="00CC2DAA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JUDr. Ladislav Máca, generální ředitel</w:t>
      </w:r>
      <w:r w:rsidR="00CC2DAA" w:rsidRPr="00735154">
        <w:rPr>
          <w:rFonts w:ascii="Arial" w:hAnsi="Arial" w:cs="Arial"/>
          <w:sz w:val="20"/>
          <w:szCs w:val="20"/>
        </w:rPr>
        <w:t xml:space="preserve"> ZS pro MV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bankovní spojení:</w:t>
      </w:r>
      <w:r w:rsidRPr="00735154">
        <w:rPr>
          <w:rFonts w:ascii="Arial" w:hAnsi="Arial" w:cs="Arial"/>
          <w:sz w:val="20"/>
          <w:szCs w:val="20"/>
        </w:rPr>
        <w:tab/>
        <w:t xml:space="preserve">  </w:t>
      </w:r>
      <w:r w:rsidR="006D6B53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 xml:space="preserve">   </w:t>
      </w:r>
      <w:r w:rsidR="002911E9" w:rsidRPr="00735154">
        <w:rPr>
          <w:rFonts w:ascii="Arial" w:hAnsi="Arial" w:cs="Arial"/>
          <w:sz w:val="20"/>
          <w:szCs w:val="20"/>
        </w:rPr>
        <w:t>ČNB, číslo účtu 30320881/0710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IDDS:</w:t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</w:t>
      </w:r>
      <w:r w:rsidR="006D6B53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 xml:space="preserve"> </w:t>
      </w:r>
      <w:r w:rsidR="002911E9" w:rsidRPr="00735154">
        <w:rPr>
          <w:rFonts w:ascii="Arial" w:hAnsi="Arial" w:cs="Arial"/>
          <w:sz w:val="20"/>
          <w:szCs w:val="20"/>
        </w:rPr>
        <w:t>iazgiwe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oprávněn jednat</w:t>
      </w:r>
    </w:p>
    <w:p w:rsidR="002911E9" w:rsidRPr="00735154" w:rsidRDefault="00A25208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 xml:space="preserve">ve věcech smluvních:  </w:t>
      </w:r>
      <w:r w:rsidR="006D6B53">
        <w:rPr>
          <w:rFonts w:ascii="Arial" w:hAnsi="Arial" w:cs="Arial"/>
          <w:sz w:val="20"/>
          <w:szCs w:val="20"/>
        </w:rPr>
        <w:t xml:space="preserve">       </w:t>
      </w:r>
      <w:r w:rsidR="002911E9" w:rsidRPr="00735154">
        <w:rPr>
          <w:rFonts w:ascii="Arial" w:hAnsi="Arial" w:cs="Arial"/>
          <w:sz w:val="20"/>
          <w:szCs w:val="20"/>
        </w:rPr>
        <w:t>JUDr. Ladislav Máca, generální ředitel</w:t>
      </w:r>
      <w:r w:rsidR="000A6673" w:rsidRPr="00735154">
        <w:rPr>
          <w:rFonts w:ascii="Arial" w:hAnsi="Arial" w:cs="Arial"/>
          <w:sz w:val="20"/>
          <w:szCs w:val="20"/>
        </w:rPr>
        <w:t xml:space="preserve"> ZS pro MV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oprávněn</w:t>
      </w:r>
      <w:r w:rsidR="009C2718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(a/i) jednat</w:t>
      </w:r>
    </w:p>
    <w:p w:rsidR="002911E9" w:rsidRPr="00735154" w:rsidRDefault="000A6673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ve věcech provozních:</w:t>
      </w:r>
      <w:r w:rsidR="006D6B53">
        <w:rPr>
          <w:rFonts w:ascii="Arial" w:hAnsi="Arial" w:cs="Arial"/>
          <w:sz w:val="20"/>
          <w:szCs w:val="20"/>
        </w:rPr>
        <w:t xml:space="preserve">       </w:t>
      </w:r>
      <w:r w:rsidRPr="00735154">
        <w:rPr>
          <w:rFonts w:ascii="Arial" w:hAnsi="Arial" w:cs="Arial"/>
          <w:sz w:val="20"/>
          <w:szCs w:val="20"/>
        </w:rPr>
        <w:t xml:space="preserve"> </w:t>
      </w:r>
      <w:r w:rsidR="002911E9" w:rsidRPr="00735154">
        <w:rPr>
          <w:rFonts w:ascii="Arial" w:hAnsi="Arial" w:cs="Arial"/>
          <w:sz w:val="20"/>
          <w:szCs w:val="20"/>
        </w:rPr>
        <w:t xml:space="preserve">Pavel Picmaus, e-mail: </w:t>
      </w:r>
      <w:hyperlink r:id="rId7" w:history="1">
        <w:r w:rsidR="002911E9" w:rsidRPr="00735154">
          <w:rPr>
            <w:rStyle w:val="Hypertextovodkaz"/>
            <w:rFonts w:ascii="Arial" w:hAnsi="Arial" w:cs="Arial"/>
            <w:color w:val="auto"/>
            <w:sz w:val="20"/>
            <w:szCs w:val="20"/>
          </w:rPr>
          <w:t>p.picmaus@zsmv.cz</w:t>
        </w:r>
      </w:hyperlink>
      <w:r w:rsidR="002911E9" w:rsidRPr="00735154">
        <w:rPr>
          <w:rFonts w:ascii="Arial" w:hAnsi="Arial" w:cs="Arial"/>
          <w:sz w:val="20"/>
          <w:szCs w:val="20"/>
        </w:rPr>
        <w:t>, tel. 837315</w:t>
      </w:r>
    </w:p>
    <w:p w:rsidR="002911E9" w:rsidRPr="00735154" w:rsidRDefault="000A6673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</w:r>
      <w:r w:rsidRPr="00735154">
        <w:rPr>
          <w:rFonts w:ascii="Arial" w:hAnsi="Arial" w:cs="Arial"/>
          <w:sz w:val="20"/>
          <w:szCs w:val="20"/>
        </w:rPr>
        <w:tab/>
        <w:t xml:space="preserve">     </w:t>
      </w:r>
      <w:r w:rsidR="002911E9" w:rsidRPr="00735154">
        <w:rPr>
          <w:rFonts w:ascii="Arial" w:hAnsi="Arial" w:cs="Arial"/>
          <w:sz w:val="20"/>
          <w:szCs w:val="20"/>
        </w:rPr>
        <w:t xml:space="preserve">Hana Skramoušská, e-mail: </w:t>
      </w:r>
      <w:hyperlink r:id="rId8" w:history="1">
        <w:r w:rsidR="002911E9" w:rsidRPr="00735154">
          <w:rPr>
            <w:rStyle w:val="Hypertextovodkaz"/>
            <w:rFonts w:ascii="Arial" w:hAnsi="Arial" w:cs="Arial"/>
            <w:color w:val="auto"/>
            <w:sz w:val="20"/>
            <w:szCs w:val="20"/>
          </w:rPr>
          <w:t>h.skramousska@zsmv.cz</w:t>
        </w:r>
      </w:hyperlink>
      <w:r w:rsidR="002911E9" w:rsidRPr="00735154">
        <w:rPr>
          <w:rFonts w:ascii="Arial" w:hAnsi="Arial" w:cs="Arial"/>
          <w:sz w:val="20"/>
          <w:szCs w:val="20"/>
        </w:rPr>
        <w:t>, tel. 837283</w:t>
      </w:r>
    </w:p>
    <w:p w:rsidR="000A6673" w:rsidRDefault="000A6673" w:rsidP="002911E9">
      <w:pPr>
        <w:pStyle w:val="Bezmezer"/>
        <w:rPr>
          <w:rFonts w:ascii="Arial" w:hAnsi="Arial" w:cs="Arial"/>
          <w:sz w:val="20"/>
          <w:szCs w:val="20"/>
        </w:rPr>
      </w:pPr>
    </w:p>
    <w:p w:rsidR="00735154" w:rsidRPr="00735154" w:rsidRDefault="00735154" w:rsidP="002911E9">
      <w:pPr>
        <w:pStyle w:val="Bezmezer"/>
        <w:rPr>
          <w:rFonts w:ascii="Arial" w:hAnsi="Arial" w:cs="Arial"/>
          <w:sz w:val="20"/>
          <w:szCs w:val="20"/>
        </w:rPr>
      </w:pPr>
    </w:p>
    <w:p w:rsidR="000A6673" w:rsidRPr="00735154" w:rsidRDefault="000A6673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evid.</w:t>
      </w:r>
      <w:r w:rsidR="00A25208" w:rsidRPr="00735154">
        <w:rPr>
          <w:rFonts w:ascii="Arial" w:hAnsi="Arial" w:cs="Arial"/>
          <w:sz w:val="20"/>
          <w:szCs w:val="20"/>
        </w:rPr>
        <w:t xml:space="preserve"> číslo smlouvy:</w:t>
      </w:r>
      <w:r w:rsidR="00A25208" w:rsidRPr="00735154">
        <w:rPr>
          <w:rFonts w:ascii="Arial" w:hAnsi="Arial" w:cs="Arial"/>
          <w:sz w:val="20"/>
          <w:szCs w:val="20"/>
        </w:rPr>
        <w:tab/>
        <w:t xml:space="preserve">     </w:t>
      </w:r>
      <w:r w:rsidRPr="00735154">
        <w:rPr>
          <w:rFonts w:ascii="Arial" w:hAnsi="Arial" w:cs="Arial"/>
          <w:sz w:val="20"/>
          <w:szCs w:val="20"/>
        </w:rPr>
        <w:t>ZSM-…………………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735154" w:rsidRPr="00735154" w:rsidRDefault="00735154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ind w:right="1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jako nabyvatelem na straně druhé (dále jen „nabyvatel“)</w:t>
      </w: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2911E9">
      <w:pPr>
        <w:pStyle w:val="Bezmezer"/>
        <w:rPr>
          <w:rFonts w:ascii="Arial" w:hAnsi="Arial" w:cs="Arial"/>
          <w:sz w:val="20"/>
          <w:szCs w:val="20"/>
        </w:rPr>
      </w:pPr>
    </w:p>
    <w:p w:rsidR="00735154" w:rsidRDefault="00735154" w:rsidP="002911E9">
      <w:pPr>
        <w:pStyle w:val="Bezmezer"/>
        <w:rPr>
          <w:rFonts w:ascii="Arial" w:hAnsi="Arial" w:cs="Arial"/>
          <w:sz w:val="20"/>
          <w:szCs w:val="20"/>
        </w:rPr>
      </w:pPr>
    </w:p>
    <w:p w:rsidR="00735154" w:rsidRPr="00735154" w:rsidRDefault="00735154" w:rsidP="002911E9">
      <w:pPr>
        <w:pStyle w:val="Bezmezer"/>
        <w:rPr>
          <w:rFonts w:ascii="Arial" w:hAnsi="Arial" w:cs="Arial"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lastRenderedPageBreak/>
        <w:t>uzavřena tato</w:t>
      </w: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b/>
          <w:sz w:val="48"/>
          <w:szCs w:val="48"/>
        </w:rPr>
      </w:pPr>
    </w:p>
    <w:p w:rsidR="002911E9" w:rsidRPr="00735154" w:rsidRDefault="002911E9" w:rsidP="00D5469A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 w:rsidRPr="00735154">
        <w:rPr>
          <w:rFonts w:ascii="Arial" w:hAnsi="Arial" w:cs="Arial"/>
          <w:b/>
          <w:sz w:val="36"/>
          <w:szCs w:val="36"/>
        </w:rPr>
        <w:t>smlouva o úplatném převodu souboru movitých věcí v majetku státu –</w:t>
      </w:r>
    </w:p>
    <w:p w:rsidR="002911E9" w:rsidRPr="00735154" w:rsidRDefault="002911E9" w:rsidP="00D5469A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 w:rsidRPr="00735154">
        <w:rPr>
          <w:rFonts w:ascii="Arial" w:hAnsi="Arial" w:cs="Arial"/>
          <w:b/>
          <w:sz w:val="36"/>
          <w:szCs w:val="36"/>
        </w:rPr>
        <w:t>služebních dopravních prostředků</w:t>
      </w:r>
    </w:p>
    <w:p w:rsidR="002911E9" w:rsidRPr="00735154" w:rsidRDefault="002911E9" w:rsidP="00D5469A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 w:rsidRPr="00735154">
        <w:rPr>
          <w:rFonts w:ascii="Arial" w:hAnsi="Arial" w:cs="Arial"/>
          <w:b/>
          <w:sz w:val="36"/>
          <w:szCs w:val="36"/>
        </w:rPr>
        <w:t>a o změně příslušnosti hospodařit s tímto majetkem státu</w:t>
      </w: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b/>
          <w:sz w:val="48"/>
          <w:szCs w:val="48"/>
        </w:rPr>
      </w:pPr>
      <w:r w:rsidRPr="002B653E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  <w:r w:rsidR="00D5469A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2B653E">
        <w:rPr>
          <w:rFonts w:ascii="Arial" w:hAnsi="Arial" w:cs="Arial"/>
          <w:b/>
          <w:sz w:val="24"/>
          <w:szCs w:val="24"/>
        </w:rPr>
        <w:t>__</w:t>
      </w: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2911E9" w:rsidRPr="00735154" w:rsidRDefault="002911E9" w:rsidP="00D5469A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dle ustanovení § 2079 a násl. občanského zákoníku a v souladu se zákonem č. 219/2000 Sb., o majetku České republiky a jejím vystupování v právních vztazích v platném znění, vyhlášky MF ČR č. 62/2001 Sb., o hospodaření organizačních složek státu a státních organizací s majetkem státu v platném znění a příslušných resortních předpisů</w:t>
      </w: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B653E">
        <w:rPr>
          <w:rFonts w:ascii="Arial" w:hAnsi="Arial" w:cs="Arial"/>
          <w:b/>
          <w:sz w:val="24"/>
          <w:szCs w:val="24"/>
        </w:rPr>
        <w:t>I</w:t>
      </w: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B653E">
        <w:rPr>
          <w:rFonts w:ascii="Arial" w:hAnsi="Arial" w:cs="Arial"/>
          <w:b/>
          <w:sz w:val="24"/>
          <w:szCs w:val="24"/>
        </w:rPr>
        <w:t>Východiska a důvod uzavření smlouvy</w:t>
      </w: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1.</w:t>
      </w:r>
      <w:r w:rsidRPr="00735154">
        <w:rPr>
          <w:rFonts w:ascii="Arial" w:hAnsi="Arial" w:cs="Arial"/>
          <w:sz w:val="20"/>
          <w:szCs w:val="20"/>
        </w:rPr>
        <w:t xml:space="preserve"> Převodce jako organizační složka státu (ve smyslu zákona č. 219/2000 Sb, o majetku České republiky a jejím vystupování v právních vztazích v platném znění, dále jen „ZMS“) rozhodl kvalifikovaným způsobem, a to </w:t>
      </w:r>
      <w:r w:rsidR="00571D76" w:rsidRPr="00735154">
        <w:rPr>
          <w:rFonts w:ascii="Arial" w:hAnsi="Arial" w:cs="Arial"/>
          <w:sz w:val="20"/>
          <w:szCs w:val="20"/>
        </w:rPr>
        <w:t>listinami pod Č</w:t>
      </w:r>
      <w:r w:rsidRPr="00735154">
        <w:rPr>
          <w:rFonts w:ascii="Arial" w:hAnsi="Arial" w:cs="Arial"/>
          <w:sz w:val="20"/>
          <w:szCs w:val="20"/>
        </w:rPr>
        <w:t>.</w:t>
      </w:r>
      <w:r w:rsidR="00571D76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j</w:t>
      </w:r>
      <w:r w:rsidR="00571D76" w:rsidRPr="00735154">
        <w:rPr>
          <w:rFonts w:ascii="Arial" w:hAnsi="Arial" w:cs="Arial"/>
          <w:sz w:val="20"/>
          <w:szCs w:val="20"/>
        </w:rPr>
        <w:t>.</w:t>
      </w:r>
      <w:r w:rsidR="009C2718" w:rsidRPr="00735154">
        <w:rPr>
          <w:rFonts w:ascii="Arial" w:hAnsi="Arial" w:cs="Arial"/>
          <w:sz w:val="20"/>
          <w:szCs w:val="20"/>
        </w:rPr>
        <w:t>:</w:t>
      </w:r>
      <w:r w:rsidR="00571D76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MV</w:t>
      </w:r>
      <w:r w:rsidR="00571D76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-</w:t>
      </w:r>
      <w:r w:rsidR="00571D76" w:rsidRPr="00735154">
        <w:rPr>
          <w:rFonts w:ascii="Arial" w:hAnsi="Arial" w:cs="Arial"/>
          <w:sz w:val="20"/>
          <w:szCs w:val="20"/>
        </w:rPr>
        <w:t xml:space="preserve"> </w:t>
      </w:r>
      <w:r w:rsidR="006D6B53">
        <w:rPr>
          <w:rFonts w:ascii="Arial" w:hAnsi="Arial" w:cs="Arial"/>
          <w:sz w:val="20"/>
          <w:szCs w:val="20"/>
        </w:rPr>
        <w:t>1635</w:t>
      </w:r>
      <w:r w:rsidR="00571D76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-</w:t>
      </w:r>
      <w:r w:rsidR="00571D76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2/OSM</w:t>
      </w:r>
      <w:r w:rsidR="00571D76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-</w:t>
      </w:r>
      <w:r w:rsidR="00571D76" w:rsidRPr="00735154">
        <w:rPr>
          <w:rFonts w:ascii="Arial" w:hAnsi="Arial" w:cs="Arial"/>
          <w:sz w:val="20"/>
          <w:szCs w:val="20"/>
        </w:rPr>
        <w:t xml:space="preserve"> </w:t>
      </w:r>
      <w:r w:rsidR="006D6B53">
        <w:rPr>
          <w:rFonts w:ascii="Arial" w:hAnsi="Arial" w:cs="Arial"/>
          <w:sz w:val="20"/>
          <w:szCs w:val="20"/>
        </w:rPr>
        <w:t>2017</w:t>
      </w:r>
      <w:r w:rsidRPr="00735154">
        <w:rPr>
          <w:rFonts w:ascii="Arial" w:hAnsi="Arial" w:cs="Arial"/>
          <w:sz w:val="20"/>
          <w:szCs w:val="20"/>
        </w:rPr>
        <w:t>,</w:t>
      </w:r>
    </w:p>
    <w:p w:rsidR="002911E9" w:rsidRPr="00735154" w:rsidRDefault="006D6B53" w:rsidP="00D546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MV-1635-7/OSM-2017</w:t>
      </w:r>
      <w:r w:rsidR="002911E9" w:rsidRPr="00735154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MV-1635-8/OSM-2017</w:t>
      </w:r>
      <w:r w:rsidR="002911E9" w:rsidRPr="00735154">
        <w:rPr>
          <w:rFonts w:ascii="Arial" w:hAnsi="Arial" w:cs="Arial"/>
          <w:sz w:val="20"/>
          <w:szCs w:val="20"/>
        </w:rPr>
        <w:t xml:space="preserve"> o trva</w:t>
      </w:r>
      <w:r w:rsidR="00D5469A" w:rsidRPr="00735154">
        <w:rPr>
          <w:rFonts w:ascii="Arial" w:hAnsi="Arial" w:cs="Arial"/>
          <w:sz w:val="20"/>
          <w:szCs w:val="20"/>
        </w:rPr>
        <w:t xml:space="preserve">lé nepotřebnosti movitých věcí </w:t>
      </w:r>
      <w:r w:rsidR="002911E9" w:rsidRPr="00735154">
        <w:rPr>
          <w:rFonts w:ascii="Arial" w:hAnsi="Arial" w:cs="Arial"/>
          <w:sz w:val="20"/>
          <w:szCs w:val="20"/>
        </w:rPr>
        <w:t xml:space="preserve"> vozidel, které plnily funkci služebních dopravních prostředků specifikovaných v příloze č. 1 této smlouvy a jejich prodeji právnickým či fyzickým osobám dle ustanovení § 19c odst. 3 ZMS, přičemž  příslušnost hospodaření s tímto majetkem státu nabyl právním způsobem, kupní smlouvou. </w:t>
      </w: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2.</w:t>
      </w:r>
      <w:r w:rsidRPr="00735154">
        <w:rPr>
          <w:rFonts w:ascii="Arial" w:hAnsi="Arial" w:cs="Arial"/>
          <w:sz w:val="20"/>
          <w:szCs w:val="20"/>
        </w:rPr>
        <w:t xml:space="preserve"> Nabyvatel jako státní příspěvková organizace (zřízená Ministerstvem vnitra ČR) je příslušnými resortními předpisy (NMV č 30/2002 a č. 19/2008) povolán k převzetí takových bývalých služebních dopravních prostředků za účelem realizace jejich prodeje právnickým či fyzickým osobám v souladu s ustanovením čl. 8 odst. 3, resp. 12 odst. 5 uvedených resortních norem.</w:t>
      </w: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B653E">
        <w:rPr>
          <w:rFonts w:ascii="Arial" w:hAnsi="Arial" w:cs="Arial"/>
          <w:b/>
          <w:sz w:val="24"/>
          <w:szCs w:val="24"/>
        </w:rPr>
        <w:t>II</w:t>
      </w: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B653E">
        <w:rPr>
          <w:rFonts w:ascii="Arial" w:hAnsi="Arial" w:cs="Arial"/>
          <w:b/>
          <w:sz w:val="24"/>
          <w:szCs w:val="24"/>
        </w:rPr>
        <w:t>Předmět smlouvy</w:t>
      </w: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911E9" w:rsidRPr="002B653E" w:rsidRDefault="002911E9" w:rsidP="00D546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154">
        <w:rPr>
          <w:rFonts w:ascii="Arial" w:hAnsi="Arial" w:cs="Arial"/>
          <w:sz w:val="20"/>
          <w:szCs w:val="20"/>
        </w:rPr>
        <w:t>Předmětem této smlouvy (uzavřené v souladu</w:t>
      </w:r>
      <w:r w:rsidRPr="00735154">
        <w:rPr>
          <w:rFonts w:ascii="Arial" w:hAnsi="Arial" w:cs="Arial"/>
          <w:i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s ustanovením § 55 odst. 3 ZMS) jsou vozidla uvedená v příloze č. 1 této smlouvy, avšak vyjma těch, která budou vyřazena jako neprodejná postupem a způsobem dle ujednání následujícího čl. III bod 3) této smlouvy</w:t>
      </w:r>
      <w:r w:rsidRPr="002B653E">
        <w:rPr>
          <w:rFonts w:ascii="Arial" w:hAnsi="Arial" w:cs="Arial"/>
          <w:sz w:val="24"/>
          <w:szCs w:val="24"/>
        </w:rPr>
        <w:t>.</w:t>
      </w: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911E9" w:rsidRDefault="002911E9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Pr="002B653E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B653E">
        <w:rPr>
          <w:rFonts w:ascii="Arial" w:hAnsi="Arial" w:cs="Arial"/>
          <w:b/>
          <w:sz w:val="24"/>
          <w:szCs w:val="24"/>
        </w:rPr>
        <w:lastRenderedPageBreak/>
        <w:t>III</w:t>
      </w: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B653E">
        <w:rPr>
          <w:rFonts w:ascii="Arial" w:hAnsi="Arial" w:cs="Arial"/>
          <w:b/>
          <w:sz w:val="24"/>
          <w:szCs w:val="24"/>
        </w:rPr>
        <w:t>Mechanismus spolupráce stran za účelem naplnění smlouvy</w:t>
      </w:r>
    </w:p>
    <w:p w:rsidR="002911E9" w:rsidRDefault="002911E9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Pr="002B653E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Smluvní strany se dohodly, že tato smlouva bude naplněna v následujících postupný</w:t>
      </w:r>
      <w:r w:rsidR="009C2718" w:rsidRPr="00735154">
        <w:rPr>
          <w:rFonts w:ascii="Arial" w:hAnsi="Arial" w:cs="Arial"/>
          <w:sz w:val="20"/>
          <w:szCs w:val="20"/>
        </w:rPr>
        <w:t>ch na sebe navazujících krocích</w:t>
      </w:r>
      <w:r w:rsidRPr="00735154">
        <w:rPr>
          <w:rFonts w:ascii="Arial" w:hAnsi="Arial" w:cs="Arial"/>
          <w:sz w:val="20"/>
          <w:szCs w:val="20"/>
        </w:rPr>
        <w:t>:</w:t>
      </w:r>
    </w:p>
    <w:p w:rsidR="002911E9" w:rsidRDefault="002911E9" w:rsidP="00D5469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735154" w:rsidRPr="00735154" w:rsidRDefault="00735154" w:rsidP="00D5469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1)</w:t>
      </w:r>
      <w:r w:rsidRPr="00735154">
        <w:rPr>
          <w:rFonts w:ascii="Arial" w:hAnsi="Arial" w:cs="Arial"/>
          <w:sz w:val="20"/>
          <w:szCs w:val="20"/>
        </w:rPr>
        <w:t xml:space="preserve"> převodce fyzicky předá neprodleně po účinnosti této smlouvy nabyvateli všechna předmětná vozidla (se vším příslušenstvím k nim) včetně originálů velkých technických průkazů a klíčů od nich, jakož i komplexních informací (v písemné podobě) o technickém stavu a specificích  každého vozidla; o této skutečnosti bude převodcem sepsán zápis (předávací protokol), který podepíší obě strany prostřednictvím osob oprávněných jednat v provozních záležitostech,</w:t>
      </w:r>
    </w:p>
    <w:p w:rsidR="002911E9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P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2)</w:t>
      </w:r>
      <w:r w:rsidRPr="00735154">
        <w:rPr>
          <w:rFonts w:ascii="Arial" w:hAnsi="Arial" w:cs="Arial"/>
          <w:sz w:val="20"/>
          <w:szCs w:val="20"/>
        </w:rPr>
        <w:t xml:space="preserve"> nabyvatel zajistí svým nákladem vypracování znaleckých posudků na určení ceny všech předmětných vozidel,</w:t>
      </w:r>
    </w:p>
    <w:p w:rsidR="002911E9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P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3)</w:t>
      </w:r>
      <w:r w:rsidRPr="00735154">
        <w:rPr>
          <w:rFonts w:ascii="Arial" w:hAnsi="Arial" w:cs="Arial"/>
          <w:sz w:val="20"/>
          <w:szCs w:val="20"/>
        </w:rPr>
        <w:t xml:space="preserve"> na doporučení nabyvatele na základě znaleckého posudku a svých odborných znalostí a zkušeností v tomto oboru o reálnosti prodeje každého vozidla alespoň za cenu rovnající se součtu ceny určené znalcem dle předcházejícího ujednání a všech nákladů nabyvatele s prodejem souvisejících rozhodne převodce o vyřazení takových vozidel, která nesplňují kritérium reálného předpokladu tvorby alespoň minimálního (v krajním případě nulového) zisku pro neprodejnost; taková vozidla se nestanou součástí souboru vozidel převáděných na nabyvatele dle této smlouvy a nabyvatel je následně nechá svým nákladem ekologicky (tedy v souladu se zákonem č. 185/2001 Sb., o odpadech a o změně některých dalších zákonů v platném znění) zlikvidovat,</w:t>
      </w:r>
    </w:p>
    <w:p w:rsidR="002911E9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P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4)</w:t>
      </w:r>
      <w:r w:rsidRPr="00735154">
        <w:rPr>
          <w:rFonts w:ascii="Arial" w:hAnsi="Arial" w:cs="Arial"/>
          <w:sz w:val="20"/>
          <w:szCs w:val="20"/>
        </w:rPr>
        <w:t xml:space="preserve"> převodce vystaví na základě znaleckých posudků,  jejichž jedno vyhotovení je mu nabyvatel  povinen vždy předat, fakturu – daňový doklad na soubor všech převáděných vozidel – viz též dále čl. IV bod 2 té</w:t>
      </w:r>
      <w:r w:rsidR="009C2718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to smlouvy,</w:t>
      </w:r>
    </w:p>
    <w:p w:rsidR="002911E9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P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5)</w:t>
      </w:r>
      <w:r w:rsidRPr="00735154">
        <w:rPr>
          <w:rFonts w:ascii="Arial" w:hAnsi="Arial" w:cs="Arial"/>
          <w:sz w:val="20"/>
          <w:szCs w:val="20"/>
        </w:rPr>
        <w:t xml:space="preserve"> nabyvatel zajistí na své náklady zápis změny vlastníka (přepis z převodce na nabyvatele) u každého vozidla (vyjma vyřazených neprodejných vozidel dle ujednání bodu 3) tohoto článku smlouvy) v registru vozidel včetně s tím související technické a evidenční kontroly a případné úhrady tzv. ekologického poplatku (tedy poplatku na podporu sběru, zpracování a využití vybraných autovraků dle § 37e zákona č. 185/2001 Sb., o odpadech a o změně některých dalších zákonů v platném znění); převodce je povinen poskytnout nabyvateli v příp</w:t>
      </w:r>
      <w:r w:rsidR="009C2718" w:rsidRPr="00735154">
        <w:rPr>
          <w:rFonts w:ascii="Arial" w:hAnsi="Arial" w:cs="Arial"/>
          <w:sz w:val="20"/>
          <w:szCs w:val="20"/>
        </w:rPr>
        <w:t>adě potřeby vhodnou součinnost.</w:t>
      </w:r>
    </w:p>
    <w:p w:rsidR="002911E9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P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6)</w:t>
      </w:r>
      <w:r w:rsidRPr="00735154">
        <w:rPr>
          <w:rFonts w:ascii="Arial" w:hAnsi="Arial" w:cs="Arial"/>
          <w:sz w:val="20"/>
          <w:szCs w:val="20"/>
        </w:rPr>
        <w:t xml:space="preserve"> nabyvatel zajistí obvyklými způsoby svým jménem a na svůj účet realizaci odprodeje vozidel právnickým či fyzickým osobám,</w:t>
      </w:r>
      <w:r w:rsidR="009C2718" w:rsidRPr="00735154">
        <w:rPr>
          <w:rFonts w:ascii="Arial" w:hAnsi="Arial" w:cs="Arial"/>
          <w:sz w:val="20"/>
          <w:szCs w:val="20"/>
        </w:rPr>
        <w:t xml:space="preserve"> </w:t>
      </w: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9C2718" w:rsidRDefault="009C2718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9C2718" w:rsidRDefault="009C2718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D5469A" w:rsidRDefault="00D5469A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D5469A" w:rsidRDefault="00D5469A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F06513" w:rsidRDefault="00F06513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F06513" w:rsidRPr="002B653E" w:rsidRDefault="00F06513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B653E">
        <w:rPr>
          <w:rFonts w:ascii="Arial" w:hAnsi="Arial" w:cs="Arial"/>
          <w:b/>
          <w:sz w:val="24"/>
          <w:szCs w:val="24"/>
        </w:rPr>
        <w:t>IV</w:t>
      </w:r>
    </w:p>
    <w:p w:rsidR="002911E9" w:rsidRPr="002B653E" w:rsidRDefault="002911E9" w:rsidP="00D5469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2B653E">
        <w:rPr>
          <w:rFonts w:ascii="Arial" w:hAnsi="Arial" w:cs="Arial"/>
          <w:b/>
          <w:sz w:val="24"/>
          <w:szCs w:val="24"/>
        </w:rPr>
        <w:t>Cena</w:t>
      </w:r>
    </w:p>
    <w:p w:rsidR="002911E9" w:rsidRPr="002B653E" w:rsidRDefault="002911E9" w:rsidP="00D5469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 xml:space="preserve">1. </w:t>
      </w:r>
      <w:r w:rsidRPr="00735154">
        <w:rPr>
          <w:rFonts w:ascii="Arial" w:hAnsi="Arial" w:cs="Arial"/>
          <w:sz w:val="20"/>
          <w:szCs w:val="20"/>
        </w:rPr>
        <w:t>Smluvní strany dohodly, že cena (úplata) za převod předmětných vozidel bude stanovena ve výši dle znaleckých posudků zmíněných v bodu 2) předcházejícího čl. III té</w:t>
      </w:r>
      <w:r w:rsidR="009C2718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to smlouvy. Celková cena za soubor vozidel (vyjma vyřazených dle ujednání bodu 3) předcházejícího čl. III té</w:t>
      </w:r>
      <w:r w:rsidR="009C2718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to smlouvy) bude tedy určena jako součet cen jednotlivých vozidel dle znaleckých posudků.</w:t>
      </w: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2.</w:t>
      </w:r>
      <w:r w:rsidRPr="00735154">
        <w:rPr>
          <w:rFonts w:ascii="Arial" w:hAnsi="Arial" w:cs="Arial"/>
          <w:sz w:val="20"/>
          <w:szCs w:val="20"/>
        </w:rPr>
        <w:t xml:space="preserve"> Na uvedenou celkovou cenu vystaví převodce fakturu – daňový doklad splňující všechny zákonné náležitosti. Přílohou faktury bude převodcem vystavený dodací list podepsaný oprávněnými osobami jednat v provozních záležitostech za obě strany. Smluvní strany se dohodly na lhůtě spla</w:t>
      </w:r>
      <w:r w:rsidR="00383D3E" w:rsidRPr="00735154">
        <w:rPr>
          <w:rFonts w:ascii="Arial" w:hAnsi="Arial" w:cs="Arial"/>
          <w:sz w:val="20"/>
          <w:szCs w:val="20"/>
        </w:rPr>
        <w:t>tnosti faktury v délce patnácti (15</w:t>
      </w:r>
      <w:r w:rsidRPr="00735154">
        <w:rPr>
          <w:rFonts w:ascii="Arial" w:hAnsi="Arial" w:cs="Arial"/>
          <w:sz w:val="20"/>
          <w:szCs w:val="20"/>
        </w:rPr>
        <w:t>) kalendářních dnů ode dne prokazatelného doručení faktury nabyvateli.</w:t>
      </w: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911E9" w:rsidRPr="00735154" w:rsidRDefault="002911E9" w:rsidP="00D5469A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V</w:t>
      </w:r>
    </w:p>
    <w:p w:rsidR="002911E9" w:rsidRPr="00735154" w:rsidRDefault="002911E9" w:rsidP="00D5469A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Změna příslušnosti hospodařit s majetkem státu</w:t>
      </w: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Strany se dohodly, že právo hospodaření k vozidlům uvedeným v dodacím listu dle ujednání předcházejícího čl. IV bod 2 té</w:t>
      </w:r>
      <w:r w:rsidR="009C2718" w:rsidRPr="00735154">
        <w:rPr>
          <w:rFonts w:ascii="Arial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>to smlouvy přechází z převodce na nabyvatele vždy dnem zápisu nabyvatele jako nového vlastníka v registru vozidel.</w:t>
      </w: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911E9" w:rsidRPr="00735154" w:rsidRDefault="002911E9" w:rsidP="00D5469A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VI</w:t>
      </w:r>
    </w:p>
    <w:p w:rsidR="002911E9" w:rsidRPr="00735154" w:rsidRDefault="002911E9" w:rsidP="00D5469A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Závěrečná ujednání</w:t>
      </w:r>
    </w:p>
    <w:p w:rsidR="002911E9" w:rsidRPr="00735154" w:rsidRDefault="002911E9" w:rsidP="00D5469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2911E9" w:rsidRPr="00735154" w:rsidRDefault="002911E9" w:rsidP="00D546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35154">
        <w:rPr>
          <w:rFonts w:ascii="Arial" w:eastAsia="Times New Roman" w:hAnsi="Arial" w:cs="Arial"/>
          <w:b/>
          <w:sz w:val="20"/>
          <w:szCs w:val="20"/>
          <w:lang w:eastAsia="cs-CZ"/>
        </w:rPr>
        <w:t>1.</w:t>
      </w:r>
      <w:r w:rsidRPr="00735154">
        <w:rPr>
          <w:rFonts w:ascii="Arial" w:eastAsia="Times New Roman" w:hAnsi="Arial" w:cs="Arial"/>
          <w:sz w:val="20"/>
          <w:szCs w:val="20"/>
          <w:lang w:eastAsia="cs-CZ"/>
        </w:rPr>
        <w:t xml:space="preserve"> Tuto smlouvu lze měnit pouze formou písemných vzestupně číslovaných jejích dodatků podepsaných oprávněnými osobami obou smluvních stran. </w:t>
      </w:r>
    </w:p>
    <w:p w:rsidR="002911E9" w:rsidRDefault="002911E9" w:rsidP="00D5469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735154" w:rsidRPr="00735154" w:rsidRDefault="00735154" w:rsidP="00D5469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2911E9" w:rsidRPr="00735154" w:rsidRDefault="002911E9" w:rsidP="00D546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35154">
        <w:rPr>
          <w:rFonts w:ascii="Arial" w:eastAsia="Times New Roman" w:hAnsi="Arial" w:cs="Arial"/>
          <w:b/>
          <w:sz w:val="20"/>
          <w:szCs w:val="20"/>
          <w:lang w:eastAsia="cs-CZ"/>
        </w:rPr>
        <w:t>2.</w:t>
      </w:r>
      <w:r w:rsidRPr="00735154">
        <w:rPr>
          <w:rFonts w:ascii="Arial" w:eastAsia="Times New Roman" w:hAnsi="Arial" w:cs="Arial"/>
          <w:sz w:val="20"/>
          <w:szCs w:val="20"/>
          <w:lang w:eastAsia="cs-CZ"/>
        </w:rPr>
        <w:t xml:space="preserve"> Smlouva je vyhotovena ve čtyřech stejnopisech s platností originálu, z nichž každá stran obdrží po dvou vyhotoveních.</w:t>
      </w:r>
    </w:p>
    <w:p w:rsidR="002911E9" w:rsidRDefault="002911E9" w:rsidP="00D546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35154" w:rsidRPr="00735154" w:rsidRDefault="00735154" w:rsidP="00D546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911E9" w:rsidRPr="00735154" w:rsidRDefault="002911E9" w:rsidP="00D5469A">
      <w:pPr>
        <w:widowControl w:val="0"/>
        <w:tabs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  <w:r w:rsidRPr="00735154">
        <w:rPr>
          <w:rFonts w:ascii="Arial" w:eastAsia="Times New Roman" w:hAnsi="Arial" w:cs="Arial"/>
          <w:b/>
          <w:sz w:val="20"/>
          <w:szCs w:val="20"/>
        </w:rPr>
        <w:t>3.</w:t>
      </w:r>
      <w:r w:rsidRPr="00735154">
        <w:rPr>
          <w:rFonts w:ascii="Arial" w:eastAsia="Times New Roman" w:hAnsi="Arial" w:cs="Arial"/>
          <w:sz w:val="20"/>
          <w:szCs w:val="20"/>
        </w:rPr>
        <w:t xml:space="preserve"> Tato smlouva nabývá platnosti a účinnosti dnem jejího uzavření. </w:t>
      </w: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911E9" w:rsidRPr="00735154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911E9" w:rsidRDefault="002911E9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b/>
          <w:sz w:val="20"/>
          <w:szCs w:val="20"/>
        </w:rPr>
        <w:t>Příloha č. 1</w:t>
      </w:r>
      <w:r w:rsidRPr="00735154">
        <w:rPr>
          <w:rFonts w:ascii="Arial" w:hAnsi="Arial" w:cs="Arial"/>
          <w:sz w:val="20"/>
          <w:szCs w:val="20"/>
        </w:rPr>
        <w:t xml:space="preserve"> – soupis vozidel</w:t>
      </w:r>
    </w:p>
    <w:p w:rsid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35154" w:rsidRPr="00735154" w:rsidRDefault="00735154" w:rsidP="00D5469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911E9" w:rsidRPr="00735154" w:rsidRDefault="002911E9" w:rsidP="00D5469A">
      <w:pPr>
        <w:widowControl w:val="0"/>
        <w:suppressAutoHyphens/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  <w:r w:rsidRPr="00735154">
        <w:rPr>
          <w:rFonts w:ascii="Arial" w:eastAsia="Times New Roman" w:hAnsi="Arial" w:cs="Arial"/>
          <w:sz w:val="20"/>
          <w:szCs w:val="20"/>
        </w:rPr>
        <w:t xml:space="preserve">V Praze  dne </w:t>
      </w:r>
      <w:r w:rsidR="00714B8C" w:rsidRPr="00735154">
        <w:rPr>
          <w:rFonts w:ascii="Arial" w:eastAsia="Times New Roman" w:hAnsi="Arial" w:cs="Arial"/>
          <w:sz w:val="20"/>
          <w:szCs w:val="20"/>
        </w:rPr>
        <w:t>………………………..</w:t>
      </w:r>
      <w:r w:rsidRPr="00735154"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735154">
        <w:rPr>
          <w:rFonts w:ascii="Arial" w:eastAsia="Times New Roman" w:hAnsi="Arial" w:cs="Arial"/>
          <w:sz w:val="20"/>
          <w:szCs w:val="20"/>
        </w:rPr>
        <w:t xml:space="preserve">              </w:t>
      </w:r>
      <w:r w:rsidRPr="00735154">
        <w:rPr>
          <w:rFonts w:ascii="Arial" w:eastAsia="Times New Roman" w:hAnsi="Arial" w:cs="Arial"/>
          <w:sz w:val="20"/>
          <w:szCs w:val="20"/>
        </w:rPr>
        <w:t xml:space="preserve">   </w:t>
      </w:r>
      <w:r w:rsidR="00714B8C" w:rsidRPr="00735154">
        <w:rPr>
          <w:rFonts w:ascii="Arial" w:eastAsia="Times New Roman" w:hAnsi="Arial" w:cs="Arial"/>
          <w:sz w:val="20"/>
          <w:szCs w:val="20"/>
        </w:rPr>
        <w:t>V Praze dne ……………………………….</w:t>
      </w:r>
    </w:p>
    <w:p w:rsidR="002911E9" w:rsidRPr="00735154" w:rsidRDefault="002911E9" w:rsidP="00D5469A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</w:p>
    <w:p w:rsidR="002911E9" w:rsidRPr="00735154" w:rsidRDefault="002911E9" w:rsidP="00D5469A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</w:p>
    <w:p w:rsidR="002911E9" w:rsidRPr="00735154" w:rsidRDefault="002911E9" w:rsidP="00D5469A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</w:p>
    <w:p w:rsidR="002911E9" w:rsidRPr="00735154" w:rsidRDefault="002911E9" w:rsidP="00D546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  <w:r w:rsidRPr="00735154">
        <w:rPr>
          <w:rFonts w:ascii="Arial" w:eastAsia="Times New Roman" w:hAnsi="Arial" w:cs="Arial"/>
          <w:sz w:val="20"/>
          <w:szCs w:val="20"/>
        </w:rPr>
        <w:t>…………………………......................</w:t>
      </w:r>
      <w:r w:rsidR="00B6041E" w:rsidRPr="00735154"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="00735154">
        <w:rPr>
          <w:rFonts w:ascii="Arial" w:eastAsia="Times New Roman" w:hAnsi="Arial" w:cs="Arial"/>
          <w:sz w:val="20"/>
          <w:szCs w:val="20"/>
        </w:rPr>
        <w:t xml:space="preserve">   </w:t>
      </w:r>
      <w:r w:rsidR="00B6041E" w:rsidRPr="00735154">
        <w:rPr>
          <w:rFonts w:ascii="Arial" w:eastAsia="Times New Roman" w:hAnsi="Arial" w:cs="Arial"/>
          <w:sz w:val="20"/>
          <w:szCs w:val="20"/>
        </w:rPr>
        <w:t xml:space="preserve"> </w:t>
      </w:r>
      <w:r w:rsidRPr="00735154">
        <w:rPr>
          <w:rFonts w:ascii="Arial" w:eastAsia="Times New Roman" w:hAnsi="Arial" w:cs="Arial"/>
          <w:sz w:val="20"/>
          <w:szCs w:val="20"/>
        </w:rPr>
        <w:t xml:space="preserve"> ………………………………………..</w:t>
      </w:r>
    </w:p>
    <w:p w:rsidR="002911E9" w:rsidRPr="00735154" w:rsidRDefault="00735154" w:rsidP="00D546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2911E9" w:rsidRPr="002B653E">
        <w:rPr>
          <w:rFonts w:ascii="Arial" w:eastAsia="Times New Roman" w:hAnsi="Arial" w:cs="Arial"/>
          <w:sz w:val="24"/>
          <w:szCs w:val="24"/>
        </w:rPr>
        <w:t xml:space="preserve">       </w:t>
      </w:r>
      <w:r w:rsidR="002911E9" w:rsidRPr="002B653E">
        <w:rPr>
          <w:rFonts w:ascii="Arial" w:eastAsia="Times New Roman" w:hAnsi="Arial" w:cs="Arial"/>
          <w:b/>
          <w:sz w:val="24"/>
          <w:szCs w:val="24"/>
        </w:rPr>
        <w:t>převodce</w:t>
      </w:r>
      <w:r w:rsidR="002911E9" w:rsidRPr="002B653E">
        <w:rPr>
          <w:rFonts w:ascii="Arial" w:eastAsia="Times New Roman" w:hAnsi="Arial" w:cs="Arial"/>
          <w:sz w:val="24"/>
          <w:szCs w:val="24"/>
        </w:rPr>
        <w:t xml:space="preserve">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="00B6041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2911E9" w:rsidRPr="002B653E">
        <w:rPr>
          <w:rFonts w:ascii="Arial" w:eastAsia="Times New Roman" w:hAnsi="Arial" w:cs="Arial"/>
          <w:sz w:val="24"/>
          <w:szCs w:val="24"/>
        </w:rPr>
        <w:t xml:space="preserve"> </w:t>
      </w:r>
      <w:r w:rsidR="002911E9" w:rsidRPr="002B653E">
        <w:rPr>
          <w:rFonts w:ascii="Arial" w:eastAsia="Times New Roman" w:hAnsi="Arial" w:cs="Arial"/>
          <w:b/>
          <w:sz w:val="24"/>
          <w:szCs w:val="24"/>
        </w:rPr>
        <w:t>nabyvatel</w:t>
      </w:r>
    </w:p>
    <w:p w:rsidR="00B6041E" w:rsidRPr="00735154" w:rsidRDefault="002911E9" w:rsidP="00D546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>Česká republika  –  Ministerstvo vnitra</w:t>
      </w:r>
      <w:r w:rsidRPr="00735154">
        <w:rPr>
          <w:rFonts w:ascii="Arial" w:eastAsia="Times New Roman" w:hAnsi="Arial" w:cs="Arial"/>
          <w:b/>
          <w:sz w:val="20"/>
          <w:szCs w:val="20"/>
        </w:rPr>
        <w:tab/>
      </w:r>
      <w:r w:rsidRPr="00735154">
        <w:rPr>
          <w:rFonts w:ascii="Arial" w:eastAsia="Times New Roman" w:hAnsi="Arial" w:cs="Arial"/>
          <w:b/>
          <w:sz w:val="20"/>
          <w:szCs w:val="20"/>
        </w:rPr>
        <w:tab/>
        <w:t xml:space="preserve">     </w:t>
      </w:r>
      <w:r w:rsidR="00735154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73515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35154">
        <w:rPr>
          <w:rFonts w:ascii="Arial" w:eastAsia="Times New Roman" w:hAnsi="Arial" w:cs="Arial"/>
          <w:sz w:val="20"/>
          <w:szCs w:val="20"/>
        </w:rPr>
        <w:t>Zařízení služeb pro Ministerstvo vnitra</w:t>
      </w:r>
      <w:r w:rsidR="00B6041E" w:rsidRPr="00735154">
        <w:rPr>
          <w:rFonts w:ascii="Arial" w:eastAsia="Times New Roman" w:hAnsi="Arial" w:cs="Arial"/>
          <w:sz w:val="20"/>
          <w:szCs w:val="20"/>
        </w:rPr>
        <w:t xml:space="preserve"> </w:t>
      </w:r>
      <w:r w:rsidRPr="00735154">
        <w:rPr>
          <w:rFonts w:ascii="Arial" w:hAnsi="Arial" w:cs="Arial"/>
          <w:sz w:val="20"/>
          <w:szCs w:val="20"/>
        </w:rPr>
        <w:t xml:space="preserve"> </w:t>
      </w:r>
      <w:r w:rsidR="00B6041E" w:rsidRPr="00735154">
        <w:rPr>
          <w:rFonts w:ascii="Arial" w:hAnsi="Arial" w:cs="Arial"/>
          <w:sz w:val="20"/>
          <w:szCs w:val="20"/>
        </w:rPr>
        <w:t xml:space="preserve">                                    </w:t>
      </w:r>
    </w:p>
    <w:p w:rsidR="009C2718" w:rsidRPr="00735154" w:rsidRDefault="00B6041E" w:rsidP="00D546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 xml:space="preserve">            </w:t>
      </w:r>
      <w:r w:rsidR="002911E9" w:rsidRPr="00735154">
        <w:rPr>
          <w:rFonts w:ascii="Arial" w:hAnsi="Arial" w:cs="Arial"/>
          <w:sz w:val="20"/>
          <w:szCs w:val="20"/>
        </w:rPr>
        <w:t xml:space="preserve">PhDr. Jaromír Bischof, </w:t>
      </w:r>
      <w:r w:rsidRPr="00735154">
        <w:rPr>
          <w:rFonts w:ascii="Arial" w:eastAsia="Times New Roman" w:hAnsi="Arial" w:cs="Arial"/>
          <w:sz w:val="20"/>
          <w:szCs w:val="20"/>
        </w:rPr>
        <w:t xml:space="preserve">  </w:t>
      </w:r>
      <w:r w:rsidR="00194A0B" w:rsidRPr="00735154">
        <w:rPr>
          <w:rFonts w:ascii="Arial" w:eastAsia="Times New Roman" w:hAnsi="Arial" w:cs="Arial"/>
          <w:sz w:val="20"/>
          <w:szCs w:val="20"/>
        </w:rPr>
        <w:t xml:space="preserve">          </w:t>
      </w:r>
      <w:r w:rsidRPr="00735154"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 w:rsidR="00735154">
        <w:rPr>
          <w:rFonts w:ascii="Arial" w:eastAsia="Times New Roman" w:hAnsi="Arial" w:cs="Arial"/>
          <w:sz w:val="20"/>
          <w:szCs w:val="20"/>
        </w:rPr>
        <w:t xml:space="preserve">   </w:t>
      </w:r>
      <w:r w:rsidRPr="00735154">
        <w:rPr>
          <w:rFonts w:ascii="Arial" w:eastAsia="Times New Roman" w:hAnsi="Arial" w:cs="Arial"/>
          <w:sz w:val="20"/>
          <w:szCs w:val="20"/>
        </w:rPr>
        <w:t xml:space="preserve">         JUDr. Ladislav Máca,</w:t>
      </w:r>
    </w:p>
    <w:p w:rsidR="00B6041E" w:rsidRPr="00735154" w:rsidRDefault="00B6041E" w:rsidP="00D546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0"/>
          <w:szCs w:val="20"/>
        </w:rPr>
      </w:pPr>
      <w:r w:rsidRPr="00735154">
        <w:rPr>
          <w:rFonts w:ascii="Arial" w:hAnsi="Arial" w:cs="Arial"/>
          <w:sz w:val="20"/>
          <w:szCs w:val="20"/>
        </w:rPr>
        <w:t xml:space="preserve">            ředitel SLZ PP ČR                                                    </w:t>
      </w:r>
      <w:r w:rsidR="00735154">
        <w:rPr>
          <w:rFonts w:ascii="Arial" w:hAnsi="Arial" w:cs="Arial"/>
          <w:sz w:val="20"/>
          <w:szCs w:val="20"/>
        </w:rPr>
        <w:t xml:space="preserve">   </w:t>
      </w:r>
      <w:r w:rsidRPr="00735154">
        <w:rPr>
          <w:rFonts w:ascii="Arial" w:hAnsi="Arial" w:cs="Arial"/>
          <w:sz w:val="20"/>
          <w:szCs w:val="20"/>
        </w:rPr>
        <w:t xml:space="preserve">   </w:t>
      </w:r>
      <w:r w:rsidRPr="00735154">
        <w:rPr>
          <w:rFonts w:ascii="Arial" w:eastAsia="Times New Roman" w:hAnsi="Arial" w:cs="Arial"/>
          <w:sz w:val="20"/>
          <w:szCs w:val="20"/>
        </w:rPr>
        <w:t>generální ředitel</w:t>
      </w:r>
    </w:p>
    <w:sectPr w:rsidR="00B6041E" w:rsidRPr="00735154" w:rsidSect="0077450A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21" w:rsidRDefault="002B2F21">
      <w:pPr>
        <w:spacing w:after="0" w:line="240" w:lineRule="auto"/>
      </w:pPr>
      <w:r>
        <w:separator/>
      </w:r>
    </w:p>
  </w:endnote>
  <w:endnote w:type="continuationSeparator" w:id="0">
    <w:p w:rsidR="002B2F21" w:rsidRDefault="002B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EA" w:rsidRDefault="00EC043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17D0">
      <w:rPr>
        <w:noProof/>
      </w:rPr>
      <w:t>4</w:t>
    </w:r>
    <w:r>
      <w:fldChar w:fldCharType="end"/>
    </w:r>
  </w:p>
  <w:p w:rsidR="00BF67EA" w:rsidRDefault="005417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21" w:rsidRDefault="002B2F21">
      <w:pPr>
        <w:spacing w:after="0" w:line="240" w:lineRule="auto"/>
      </w:pPr>
      <w:r>
        <w:separator/>
      </w:r>
    </w:p>
  </w:footnote>
  <w:footnote w:type="continuationSeparator" w:id="0">
    <w:p w:rsidR="002B2F21" w:rsidRDefault="002B2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E9"/>
    <w:rsid w:val="000A6673"/>
    <w:rsid w:val="000D0F5C"/>
    <w:rsid w:val="000D779F"/>
    <w:rsid w:val="00194A0B"/>
    <w:rsid w:val="001A35DE"/>
    <w:rsid w:val="002911E9"/>
    <w:rsid w:val="002B2F21"/>
    <w:rsid w:val="00383D3E"/>
    <w:rsid w:val="003D2FD1"/>
    <w:rsid w:val="00455974"/>
    <w:rsid w:val="005417D0"/>
    <w:rsid w:val="00571D76"/>
    <w:rsid w:val="005F1745"/>
    <w:rsid w:val="00621F14"/>
    <w:rsid w:val="0063568B"/>
    <w:rsid w:val="00677884"/>
    <w:rsid w:val="00686CDB"/>
    <w:rsid w:val="006D6B53"/>
    <w:rsid w:val="00714B8C"/>
    <w:rsid w:val="0072259F"/>
    <w:rsid w:val="00735154"/>
    <w:rsid w:val="00746E2B"/>
    <w:rsid w:val="00954F01"/>
    <w:rsid w:val="009C2718"/>
    <w:rsid w:val="00A25208"/>
    <w:rsid w:val="00B6041E"/>
    <w:rsid w:val="00B8077C"/>
    <w:rsid w:val="00BA340B"/>
    <w:rsid w:val="00CC2DAA"/>
    <w:rsid w:val="00D20681"/>
    <w:rsid w:val="00D5469A"/>
    <w:rsid w:val="00E03195"/>
    <w:rsid w:val="00EC0437"/>
    <w:rsid w:val="00F06513"/>
    <w:rsid w:val="00F8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1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11E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2911E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29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1E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1E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1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11E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2911E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291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1E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1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skramousska@zsm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picmaus@zsm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3239D689</Template>
  <TotalTime>1</TotalTime>
  <Pages>4</Pages>
  <Words>1166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KOŽELUH Petr</dc:creator>
  <cp:lastModifiedBy>Pavel Picmaus</cp:lastModifiedBy>
  <cp:revision>2</cp:revision>
  <cp:lastPrinted>2017-06-05T09:27:00Z</cp:lastPrinted>
  <dcterms:created xsi:type="dcterms:W3CDTF">2017-07-04T11:47:00Z</dcterms:created>
  <dcterms:modified xsi:type="dcterms:W3CDTF">2017-07-04T11:47:00Z</dcterms:modified>
</cp:coreProperties>
</file>