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E0A86" w14:textId="77777777" w:rsidR="004B0ED2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36175">
        <w:rPr>
          <w:rFonts w:ascii="Arial" w:hAnsi="Arial" w:cs="Arial"/>
          <w:b/>
          <w:bCs/>
        </w:rPr>
        <w:t xml:space="preserve">Dodatek č. </w:t>
      </w:r>
      <w:r w:rsidR="002D338E">
        <w:rPr>
          <w:rFonts w:ascii="Arial" w:hAnsi="Arial" w:cs="Arial"/>
          <w:b/>
          <w:bCs/>
        </w:rPr>
        <w:t>3</w:t>
      </w:r>
    </w:p>
    <w:p w14:paraId="075679AB" w14:textId="77777777" w:rsidR="004161C3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 k</w:t>
      </w:r>
      <w:r w:rsidR="00B22CEC">
        <w:rPr>
          <w:rFonts w:ascii="Arial" w:hAnsi="Arial" w:cs="Arial"/>
          <w:b/>
          <w:bCs/>
        </w:rPr>
        <w:t>e smlouvě o dílo uzavřené dne</w:t>
      </w:r>
      <w:r w:rsidR="0010262B">
        <w:rPr>
          <w:rFonts w:ascii="Arial" w:hAnsi="Arial" w:cs="Arial"/>
          <w:b/>
          <w:bCs/>
        </w:rPr>
        <w:t xml:space="preserve"> 27</w:t>
      </w:r>
      <w:r w:rsidR="00AE7C85">
        <w:rPr>
          <w:rFonts w:ascii="Arial" w:hAnsi="Arial" w:cs="Arial"/>
          <w:b/>
          <w:bCs/>
        </w:rPr>
        <w:t>.</w:t>
      </w:r>
      <w:r w:rsidR="0010262B">
        <w:rPr>
          <w:rFonts w:ascii="Arial" w:hAnsi="Arial" w:cs="Arial"/>
          <w:b/>
          <w:bCs/>
        </w:rPr>
        <w:t>09</w:t>
      </w:r>
      <w:r w:rsidR="00256CFD">
        <w:rPr>
          <w:rFonts w:ascii="Arial" w:hAnsi="Arial" w:cs="Arial"/>
          <w:b/>
          <w:bCs/>
        </w:rPr>
        <w:t xml:space="preserve">. </w:t>
      </w:r>
      <w:r w:rsidR="00AE7C85">
        <w:rPr>
          <w:rFonts w:ascii="Arial" w:hAnsi="Arial" w:cs="Arial"/>
          <w:b/>
          <w:bCs/>
        </w:rPr>
        <w:t>202</w:t>
      </w:r>
      <w:r w:rsidR="0010262B">
        <w:rPr>
          <w:rFonts w:ascii="Arial" w:hAnsi="Arial" w:cs="Arial"/>
          <w:b/>
          <w:bCs/>
        </w:rPr>
        <w:t>3</w:t>
      </w:r>
      <w:r w:rsidR="00436175" w:rsidRPr="00436175">
        <w:rPr>
          <w:rFonts w:ascii="Arial" w:hAnsi="Arial" w:cs="Arial"/>
          <w:b/>
          <w:bCs/>
        </w:rPr>
        <w:t xml:space="preserve"> </w:t>
      </w:r>
      <w:r w:rsidRPr="00436175">
        <w:rPr>
          <w:rFonts w:ascii="Arial" w:hAnsi="Arial" w:cs="Arial"/>
          <w:b/>
          <w:bCs/>
        </w:rPr>
        <w:t xml:space="preserve">na akci </w:t>
      </w:r>
    </w:p>
    <w:p w14:paraId="1B86576F" w14:textId="0BC9B07D" w:rsidR="004161C3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>„</w:t>
      </w:r>
      <w:r w:rsidR="0010262B" w:rsidRPr="0010262B">
        <w:rPr>
          <w:rFonts w:ascii="Arial" w:hAnsi="Arial" w:cs="Arial"/>
          <w:b/>
          <w:bCs/>
          <w:sz w:val="24"/>
          <w:szCs w:val="24"/>
        </w:rPr>
        <w:t>Dodávk</w:t>
      </w:r>
      <w:r w:rsidR="00413C17">
        <w:rPr>
          <w:rFonts w:ascii="Arial" w:hAnsi="Arial" w:cs="Arial"/>
          <w:b/>
          <w:bCs/>
          <w:sz w:val="24"/>
          <w:szCs w:val="24"/>
        </w:rPr>
        <w:t>a</w:t>
      </w:r>
      <w:r w:rsidR="0010262B" w:rsidRPr="0010262B">
        <w:rPr>
          <w:rFonts w:ascii="Arial" w:hAnsi="Arial" w:cs="Arial"/>
          <w:b/>
          <w:bCs/>
          <w:sz w:val="24"/>
          <w:szCs w:val="24"/>
        </w:rPr>
        <w:t xml:space="preserve"> a instalac</w:t>
      </w:r>
      <w:r w:rsidR="00413C17">
        <w:rPr>
          <w:rFonts w:ascii="Arial" w:hAnsi="Arial" w:cs="Arial"/>
          <w:b/>
          <w:bCs/>
          <w:sz w:val="24"/>
          <w:szCs w:val="24"/>
        </w:rPr>
        <w:t>e</w:t>
      </w:r>
      <w:r w:rsidR="0010262B" w:rsidRPr="0010262B">
        <w:rPr>
          <w:rFonts w:ascii="Arial" w:hAnsi="Arial" w:cs="Arial"/>
          <w:b/>
          <w:bCs/>
          <w:sz w:val="24"/>
          <w:szCs w:val="24"/>
        </w:rPr>
        <w:t xml:space="preserve"> fotovoltaických elektráren s bateriovými úložišti pro objekty sportovní hala a ČOV</w:t>
      </w:r>
      <w:r w:rsidR="00436175" w:rsidRPr="00436175">
        <w:rPr>
          <w:rFonts w:ascii="Arial" w:hAnsi="Arial" w:cs="Arial"/>
          <w:b/>
          <w:bCs/>
        </w:rPr>
        <w:t>“</w:t>
      </w:r>
    </w:p>
    <w:p w14:paraId="0BD50DA7" w14:textId="77777777" w:rsidR="004B0ED2" w:rsidRPr="002C7C5E" w:rsidRDefault="004B0ED2" w:rsidP="005C16DA">
      <w:pPr>
        <w:spacing w:after="120"/>
        <w:rPr>
          <w:rFonts w:ascii="Arial" w:hAnsi="Arial" w:cs="Arial"/>
        </w:rPr>
      </w:pPr>
      <w:r w:rsidRPr="002C7C5E">
        <w:rPr>
          <w:rFonts w:ascii="Arial" w:hAnsi="Arial" w:cs="Arial"/>
        </w:rPr>
        <w:t xml:space="preserve">Smluvní strany </w:t>
      </w:r>
    </w:p>
    <w:p w14:paraId="0779685C" w14:textId="77777777" w:rsidR="004B0ED2" w:rsidRPr="002C7C5E" w:rsidRDefault="004B0ED2" w:rsidP="005C16DA">
      <w:pPr>
        <w:spacing w:after="0"/>
        <w:jc w:val="both"/>
        <w:rPr>
          <w:rFonts w:ascii="Arial" w:hAnsi="Arial" w:cs="Arial"/>
          <w:b/>
        </w:rPr>
      </w:pPr>
      <w:r w:rsidRPr="002C7C5E">
        <w:rPr>
          <w:rFonts w:ascii="Arial" w:hAnsi="Arial" w:cs="Arial"/>
          <w:b/>
          <w:bCs/>
        </w:rPr>
        <w:t>město Dobříš</w:t>
      </w:r>
    </w:p>
    <w:p w14:paraId="57A536BC" w14:textId="5E2782FF"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se sídlem: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413C17">
        <w:rPr>
          <w:rFonts w:ascii="Arial" w:hAnsi="Arial" w:cs="Arial"/>
        </w:rPr>
        <w:tab/>
      </w:r>
      <w:r w:rsidRPr="002C7C5E">
        <w:rPr>
          <w:rFonts w:ascii="Arial" w:hAnsi="Arial" w:cs="Arial"/>
        </w:rPr>
        <w:t>Mírové náměstí 119, 263 01 Dobříš</w:t>
      </w:r>
    </w:p>
    <w:p w14:paraId="7831B5AA" w14:textId="2CD949E1"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IČO: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413C17">
        <w:rPr>
          <w:rFonts w:ascii="Arial" w:hAnsi="Arial" w:cs="Arial"/>
        </w:rPr>
        <w:tab/>
      </w:r>
      <w:r w:rsidRPr="002C7C5E">
        <w:rPr>
          <w:rFonts w:ascii="Arial" w:hAnsi="Arial" w:cs="Arial"/>
        </w:rPr>
        <w:t>00242098</w:t>
      </w:r>
    </w:p>
    <w:p w14:paraId="26134620" w14:textId="26F3FD07"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DIČ: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413C17">
        <w:rPr>
          <w:rFonts w:ascii="Arial" w:hAnsi="Arial" w:cs="Arial"/>
        </w:rPr>
        <w:tab/>
      </w:r>
      <w:r w:rsidRPr="002C7C5E">
        <w:rPr>
          <w:rFonts w:ascii="Arial" w:hAnsi="Arial" w:cs="Arial"/>
        </w:rPr>
        <w:t>CZ00242098 (je plátcem DPH)</w:t>
      </w:r>
    </w:p>
    <w:p w14:paraId="4C760DC5" w14:textId="793EC989"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zastoupení: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413C17">
        <w:rPr>
          <w:rFonts w:ascii="Arial" w:hAnsi="Arial" w:cs="Arial"/>
        </w:rPr>
        <w:tab/>
      </w:r>
      <w:r w:rsidRPr="002C7C5E">
        <w:rPr>
          <w:rFonts w:ascii="Arial" w:hAnsi="Arial" w:cs="Arial"/>
        </w:rPr>
        <w:t>Ing. Pavel Svoboda, starosta</w:t>
      </w:r>
    </w:p>
    <w:p w14:paraId="67FB17BB" w14:textId="78C67E5C"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bankovní spojení:</w:t>
      </w:r>
      <w:r w:rsidRPr="002C7C5E">
        <w:rPr>
          <w:rFonts w:ascii="Arial" w:hAnsi="Arial" w:cs="Arial"/>
        </w:rPr>
        <w:tab/>
      </w:r>
      <w:r w:rsidR="00413C17">
        <w:rPr>
          <w:rFonts w:ascii="Arial" w:hAnsi="Arial" w:cs="Arial"/>
        </w:rPr>
        <w:tab/>
      </w:r>
      <w:r w:rsidRPr="002C7C5E">
        <w:rPr>
          <w:rFonts w:ascii="Arial" w:hAnsi="Arial" w:cs="Arial"/>
        </w:rPr>
        <w:t>Česká spořitelna, a. s., pobočka Příbram</w:t>
      </w:r>
    </w:p>
    <w:p w14:paraId="26CA409E" w14:textId="71EA7758"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č. účtu: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413C17">
        <w:rPr>
          <w:rFonts w:ascii="Arial" w:hAnsi="Arial" w:cs="Arial"/>
        </w:rPr>
        <w:tab/>
      </w:r>
      <w:r w:rsidR="00AE7C85" w:rsidRPr="002C7C5E">
        <w:rPr>
          <w:rFonts w:ascii="Arial" w:hAnsi="Arial" w:cs="Arial"/>
        </w:rPr>
        <w:t>27</w:t>
      </w:r>
      <w:r w:rsidRPr="002C7C5E">
        <w:rPr>
          <w:rFonts w:ascii="Arial" w:hAnsi="Arial" w:cs="Arial"/>
        </w:rPr>
        <w:t>-521732389/0800</w:t>
      </w:r>
    </w:p>
    <w:p w14:paraId="381DC584" w14:textId="3C3CE617" w:rsidR="005334ED" w:rsidRPr="002C7C5E" w:rsidRDefault="004B0ED2" w:rsidP="00413C17">
      <w:pPr>
        <w:spacing w:after="0"/>
        <w:ind w:left="2832" w:hanging="2832"/>
        <w:rPr>
          <w:rFonts w:ascii="Arial" w:hAnsi="Arial" w:cs="Arial"/>
        </w:rPr>
      </w:pPr>
      <w:r w:rsidRPr="002C7C5E">
        <w:rPr>
          <w:rFonts w:ascii="Arial" w:hAnsi="Arial" w:cs="Arial"/>
        </w:rPr>
        <w:t xml:space="preserve">kontaktní osoby: </w:t>
      </w:r>
      <w:r w:rsidRPr="002C7C5E">
        <w:rPr>
          <w:rFonts w:ascii="Arial" w:hAnsi="Arial" w:cs="Arial"/>
        </w:rPr>
        <w:tab/>
      </w:r>
      <w:r w:rsidR="005334ED" w:rsidRPr="002C7C5E">
        <w:rPr>
          <w:rFonts w:ascii="Arial" w:hAnsi="Arial" w:cs="Arial"/>
        </w:rPr>
        <w:t xml:space="preserve">ve věcech technických – Ing. Jiří Stich, jednatel společnosti Leon Taurus s.r.o., mobil: 602 617 796; e-mail: </w:t>
      </w:r>
      <w:hyperlink r:id="rId8" w:history="1">
        <w:r w:rsidR="004362F3" w:rsidRPr="00B32B41">
          <w:rPr>
            <w:rStyle w:val="Hypertextovodkaz"/>
            <w:rFonts w:ascii="Arial" w:hAnsi="Arial" w:cs="Arial"/>
          </w:rPr>
          <w:t>j.stich@leon-taurus.cz</w:t>
        </w:r>
      </w:hyperlink>
      <w:r w:rsidR="004362F3">
        <w:rPr>
          <w:rFonts w:ascii="Arial" w:hAnsi="Arial" w:cs="Arial"/>
        </w:rPr>
        <w:t xml:space="preserve"> </w:t>
      </w:r>
    </w:p>
    <w:p w14:paraId="692F23CE" w14:textId="3E3BFED5" w:rsidR="005334ED" w:rsidRPr="002C7C5E" w:rsidRDefault="005334ED" w:rsidP="00413C17">
      <w:pPr>
        <w:spacing w:after="0"/>
        <w:ind w:left="2832" w:firstLine="3"/>
        <w:rPr>
          <w:rFonts w:ascii="Arial" w:hAnsi="Arial" w:cs="Arial"/>
        </w:rPr>
      </w:pPr>
      <w:r w:rsidRPr="002C7C5E">
        <w:rPr>
          <w:rFonts w:ascii="Arial" w:hAnsi="Arial" w:cs="Arial"/>
        </w:rPr>
        <w:t>ve věcech organizačních – Mgr. Martin Švarc, mobil: +420 770</w:t>
      </w:r>
      <w:r w:rsidR="00413C17">
        <w:rPr>
          <w:rFonts w:ascii="Arial" w:hAnsi="Arial" w:cs="Arial"/>
        </w:rPr>
        <w:t> </w:t>
      </w:r>
      <w:r w:rsidRPr="002C7C5E">
        <w:rPr>
          <w:rFonts w:ascii="Arial" w:hAnsi="Arial" w:cs="Arial"/>
        </w:rPr>
        <w:t xml:space="preserve">196 123; e-mail: </w:t>
      </w:r>
      <w:hyperlink r:id="rId9" w:history="1">
        <w:r w:rsidRPr="002C7C5E">
          <w:rPr>
            <w:rStyle w:val="Hypertextovodkaz"/>
            <w:rFonts w:ascii="Arial" w:hAnsi="Arial" w:cs="Arial"/>
          </w:rPr>
          <w:t>svarc@mestodobris.cz</w:t>
        </w:r>
      </w:hyperlink>
    </w:p>
    <w:p w14:paraId="507D8148" w14:textId="77777777" w:rsidR="004B0ED2" w:rsidRPr="002C7C5E" w:rsidRDefault="004B0ED2" w:rsidP="005334ED">
      <w:pPr>
        <w:spacing w:after="0"/>
        <w:ind w:left="2124" w:hanging="2124"/>
        <w:rPr>
          <w:rFonts w:ascii="Arial" w:hAnsi="Arial" w:cs="Arial"/>
          <w:b/>
        </w:rPr>
      </w:pPr>
      <w:r w:rsidRPr="002C7C5E">
        <w:rPr>
          <w:rFonts w:ascii="Arial" w:hAnsi="Arial" w:cs="Arial"/>
        </w:rPr>
        <w:t xml:space="preserve">na straně jedné jako </w:t>
      </w:r>
      <w:r w:rsidRPr="002C7C5E">
        <w:rPr>
          <w:rFonts w:ascii="Arial" w:hAnsi="Arial" w:cs="Arial"/>
          <w:b/>
        </w:rPr>
        <w:t>objednatel</w:t>
      </w:r>
    </w:p>
    <w:p w14:paraId="79D59320" w14:textId="77777777" w:rsidR="00554AF3" w:rsidRPr="002C7C5E" w:rsidRDefault="00554AF3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</w:p>
    <w:p w14:paraId="117A2904" w14:textId="77777777" w:rsidR="004B0ED2" w:rsidRPr="002C7C5E" w:rsidRDefault="004B0ED2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2C7C5E">
        <w:rPr>
          <w:rFonts w:ascii="Arial" w:hAnsi="Arial" w:cs="Arial"/>
          <w:sz w:val="22"/>
          <w:szCs w:val="22"/>
        </w:rPr>
        <w:t>a</w:t>
      </w:r>
    </w:p>
    <w:p w14:paraId="6870C9A6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9F4CF2E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b/>
          <w:bCs/>
          <w:color w:val="000000"/>
        </w:rPr>
        <w:t xml:space="preserve">TO SYSTEM s.r.o. </w:t>
      </w:r>
    </w:p>
    <w:p w14:paraId="4FBCE470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se sídlem: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V Brance 83, 261 01 Příbram </w:t>
      </w:r>
    </w:p>
    <w:p w14:paraId="1C947687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adresa pro doručování: </w:t>
      </w:r>
      <w:r w:rsidRPr="002C7C5E">
        <w:rPr>
          <w:rFonts w:ascii="Arial" w:hAnsi="Arial" w:cs="Arial"/>
          <w:color w:val="000000"/>
        </w:rPr>
        <w:tab/>
        <w:t xml:space="preserve">V Brance 83, 261 01 Příbram </w:t>
      </w:r>
    </w:p>
    <w:p w14:paraId="0693EAB8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IČO: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28911822 </w:t>
      </w:r>
    </w:p>
    <w:p w14:paraId="73A047DE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DIČ: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CZ28911822 (je plátcem DPH) </w:t>
      </w:r>
    </w:p>
    <w:p w14:paraId="66F2043C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zastoupení: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Mgr. Jaroslav Smejkal, jednatel </w:t>
      </w:r>
    </w:p>
    <w:p w14:paraId="6D9963E9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zapsaná v obchodním rejstříku vedeném Městským soudem v Praze oddíl C, vložka 152678 </w:t>
      </w:r>
    </w:p>
    <w:p w14:paraId="309AD3FD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bankovní spojení: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Česká spořitelna, a.s. </w:t>
      </w:r>
    </w:p>
    <w:p w14:paraId="3EC34B94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č. účtu: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403633339/0800 </w:t>
      </w:r>
    </w:p>
    <w:p w14:paraId="65374F38" w14:textId="77777777"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kontaktní odpovědné osoby: Mgr. Jaroslav Smejkal, jednatel </w:t>
      </w:r>
    </w:p>
    <w:p w14:paraId="15E70B1C" w14:textId="77777777" w:rsidR="001657B9" w:rsidRPr="002C7C5E" w:rsidRDefault="001657B9" w:rsidP="001657B9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color w:val="0000FF"/>
        </w:rPr>
      </w:pPr>
      <w:r w:rsidRPr="002C7C5E">
        <w:rPr>
          <w:rFonts w:ascii="Arial" w:hAnsi="Arial" w:cs="Arial"/>
          <w:color w:val="000000"/>
        </w:rPr>
        <w:t xml:space="preserve">tel. č.: 607 508 576; e-mail: </w:t>
      </w:r>
      <w:r w:rsidRPr="002C7C5E">
        <w:rPr>
          <w:rFonts w:ascii="Arial" w:hAnsi="Arial" w:cs="Arial"/>
          <w:color w:val="000000"/>
        </w:rPr>
        <w:tab/>
      </w:r>
      <w:hyperlink r:id="rId10" w:history="1">
        <w:r w:rsidR="008A3ACB" w:rsidRPr="00B91DA9">
          <w:rPr>
            <w:rStyle w:val="Hypertextovodkaz"/>
            <w:rFonts w:ascii="Arial" w:hAnsi="Arial" w:cs="Arial"/>
          </w:rPr>
          <w:t>jaroslav.smejkal@tosystem.cz</w:t>
        </w:r>
      </w:hyperlink>
      <w:r w:rsidR="008A3ACB">
        <w:rPr>
          <w:rFonts w:ascii="Arial" w:hAnsi="Arial" w:cs="Arial"/>
          <w:color w:val="0000FF"/>
        </w:rPr>
        <w:t xml:space="preserve"> </w:t>
      </w:r>
      <w:r w:rsidRPr="002C7C5E">
        <w:rPr>
          <w:rFonts w:ascii="Arial" w:hAnsi="Arial" w:cs="Arial"/>
          <w:color w:val="0000FF"/>
        </w:rPr>
        <w:t xml:space="preserve"> </w:t>
      </w:r>
    </w:p>
    <w:p w14:paraId="5BA1FCFF" w14:textId="77777777" w:rsidR="00085C94" w:rsidRPr="002C7C5E" w:rsidRDefault="001657B9" w:rsidP="001657B9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2C7C5E">
        <w:rPr>
          <w:rFonts w:ascii="Arial" w:hAnsi="Arial" w:cs="Arial"/>
          <w:color w:val="000000"/>
          <w:sz w:val="22"/>
          <w:szCs w:val="22"/>
          <w:lang w:eastAsia="cs-CZ"/>
        </w:rPr>
        <w:t xml:space="preserve">na straně druhé jako </w:t>
      </w:r>
      <w:r w:rsidRPr="002C7C5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zhotovitel</w:t>
      </w:r>
    </w:p>
    <w:p w14:paraId="7073BBF1" w14:textId="77777777" w:rsidR="00554AF3" w:rsidRPr="002C7C5E" w:rsidRDefault="00554AF3" w:rsidP="00554AF3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22FE0FAD" w14:textId="77777777" w:rsidR="00401FBA" w:rsidRPr="002C7C5E" w:rsidRDefault="00401FBA" w:rsidP="00401FBA">
      <w:pPr>
        <w:widowControl w:val="0"/>
        <w:spacing w:after="120" w:line="240" w:lineRule="auto"/>
        <w:jc w:val="center"/>
        <w:rPr>
          <w:rFonts w:ascii="Arial" w:hAnsi="Arial" w:cs="Arial"/>
          <w:b/>
        </w:rPr>
      </w:pPr>
    </w:p>
    <w:p w14:paraId="07AC34E5" w14:textId="77777777" w:rsidR="006F0EF7" w:rsidRPr="002C7C5E" w:rsidRDefault="006F0EF7" w:rsidP="00401FBA">
      <w:pPr>
        <w:widowControl w:val="0"/>
        <w:spacing w:after="120" w:line="240" w:lineRule="auto"/>
        <w:jc w:val="center"/>
        <w:rPr>
          <w:rFonts w:ascii="Arial" w:hAnsi="Arial" w:cs="Arial"/>
        </w:rPr>
      </w:pPr>
      <w:r w:rsidRPr="002C7C5E">
        <w:rPr>
          <w:rFonts w:ascii="Arial" w:hAnsi="Arial" w:cs="Arial"/>
          <w:b/>
        </w:rPr>
        <w:t>I. Úvodní ustanovení</w:t>
      </w:r>
    </w:p>
    <w:p w14:paraId="7475EEE2" w14:textId="272FFAE8" w:rsidR="006F0EF7" w:rsidRPr="00413C17" w:rsidRDefault="00554AF3" w:rsidP="00413C17">
      <w:pPr>
        <w:spacing w:after="120"/>
        <w:jc w:val="both"/>
        <w:rPr>
          <w:rFonts w:ascii="Arial" w:hAnsi="Arial" w:cs="Arial"/>
          <w:bCs/>
        </w:rPr>
      </w:pPr>
      <w:r w:rsidRPr="00413C17">
        <w:rPr>
          <w:rFonts w:ascii="Arial" w:hAnsi="Arial" w:cs="Arial"/>
          <w:bCs/>
        </w:rPr>
        <w:t>Objednatel uzavřel v</w:t>
      </w:r>
      <w:r w:rsidR="006F0EF7" w:rsidRPr="00413C17">
        <w:rPr>
          <w:rFonts w:ascii="Arial" w:hAnsi="Arial" w:cs="Arial"/>
          <w:bCs/>
        </w:rPr>
        <w:t> souladu s ustanovením § 102 odst. 3 zákona č. 128/2000 Sb., o obcích (obecní zřízení), ve</w:t>
      </w:r>
      <w:r w:rsidR="00401FBA" w:rsidRPr="00413C17">
        <w:rPr>
          <w:rFonts w:ascii="Arial" w:hAnsi="Arial" w:cs="Arial"/>
          <w:bCs/>
        </w:rPr>
        <w:t> </w:t>
      </w:r>
      <w:r w:rsidR="006F0EF7" w:rsidRPr="00413C17">
        <w:rPr>
          <w:rFonts w:ascii="Arial" w:hAnsi="Arial" w:cs="Arial"/>
          <w:bCs/>
        </w:rPr>
        <w:t>znění pozdějších</w:t>
      </w:r>
      <w:r w:rsidR="00C12092" w:rsidRPr="00413C17">
        <w:rPr>
          <w:rFonts w:ascii="Arial" w:hAnsi="Arial" w:cs="Arial"/>
          <w:bCs/>
        </w:rPr>
        <w:t xml:space="preserve"> předpisů</w:t>
      </w:r>
      <w:r w:rsidR="006F0EF7" w:rsidRPr="00413C17">
        <w:rPr>
          <w:rFonts w:ascii="Arial" w:hAnsi="Arial" w:cs="Arial"/>
          <w:bCs/>
        </w:rPr>
        <w:t xml:space="preserve"> se zhotovitelem dne </w:t>
      </w:r>
      <w:r w:rsidR="000D52B5" w:rsidRPr="00413C17">
        <w:rPr>
          <w:rFonts w:ascii="Arial" w:hAnsi="Arial" w:cs="Arial"/>
          <w:bCs/>
        </w:rPr>
        <w:t>27.09</w:t>
      </w:r>
      <w:r w:rsidR="00242375" w:rsidRPr="00413C17">
        <w:rPr>
          <w:rFonts w:ascii="Arial" w:hAnsi="Arial" w:cs="Arial"/>
          <w:bCs/>
        </w:rPr>
        <w:t>.202</w:t>
      </w:r>
      <w:r w:rsidR="00DC33A4" w:rsidRPr="00413C17">
        <w:rPr>
          <w:rFonts w:ascii="Arial" w:hAnsi="Arial" w:cs="Arial"/>
          <w:bCs/>
        </w:rPr>
        <w:t>3</w:t>
      </w:r>
      <w:r w:rsidRPr="00413C17">
        <w:rPr>
          <w:rFonts w:ascii="Arial" w:hAnsi="Arial" w:cs="Arial"/>
          <w:bCs/>
        </w:rPr>
        <w:t xml:space="preserve"> </w:t>
      </w:r>
      <w:r w:rsidR="00401FBA" w:rsidRPr="00413C17">
        <w:rPr>
          <w:rFonts w:ascii="Arial" w:hAnsi="Arial" w:cs="Arial"/>
          <w:bCs/>
        </w:rPr>
        <w:t>s</w:t>
      </w:r>
      <w:r w:rsidR="006F0EF7" w:rsidRPr="00413C17">
        <w:rPr>
          <w:rFonts w:ascii="Arial" w:hAnsi="Arial" w:cs="Arial"/>
          <w:bCs/>
        </w:rPr>
        <w:t>mlouvu o dílo</w:t>
      </w:r>
      <w:r w:rsidR="00436175" w:rsidRPr="00413C17">
        <w:rPr>
          <w:rFonts w:ascii="Arial" w:hAnsi="Arial" w:cs="Arial"/>
          <w:bCs/>
        </w:rPr>
        <w:t xml:space="preserve"> </w:t>
      </w:r>
      <w:r w:rsidR="006F0EF7" w:rsidRPr="00413C17">
        <w:rPr>
          <w:rFonts w:ascii="Arial" w:hAnsi="Arial" w:cs="Arial"/>
          <w:bCs/>
        </w:rPr>
        <w:t xml:space="preserve">(dále jen </w:t>
      </w:r>
      <w:r w:rsidR="006F0EF7" w:rsidRPr="006F380C">
        <w:rPr>
          <w:rFonts w:ascii="Arial" w:hAnsi="Arial" w:cs="Arial"/>
          <w:b/>
        </w:rPr>
        <w:t>smlouva</w:t>
      </w:r>
      <w:r w:rsidR="00AC407D" w:rsidRPr="006F380C">
        <w:rPr>
          <w:rFonts w:ascii="Arial" w:hAnsi="Arial" w:cs="Arial"/>
          <w:b/>
        </w:rPr>
        <w:t xml:space="preserve"> o dílo</w:t>
      </w:r>
      <w:r w:rsidR="006F0EF7" w:rsidRPr="00413C17">
        <w:rPr>
          <w:rFonts w:ascii="Arial" w:hAnsi="Arial" w:cs="Arial"/>
          <w:bCs/>
        </w:rPr>
        <w:t xml:space="preserve">), jejíž uzavření schválila </w:t>
      </w:r>
      <w:r w:rsidR="000D52B5" w:rsidRPr="00413C17">
        <w:rPr>
          <w:rFonts w:ascii="Arial" w:hAnsi="Arial" w:cs="Arial"/>
          <w:bCs/>
        </w:rPr>
        <w:t>Rada města Dobříše usnesením č. 12/27/2023/RM-II</w:t>
      </w:r>
      <w:r w:rsidR="00B22CEC" w:rsidRPr="00413C17">
        <w:rPr>
          <w:rFonts w:ascii="Arial" w:hAnsi="Arial" w:cs="Arial"/>
          <w:bCs/>
        </w:rPr>
        <w:t xml:space="preserve"> dne </w:t>
      </w:r>
      <w:r w:rsidR="000D52B5" w:rsidRPr="00413C17">
        <w:rPr>
          <w:rFonts w:ascii="Arial" w:hAnsi="Arial" w:cs="Arial"/>
          <w:bCs/>
        </w:rPr>
        <w:t>05.09</w:t>
      </w:r>
      <w:r w:rsidR="00242375" w:rsidRPr="00413C17">
        <w:rPr>
          <w:rFonts w:ascii="Arial" w:hAnsi="Arial" w:cs="Arial"/>
          <w:bCs/>
        </w:rPr>
        <w:t>.202</w:t>
      </w:r>
      <w:r w:rsidR="00DC33A4" w:rsidRPr="00413C17">
        <w:rPr>
          <w:rFonts w:ascii="Arial" w:hAnsi="Arial" w:cs="Arial"/>
          <w:bCs/>
        </w:rPr>
        <w:t>3</w:t>
      </w:r>
      <w:r w:rsidRPr="00413C17">
        <w:rPr>
          <w:rFonts w:ascii="Arial" w:hAnsi="Arial" w:cs="Arial"/>
          <w:bCs/>
        </w:rPr>
        <w:t xml:space="preserve"> </w:t>
      </w:r>
      <w:r w:rsidR="000D52B5" w:rsidRPr="00413C17">
        <w:rPr>
          <w:rFonts w:ascii="Arial" w:hAnsi="Arial" w:cs="Arial"/>
          <w:bCs/>
        </w:rPr>
        <w:t xml:space="preserve">na </w:t>
      </w:r>
      <w:r w:rsidR="006F0EF7" w:rsidRPr="00413C17">
        <w:rPr>
          <w:rFonts w:ascii="Arial" w:hAnsi="Arial" w:cs="Arial"/>
          <w:bCs/>
        </w:rPr>
        <w:t>„</w:t>
      </w:r>
      <w:r w:rsidR="001657B9" w:rsidRPr="00C12092">
        <w:rPr>
          <w:rFonts w:ascii="Arial" w:hAnsi="Arial" w:cs="Arial"/>
          <w:bCs/>
        </w:rPr>
        <w:t>Dodávku a instalaci fotovoltaických elektráren s bateriovými úložišti pro objekty sportovní hala a ČOV</w:t>
      </w:r>
      <w:r w:rsidR="00C12092" w:rsidRPr="00413C17">
        <w:rPr>
          <w:rFonts w:ascii="Arial" w:hAnsi="Arial" w:cs="Arial"/>
          <w:bCs/>
        </w:rPr>
        <w:t xml:space="preserve">“, a to ve znění dodatku č. 1 ze dne </w:t>
      </w:r>
      <w:r w:rsidR="00A9244B" w:rsidRPr="00413C17">
        <w:rPr>
          <w:rFonts w:ascii="Arial" w:hAnsi="Arial" w:cs="Arial"/>
          <w:bCs/>
        </w:rPr>
        <w:t>10.10.2023</w:t>
      </w:r>
      <w:r w:rsidR="00C12092" w:rsidRPr="00413C17">
        <w:rPr>
          <w:rFonts w:ascii="Arial" w:hAnsi="Arial" w:cs="Arial"/>
          <w:bCs/>
        </w:rPr>
        <w:t xml:space="preserve"> (dále jen dodatek č. 1) ve znění do</w:t>
      </w:r>
      <w:r w:rsidR="00A9244B" w:rsidRPr="00413C17">
        <w:rPr>
          <w:rFonts w:ascii="Arial" w:hAnsi="Arial" w:cs="Arial"/>
          <w:bCs/>
        </w:rPr>
        <w:t>datku č. 2 ze dne 01.03.2024</w:t>
      </w:r>
      <w:r w:rsidR="00C12092" w:rsidRPr="00413C17">
        <w:rPr>
          <w:rFonts w:ascii="Arial" w:hAnsi="Arial" w:cs="Arial"/>
          <w:bCs/>
        </w:rPr>
        <w:t xml:space="preserve"> (dále jen dodatek č. 2).</w:t>
      </w:r>
    </w:p>
    <w:p w14:paraId="4AB8B2E5" w14:textId="77777777" w:rsidR="00590665" w:rsidRDefault="00C16D59" w:rsidP="00590665">
      <w:pPr>
        <w:tabs>
          <w:tab w:val="left" w:pos="3686"/>
        </w:tabs>
        <w:spacing w:after="120" w:line="240" w:lineRule="auto"/>
        <w:ind w:left="-1134"/>
        <w:jc w:val="center"/>
        <w:rPr>
          <w:rFonts w:ascii="Arial" w:hAnsi="Arial" w:cs="Arial"/>
          <w:b/>
        </w:rPr>
      </w:pPr>
      <w:r w:rsidRPr="00C12092">
        <w:rPr>
          <w:rFonts w:ascii="Arial" w:hAnsi="Arial" w:cs="Arial"/>
          <w:b/>
        </w:rPr>
        <w:t xml:space="preserve">   </w:t>
      </w:r>
      <w:r w:rsidR="006F0EF7" w:rsidRPr="00C12092">
        <w:rPr>
          <w:rFonts w:ascii="Arial" w:hAnsi="Arial" w:cs="Arial"/>
          <w:b/>
        </w:rPr>
        <w:t xml:space="preserve">II. </w:t>
      </w:r>
    </w:p>
    <w:p w14:paraId="36E7BF09" w14:textId="0D33E53F" w:rsidR="00AB1610" w:rsidRDefault="00043F12" w:rsidP="00590665">
      <w:pPr>
        <w:tabs>
          <w:tab w:val="left" w:pos="3686"/>
        </w:tabs>
        <w:spacing w:after="120" w:line="240" w:lineRule="auto"/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Průběh řízení a relevantní ustanovení </w:t>
      </w:r>
    </w:p>
    <w:p w14:paraId="190FD43A" w14:textId="77777777" w:rsidR="00AB1610" w:rsidRDefault="00AB1610" w:rsidP="00401FBA">
      <w:pPr>
        <w:tabs>
          <w:tab w:val="left" w:pos="3686"/>
        </w:tabs>
        <w:spacing w:after="120" w:line="240" w:lineRule="auto"/>
        <w:jc w:val="center"/>
        <w:rPr>
          <w:rFonts w:ascii="Arial" w:hAnsi="Arial" w:cs="Arial"/>
          <w:b/>
        </w:rPr>
      </w:pPr>
    </w:p>
    <w:p w14:paraId="4E7FCED1" w14:textId="13DCE080" w:rsidR="00D32C1C" w:rsidRPr="00D32C1C" w:rsidRDefault="00D32C1C" w:rsidP="00D32C1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Průběh zadávacího řízení</w:t>
      </w:r>
    </w:p>
    <w:p w14:paraId="1FC727FB" w14:textId="0DCCC0AB" w:rsidR="00AB1610" w:rsidRDefault="00AA68EB" w:rsidP="00AA68E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Objednatel zahájil dne 14.7.2023 veřejnou zakázku s</w:t>
      </w:r>
      <w:r w:rsidRPr="00AA68EB">
        <w:rPr>
          <w:rFonts w:ascii="Arial" w:hAnsi="Arial" w:cs="Arial"/>
          <w:bCs/>
        </w:rPr>
        <w:t>ystémové číslo: P23V00000044</w:t>
      </w:r>
      <w:r>
        <w:rPr>
          <w:rFonts w:ascii="Arial" w:hAnsi="Arial" w:cs="Arial"/>
          <w:bCs/>
        </w:rPr>
        <w:t>, s</w:t>
      </w:r>
      <w:r w:rsidRPr="00AA68EB">
        <w:rPr>
          <w:rFonts w:ascii="Arial" w:hAnsi="Arial" w:cs="Arial"/>
          <w:bCs/>
        </w:rPr>
        <w:t>pisová značka: MDOB/8999/2023/OT</w:t>
      </w:r>
      <w:r>
        <w:rPr>
          <w:rFonts w:ascii="Arial" w:hAnsi="Arial" w:cs="Arial"/>
          <w:bCs/>
        </w:rPr>
        <w:t xml:space="preserve"> s názvem s názvem „</w:t>
      </w:r>
      <w:r w:rsidRPr="00AA68EB">
        <w:rPr>
          <w:rFonts w:ascii="Arial" w:hAnsi="Arial" w:cs="Arial"/>
          <w:bCs/>
        </w:rPr>
        <w:t>Dodávka a instalace fotovoltaických elektráren s bateriovými úložišti pro objekty sportovní hala a ČOV</w:t>
      </w:r>
      <w:r>
        <w:rPr>
          <w:rFonts w:ascii="Arial" w:hAnsi="Arial" w:cs="Arial"/>
          <w:bCs/>
        </w:rPr>
        <w:t>“.</w:t>
      </w:r>
    </w:p>
    <w:p w14:paraId="7629A76F" w14:textId="5C4B462B" w:rsidR="00AA68EB" w:rsidRDefault="00AA68EB" w:rsidP="00AA68E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Rozhodnutí o výběru zhotovitele bylo učiněno dne 6.9.2023 a smlouva byla </w:t>
      </w:r>
      <w:r w:rsidR="0078532E">
        <w:rPr>
          <w:rFonts w:ascii="Arial" w:hAnsi="Arial" w:cs="Arial"/>
          <w:bCs/>
        </w:rPr>
        <w:t>uzavřena dne 27.9.2023 s tím, že účinnosti nabyla dne 5.10.2023</w:t>
      </w:r>
      <w:r w:rsidR="00590665">
        <w:rPr>
          <w:rFonts w:ascii="Arial" w:hAnsi="Arial" w:cs="Arial"/>
          <w:bCs/>
        </w:rPr>
        <w:t xml:space="preserve"> zveřejněním v Registru smluv</w:t>
      </w:r>
      <w:r w:rsidR="0078532E">
        <w:rPr>
          <w:rFonts w:ascii="Arial" w:hAnsi="Arial" w:cs="Arial"/>
          <w:bCs/>
        </w:rPr>
        <w:t>.</w:t>
      </w:r>
    </w:p>
    <w:p w14:paraId="300A9EA9" w14:textId="0F81ACE8" w:rsidR="00590665" w:rsidRDefault="00590665" w:rsidP="00AA68E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Výzva ke zhotovení díla byla zhotoviteli doručena 11.10.2023. </w:t>
      </w:r>
    </w:p>
    <w:p w14:paraId="67699B6C" w14:textId="352029FB" w:rsidR="00D32C1C" w:rsidRPr="00D32C1C" w:rsidRDefault="00D32C1C" w:rsidP="00AA68EB">
      <w:pPr>
        <w:spacing w:after="120"/>
        <w:jc w:val="both"/>
        <w:rPr>
          <w:rFonts w:ascii="Arial" w:hAnsi="Arial" w:cs="Arial"/>
          <w:b/>
        </w:rPr>
      </w:pPr>
      <w:r w:rsidRPr="00D32C1C">
        <w:rPr>
          <w:rFonts w:ascii="Arial" w:hAnsi="Arial" w:cs="Arial"/>
          <w:b/>
        </w:rPr>
        <w:t>Zadávací dokumentace</w:t>
      </w:r>
    </w:p>
    <w:p w14:paraId="1B8B9032" w14:textId="4127E286" w:rsidR="00AA68EB" w:rsidRDefault="00043F12" w:rsidP="00AA68E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="00AA68EB">
        <w:rPr>
          <w:rFonts w:ascii="Arial" w:hAnsi="Arial" w:cs="Arial"/>
          <w:bCs/>
        </w:rPr>
        <w:t xml:space="preserve">l. 4.1. zadávací dokumentace </w:t>
      </w:r>
      <w:r>
        <w:rPr>
          <w:rFonts w:ascii="Arial" w:hAnsi="Arial" w:cs="Arial"/>
          <w:bCs/>
        </w:rPr>
        <w:t>uvádí</w:t>
      </w:r>
      <w:r w:rsidR="00AA68EB">
        <w:rPr>
          <w:rFonts w:ascii="Arial" w:hAnsi="Arial" w:cs="Arial"/>
          <w:bCs/>
        </w:rPr>
        <w:t>, že z</w:t>
      </w:r>
      <w:r w:rsidR="00AA68EB" w:rsidRPr="00AA68EB">
        <w:rPr>
          <w:rFonts w:ascii="Arial" w:hAnsi="Arial" w:cs="Arial"/>
          <w:bCs/>
        </w:rPr>
        <w:t>ahájení plnění je vázáno na získání stavebního povolení a získání rozhodnutí o poskytnutí finančních prostředků z programu Modernizačního fondu, výzvy RES+ č. 4/2022</w:t>
      </w:r>
      <w:r w:rsidR="00AA68EB">
        <w:rPr>
          <w:rFonts w:ascii="Arial" w:hAnsi="Arial" w:cs="Arial"/>
          <w:bCs/>
        </w:rPr>
        <w:t xml:space="preserve">. </w:t>
      </w:r>
    </w:p>
    <w:p w14:paraId="284DB91C" w14:textId="77777777" w:rsidR="0078532E" w:rsidRPr="0078532E" w:rsidRDefault="0078532E" w:rsidP="0078532E">
      <w:pPr>
        <w:spacing w:after="120"/>
        <w:jc w:val="both"/>
        <w:rPr>
          <w:rFonts w:ascii="Arial" w:hAnsi="Arial" w:cs="Arial"/>
          <w:bCs/>
        </w:rPr>
      </w:pPr>
      <w:r w:rsidRPr="0078532E">
        <w:rPr>
          <w:rFonts w:ascii="Arial" w:hAnsi="Arial" w:cs="Arial"/>
          <w:bCs/>
        </w:rPr>
        <w:t>Termín dokončení a předání kompletní a funkční fotovoltaické elektrárny na základě písemného protokolu zadavateli s vystavenou revizí a po úspěšném provedení všech požadovaných zkoušek bude nejvíce 75 kalendářních dní ode dne zahájení.</w:t>
      </w:r>
    </w:p>
    <w:p w14:paraId="48C32D9B" w14:textId="77777777" w:rsidR="0078532E" w:rsidRPr="0078532E" w:rsidRDefault="0078532E" w:rsidP="0078532E">
      <w:pPr>
        <w:spacing w:after="120"/>
        <w:jc w:val="both"/>
        <w:rPr>
          <w:rFonts w:ascii="Arial" w:hAnsi="Arial" w:cs="Arial"/>
          <w:bCs/>
        </w:rPr>
      </w:pPr>
      <w:r w:rsidRPr="0078532E">
        <w:rPr>
          <w:rFonts w:ascii="Arial" w:hAnsi="Arial" w:cs="Arial"/>
          <w:bCs/>
        </w:rPr>
        <w:t>Termín pro:</w:t>
      </w:r>
    </w:p>
    <w:p w14:paraId="02B96343" w14:textId="77777777" w:rsidR="0078532E" w:rsidRPr="0078532E" w:rsidRDefault="0078532E" w:rsidP="0078532E">
      <w:pPr>
        <w:spacing w:after="120"/>
        <w:jc w:val="both"/>
        <w:rPr>
          <w:rFonts w:ascii="Arial" w:hAnsi="Arial" w:cs="Arial"/>
          <w:bCs/>
        </w:rPr>
      </w:pPr>
      <w:r w:rsidRPr="0078532E">
        <w:rPr>
          <w:rFonts w:ascii="Arial" w:hAnsi="Arial" w:cs="Arial"/>
          <w:bCs/>
        </w:rPr>
        <w:t>(a) zajištění kolaudace pro dokončenou FVE bude 40 kalendářních dní ode dne předání dokončeného díla zadavateli,</w:t>
      </w:r>
    </w:p>
    <w:p w14:paraId="1D21AD8D" w14:textId="77777777" w:rsidR="0078532E" w:rsidRPr="0078532E" w:rsidRDefault="0078532E" w:rsidP="0078532E">
      <w:pPr>
        <w:spacing w:after="120"/>
        <w:jc w:val="both"/>
        <w:rPr>
          <w:rFonts w:ascii="Arial" w:hAnsi="Arial" w:cs="Arial"/>
          <w:bCs/>
        </w:rPr>
      </w:pPr>
      <w:r w:rsidRPr="0078532E">
        <w:rPr>
          <w:rFonts w:ascii="Arial" w:hAnsi="Arial" w:cs="Arial"/>
          <w:bCs/>
        </w:rPr>
        <w:t>(b) zajištění vydání licence ERÚ pro dokončenou FVE, a</w:t>
      </w:r>
    </w:p>
    <w:p w14:paraId="300BB425" w14:textId="77777777" w:rsidR="0078532E" w:rsidRPr="0078532E" w:rsidRDefault="0078532E" w:rsidP="0078532E">
      <w:pPr>
        <w:spacing w:after="120"/>
        <w:jc w:val="both"/>
        <w:rPr>
          <w:rFonts w:ascii="Arial" w:hAnsi="Arial" w:cs="Arial"/>
          <w:bCs/>
        </w:rPr>
      </w:pPr>
      <w:r w:rsidRPr="0078532E">
        <w:rPr>
          <w:rFonts w:ascii="Arial" w:hAnsi="Arial" w:cs="Arial"/>
          <w:bCs/>
        </w:rPr>
        <w:t>(c) zajištění připojení dokončené FVE k distribuční síti,</w:t>
      </w:r>
    </w:p>
    <w:p w14:paraId="0960E21C" w14:textId="4C0AC994" w:rsidR="00AA68EB" w:rsidRPr="00AB1610" w:rsidRDefault="0078532E" w:rsidP="0078532E">
      <w:pPr>
        <w:spacing w:after="120"/>
        <w:jc w:val="both"/>
        <w:rPr>
          <w:rFonts w:ascii="Arial" w:hAnsi="Arial" w:cs="Arial"/>
          <w:bCs/>
        </w:rPr>
      </w:pPr>
      <w:r w:rsidRPr="0078532E">
        <w:rPr>
          <w:rFonts w:ascii="Arial" w:hAnsi="Arial" w:cs="Arial"/>
          <w:bCs/>
        </w:rPr>
        <w:t>oboje nejpozději do 31.12.2023.</w:t>
      </w:r>
    </w:p>
    <w:p w14:paraId="61ACB470" w14:textId="04FCC9D6" w:rsidR="00D32C1C" w:rsidRPr="00D32C1C" w:rsidRDefault="00D32C1C" w:rsidP="00D32C1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čl. 7 zadávací dokumentace bylo uvedeno, že d</w:t>
      </w:r>
      <w:r w:rsidRPr="00D32C1C">
        <w:rPr>
          <w:rFonts w:ascii="Arial" w:hAnsi="Arial" w:cs="Arial"/>
          <w:bCs/>
        </w:rPr>
        <w:t>odavatel spolu s návrhem smlouvy o dílo předloží harmonogram realizace veřejné zakázky, který musí splňovat max. dobu trvání realizace veřejné zakázky v délce 7 měsíců.</w:t>
      </w:r>
    </w:p>
    <w:p w14:paraId="5B83A210" w14:textId="19D09EC6" w:rsidR="00D32C1C" w:rsidRDefault="00D32C1C" w:rsidP="00D32C1C">
      <w:pPr>
        <w:spacing w:after="120"/>
        <w:jc w:val="both"/>
        <w:rPr>
          <w:rFonts w:ascii="Arial" w:hAnsi="Arial" w:cs="Arial"/>
          <w:bCs/>
        </w:rPr>
      </w:pPr>
      <w:r w:rsidRPr="00D32C1C">
        <w:rPr>
          <w:rFonts w:ascii="Arial" w:hAnsi="Arial" w:cs="Arial"/>
          <w:bCs/>
        </w:rPr>
        <w:t>K tomuto účelu je povinen využít Závazný návrh smlouvy o dílo</w:t>
      </w:r>
      <w:r>
        <w:rPr>
          <w:rFonts w:ascii="Arial" w:hAnsi="Arial" w:cs="Arial"/>
          <w:bCs/>
        </w:rPr>
        <w:t xml:space="preserve">, </w:t>
      </w:r>
      <w:r w:rsidRPr="00D32C1C">
        <w:rPr>
          <w:rFonts w:ascii="Arial" w:hAnsi="Arial" w:cs="Arial"/>
          <w:bCs/>
        </w:rPr>
        <w:t>který tvoří přílohu č. 2 této zadávací dokumentace, kterou vyplní a předloží zadavateli jako součást nabídky.</w:t>
      </w:r>
    </w:p>
    <w:p w14:paraId="4DAE815A" w14:textId="63864450" w:rsidR="00D32C1C" w:rsidRPr="00D32C1C" w:rsidRDefault="00D32C1C" w:rsidP="00AB1610">
      <w:pPr>
        <w:spacing w:after="120"/>
        <w:jc w:val="both"/>
        <w:rPr>
          <w:rFonts w:ascii="Arial" w:hAnsi="Arial" w:cs="Arial"/>
          <w:b/>
        </w:rPr>
      </w:pPr>
      <w:r w:rsidRPr="00D32C1C">
        <w:rPr>
          <w:rFonts w:ascii="Arial" w:hAnsi="Arial" w:cs="Arial"/>
          <w:b/>
        </w:rPr>
        <w:t>Smlouva o dílo</w:t>
      </w:r>
    </w:p>
    <w:p w14:paraId="25AD6EF0" w14:textId="44E98560" w:rsidR="00AB1610" w:rsidRPr="00AB1610" w:rsidRDefault="00D32C1C" w:rsidP="00AB16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čl. 2.2 smlouvy o dílo je uvedeno: </w:t>
      </w:r>
    </w:p>
    <w:p w14:paraId="708732FA" w14:textId="17450266" w:rsidR="00AB1610" w:rsidRDefault="00D32C1C" w:rsidP="00AB1610">
      <w:pPr>
        <w:spacing w:after="120"/>
        <w:jc w:val="both"/>
        <w:rPr>
          <w:rFonts w:ascii="Arial" w:hAnsi="Arial" w:cs="Arial"/>
          <w:bCs/>
        </w:rPr>
      </w:pPr>
      <w:r w:rsidRPr="00D32C1C">
        <w:rPr>
          <w:rFonts w:ascii="Arial" w:hAnsi="Arial" w:cs="Arial"/>
          <w:bCs/>
        </w:rPr>
        <w:t>Lhůta pro započetí s prováděním Díla počne běžet ode dne (viz bod 1 Harmonogramu), kdy (i) bude Zhotovitel ze strany Objednatele písemně vyrozuměn o přijetí rozhodnutí o poskytnutí finanční podpory a (</w:t>
      </w:r>
      <w:proofErr w:type="spellStart"/>
      <w:r w:rsidRPr="00D32C1C">
        <w:rPr>
          <w:rFonts w:ascii="Arial" w:hAnsi="Arial" w:cs="Arial"/>
          <w:bCs/>
        </w:rPr>
        <w:t>ii</w:t>
      </w:r>
      <w:proofErr w:type="spellEnd"/>
      <w:r w:rsidRPr="00D32C1C">
        <w:rPr>
          <w:rFonts w:ascii="Arial" w:hAnsi="Arial" w:cs="Arial"/>
          <w:bCs/>
        </w:rPr>
        <w:t>) Zhotoviteli bude potvrzena připojitelnost Místa provedení (jak definováno níže) k distribuční soustavě, dle toho, co nastane později. Objednatel může Zhotovitele vyzvat k započetí s prováděním Díla i před obdržením, resp. zcela bez obdržení, rozhodnutí o poskytnutí finanční podpory. V takovém případě se počíná lhůta pro započetí s prováděním Díla ode dne, kdy (i) dojde k doručení příslušné písemné výzvy k zahájení provádění Díla Zhotoviteli a (</w:t>
      </w:r>
      <w:proofErr w:type="spellStart"/>
      <w:r w:rsidRPr="00D32C1C">
        <w:rPr>
          <w:rFonts w:ascii="Arial" w:hAnsi="Arial" w:cs="Arial"/>
          <w:bCs/>
        </w:rPr>
        <w:t>ii</w:t>
      </w:r>
      <w:proofErr w:type="spellEnd"/>
      <w:r w:rsidRPr="00D32C1C">
        <w:rPr>
          <w:rFonts w:ascii="Arial" w:hAnsi="Arial" w:cs="Arial"/>
          <w:bCs/>
        </w:rPr>
        <w:t>) Zhotoviteli bude potvrzena připojitelnost Místa provedení k distribuční soustavě a, dle toho, co nastane později.</w:t>
      </w:r>
    </w:p>
    <w:p w14:paraId="13DA41D2" w14:textId="161F1BD8" w:rsidR="00D32C1C" w:rsidRDefault="00D32C1C" w:rsidP="00AB16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6.1 smlouvy o dílo stanoví:</w:t>
      </w:r>
    </w:p>
    <w:p w14:paraId="37801ACD" w14:textId="77777777" w:rsidR="00D32C1C" w:rsidRPr="00D32C1C" w:rsidRDefault="00D32C1C" w:rsidP="00D32C1C">
      <w:pPr>
        <w:spacing w:after="120"/>
        <w:jc w:val="both"/>
        <w:rPr>
          <w:rFonts w:ascii="Arial" w:hAnsi="Arial" w:cs="Arial"/>
          <w:bCs/>
        </w:rPr>
      </w:pPr>
      <w:r w:rsidRPr="00D32C1C">
        <w:rPr>
          <w:rFonts w:ascii="Arial" w:hAnsi="Arial" w:cs="Arial"/>
          <w:bCs/>
        </w:rPr>
        <w:t xml:space="preserve">Veškeré případné změny Díla musejí být písemně odsouhlaseny (přičemž za písemnou formu se pro tyto účely výslovně považuje i e-mailová komunikace) ze strany obou Smluvních stran. </w:t>
      </w:r>
      <w:r w:rsidRPr="00D32C1C">
        <w:rPr>
          <w:rFonts w:ascii="Arial" w:hAnsi="Arial" w:cs="Arial"/>
          <w:bCs/>
        </w:rPr>
        <w:lastRenderedPageBreak/>
        <w:t xml:space="preserve">Do písemného odsouhlasení změn včetně jejich ocenění není Zhotovitel jakékoliv změny Díla oprávněn ani povinen provést </w:t>
      </w:r>
    </w:p>
    <w:p w14:paraId="313E141B" w14:textId="2219BA7F" w:rsidR="00D32C1C" w:rsidRDefault="00D32C1C" w:rsidP="00D32C1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6.3 smlouvy o dílo stanoví:</w:t>
      </w:r>
    </w:p>
    <w:p w14:paraId="5AB99DB5" w14:textId="085FE3B2" w:rsidR="00D32C1C" w:rsidRPr="00D32C1C" w:rsidRDefault="00D32C1C" w:rsidP="00D32C1C">
      <w:pPr>
        <w:spacing w:after="120"/>
        <w:jc w:val="both"/>
        <w:rPr>
          <w:rFonts w:ascii="Arial" w:hAnsi="Arial" w:cs="Arial"/>
          <w:bCs/>
        </w:rPr>
      </w:pPr>
      <w:r w:rsidRPr="00D32C1C">
        <w:rPr>
          <w:rFonts w:ascii="Arial" w:hAnsi="Arial" w:cs="Arial"/>
          <w:bCs/>
        </w:rPr>
        <w:t>Objednatel je oprávněn požádat Zhotovitele o provedení dalších změn Díla (ve smyslu Objednatelem vyžádané změny Díla) souvisejících s původním Dílem.</w:t>
      </w:r>
    </w:p>
    <w:p w14:paraId="713B878C" w14:textId="2675E4EF" w:rsidR="00D32C1C" w:rsidRDefault="00D32C1C" w:rsidP="00D32C1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6.6 smlouvy o dílo stanoví:</w:t>
      </w:r>
    </w:p>
    <w:p w14:paraId="4EC4A85F" w14:textId="66E8FD44" w:rsidR="00D32C1C" w:rsidRDefault="00D32C1C" w:rsidP="00AB1610">
      <w:pPr>
        <w:spacing w:after="120"/>
        <w:jc w:val="both"/>
        <w:rPr>
          <w:rFonts w:ascii="Arial" w:hAnsi="Arial" w:cs="Arial"/>
          <w:bCs/>
        </w:rPr>
      </w:pPr>
      <w:r w:rsidRPr="00D32C1C">
        <w:rPr>
          <w:rFonts w:ascii="Arial" w:hAnsi="Arial" w:cs="Arial"/>
          <w:bCs/>
        </w:rPr>
        <w:t>Do vzájemného odsouhlasení změn Díla ze strany obou Smluvních stran, resp. do obdržení rozhodnutí Objednatele o odmítnutí víceprací, je Zhotovitel oprávněn pozastavit provádění Díla a změn.</w:t>
      </w:r>
    </w:p>
    <w:p w14:paraId="0A148AD1" w14:textId="05AB0185" w:rsidR="00D32C1C" w:rsidRDefault="00D32C1C" w:rsidP="00D32C1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6.7 smlouvy o dílo stanoví:</w:t>
      </w:r>
    </w:p>
    <w:p w14:paraId="674D594E" w14:textId="487ACBD6" w:rsidR="00D32C1C" w:rsidRDefault="00D32C1C" w:rsidP="00AB1610">
      <w:pPr>
        <w:spacing w:after="120"/>
        <w:jc w:val="both"/>
        <w:rPr>
          <w:rFonts w:ascii="Arial" w:hAnsi="Arial" w:cs="Arial"/>
          <w:bCs/>
        </w:rPr>
      </w:pPr>
      <w:r w:rsidRPr="00D32C1C">
        <w:rPr>
          <w:rFonts w:ascii="Arial" w:hAnsi="Arial" w:cs="Arial"/>
          <w:bCs/>
        </w:rPr>
        <w:t>Doba zhotovení Díla stanovená dle Harmonogramu se přiměřeně prodlužuje o dobu nezbytnou k provedení změn Díla a dobu, po kterou byly práce na Díle pozastaveny v souladu s předchozím odstavcem</w:t>
      </w:r>
      <w:r>
        <w:rPr>
          <w:rFonts w:ascii="Arial" w:hAnsi="Arial" w:cs="Arial"/>
          <w:bCs/>
        </w:rPr>
        <w:t>.</w:t>
      </w:r>
    </w:p>
    <w:p w14:paraId="6C6A5C41" w14:textId="1D8C218D" w:rsidR="006F380C" w:rsidRDefault="006F380C" w:rsidP="00AB16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Čl. 12.1 smlouvy o dílo stanoví: </w:t>
      </w:r>
      <w:r w:rsidRPr="006F380C">
        <w:rPr>
          <w:rFonts w:ascii="Arial" w:hAnsi="Arial" w:cs="Arial"/>
          <w:bCs/>
        </w:rPr>
        <w:t>Za případy vyšší moci jsou považovány takové neobvyklé okolnosti, které brání trvale nebo dočasně plnění Smlouvou stanovených povinností, které nastanou po nabytí účinnosti této Smlouvy, a které nemohly být kteroukoliv Smluvní stranou objektivně předvídány nebo odvráceny bez vynaložení nepřiměřených nákladů („Vyšší moc“).</w:t>
      </w:r>
    </w:p>
    <w:p w14:paraId="44C21560" w14:textId="18A2B21B" w:rsidR="006F380C" w:rsidRDefault="006F380C" w:rsidP="00AB16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12.2 smlouvy o dílo stanoví:</w:t>
      </w:r>
      <w:r w:rsidRPr="006F380C">
        <w:rPr>
          <w:rFonts w:ascii="Arial" w:hAnsi="Arial" w:cs="Arial"/>
          <w:bCs/>
        </w:rPr>
        <w:t xml:space="preserve"> Smluvní strana, které je tímto (tj. působením Vyšší moci) znemožněno plnění smluvních povinností, bude neprodleně informovat při vzniku takových okolností druhou smluvní stranu a předloží jí vhodné doklady a informace o tom, že tyto okolnosti mají podstatný vliv na plnění smluvních povinností. O dobu trvání Vyšší moci se odpovídajícím způsobem prodlužuje doba pro dokončení Díla</w:t>
      </w:r>
      <w:r>
        <w:rPr>
          <w:rFonts w:ascii="Arial" w:hAnsi="Arial" w:cs="Arial"/>
          <w:bCs/>
        </w:rPr>
        <w:t>.</w:t>
      </w:r>
    </w:p>
    <w:p w14:paraId="2ECEB148" w14:textId="7B7265BB" w:rsidR="006F380C" w:rsidRDefault="006F380C" w:rsidP="00AB16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Čl. 12.3 smlouvy o dílo stanoví:</w:t>
      </w:r>
      <w:r w:rsidRPr="006F380C">
        <w:rPr>
          <w:rFonts w:ascii="Arial" w:hAnsi="Arial" w:cs="Arial"/>
          <w:bCs/>
        </w:rPr>
        <w:t xml:space="preserve"> V případě, že působení Vyšší moci trvá déle než třicet (30) dní nebo je-li v důsledku jejího působení zcela vyloučena možnost plnit Smlouvu řádně, vyjasní si obě Smluvní strany další postup, resp. úpravu smluvních povinností směřující k minimalizaci nákladů na řešení situace</w:t>
      </w:r>
      <w:r>
        <w:rPr>
          <w:rFonts w:ascii="Arial" w:hAnsi="Arial" w:cs="Arial"/>
          <w:bCs/>
        </w:rPr>
        <w:t>-</w:t>
      </w:r>
    </w:p>
    <w:p w14:paraId="680D2585" w14:textId="0C507172" w:rsidR="00D32C1C" w:rsidRDefault="00107E0D" w:rsidP="00AB1610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</w:t>
      </w:r>
      <w:r w:rsidR="00D32C1C">
        <w:rPr>
          <w:rFonts w:ascii="Arial" w:hAnsi="Arial" w:cs="Arial"/>
          <w:bCs/>
        </w:rPr>
        <w:t xml:space="preserve"> smlouvy o dílo obsahuje následující harmonogram</w:t>
      </w:r>
    </w:p>
    <w:p w14:paraId="3B4AC007" w14:textId="77777777" w:rsidR="00413C17" w:rsidRDefault="00413C17" w:rsidP="00AB1610">
      <w:pPr>
        <w:spacing w:after="120"/>
        <w:jc w:val="both"/>
        <w:rPr>
          <w:rFonts w:ascii="Arial" w:hAnsi="Arial" w:cs="Arial"/>
          <w:bCs/>
        </w:rPr>
      </w:pPr>
    </w:p>
    <w:tbl>
      <w:tblPr>
        <w:tblW w:w="0" w:type="auto"/>
        <w:tblInd w:w="8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3686"/>
        <w:gridCol w:w="1417"/>
      </w:tblGrid>
      <w:tr w:rsidR="00D32C1C" w:rsidRPr="00D32C1C" w14:paraId="3A3B2C4C" w14:textId="77777777" w:rsidTr="00413C17">
        <w:trPr>
          <w:trHeight w:val="100"/>
        </w:trPr>
        <w:tc>
          <w:tcPr>
            <w:tcW w:w="21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1D5093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/>
                <w:bCs/>
              </w:rPr>
              <w:t xml:space="preserve">HARMONOGRAM </w:t>
            </w:r>
            <w:r w:rsidRPr="00D32C1C">
              <w:rPr>
                <w:rFonts w:ascii="Arial" w:hAnsi="Arial" w:cs="Arial"/>
                <w:bCs/>
              </w:rPr>
              <w:t xml:space="preserve">1. 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8E674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Vypracování realizační PD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9DBBD2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30 dnů </w:t>
            </w:r>
          </w:p>
        </w:tc>
      </w:tr>
      <w:tr w:rsidR="00D32C1C" w:rsidRPr="00D32C1C" w14:paraId="1BDEE110" w14:textId="77777777" w:rsidTr="00413C17">
        <w:trPr>
          <w:trHeight w:val="100"/>
        </w:trPr>
        <w:tc>
          <w:tcPr>
            <w:tcW w:w="21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1F449E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2. 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80F2E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Realizace díla - stavba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8B30E0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75 dnů </w:t>
            </w:r>
          </w:p>
        </w:tc>
      </w:tr>
      <w:tr w:rsidR="00D32C1C" w:rsidRPr="00D32C1C" w14:paraId="3ADA0688" w14:textId="77777777" w:rsidTr="00413C17">
        <w:trPr>
          <w:trHeight w:val="100"/>
        </w:trPr>
        <w:tc>
          <w:tcPr>
            <w:tcW w:w="21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6CD490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3. 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38987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Zajištění kolaudace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5FEB7E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40 dnů </w:t>
            </w:r>
          </w:p>
        </w:tc>
      </w:tr>
      <w:tr w:rsidR="00D32C1C" w:rsidRPr="00D32C1C" w14:paraId="56D7BCFB" w14:textId="77777777" w:rsidTr="00413C17">
        <w:trPr>
          <w:trHeight w:val="100"/>
        </w:trPr>
        <w:tc>
          <w:tcPr>
            <w:tcW w:w="21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396D5D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4. 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58073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Zajištění vydání licence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BD7253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30 dnů </w:t>
            </w:r>
          </w:p>
        </w:tc>
      </w:tr>
      <w:tr w:rsidR="00D32C1C" w:rsidRPr="00D32C1C" w14:paraId="39FE6758" w14:textId="77777777" w:rsidTr="00413C17">
        <w:trPr>
          <w:trHeight w:val="100"/>
        </w:trPr>
        <w:tc>
          <w:tcPr>
            <w:tcW w:w="21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79D96D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5. </w:t>
            </w:r>
          </w:p>
        </w:tc>
        <w:tc>
          <w:tcPr>
            <w:tcW w:w="36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7082F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Zajištění připojení FVE k DS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21C7E4" w14:textId="77777777" w:rsidR="00D32C1C" w:rsidRPr="00D32C1C" w:rsidRDefault="00D32C1C" w:rsidP="00D32C1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D32C1C">
              <w:rPr>
                <w:rFonts w:ascii="Arial" w:hAnsi="Arial" w:cs="Arial"/>
                <w:bCs/>
              </w:rPr>
              <w:t xml:space="preserve">30 dnů </w:t>
            </w:r>
          </w:p>
        </w:tc>
      </w:tr>
    </w:tbl>
    <w:p w14:paraId="79EB97B2" w14:textId="77777777" w:rsidR="00413C17" w:rsidRDefault="00413C17" w:rsidP="00AB1610">
      <w:pPr>
        <w:spacing w:after="120"/>
        <w:jc w:val="both"/>
        <w:rPr>
          <w:rFonts w:ascii="Arial" w:hAnsi="Arial" w:cs="Arial"/>
          <w:bCs/>
        </w:rPr>
      </w:pPr>
    </w:p>
    <w:p w14:paraId="36AED725" w14:textId="52A4089F" w:rsidR="00D32C1C" w:rsidRDefault="00590665" w:rsidP="00AB1610">
      <w:pPr>
        <w:spacing w:after="120"/>
        <w:jc w:val="both"/>
        <w:rPr>
          <w:rFonts w:ascii="Arial" w:hAnsi="Arial" w:cs="Arial"/>
          <w:bCs/>
        </w:rPr>
      </w:pPr>
      <w:r w:rsidRPr="00590665">
        <w:rPr>
          <w:rFonts w:ascii="Arial" w:hAnsi="Arial" w:cs="Arial"/>
          <w:bCs/>
        </w:rPr>
        <w:t xml:space="preserve">Určení času uvedená v této příloze 2 Smlouvy jsou pouze indikativní a ilustrují předpokládaný postup provádění Díla, přičemž pro Zhotovitele je závazné pouze, aby Zhotovitel provedl Dílo nejpozději v termínu stanovenému v milníku pro Dokončení Díla dle čl. 4.1 Zadávací dokumentace veřejné zakázky, </w:t>
      </w:r>
      <w:r w:rsidR="00D7560C">
        <w:rPr>
          <w:rFonts w:ascii="Arial" w:hAnsi="Arial" w:cs="Arial"/>
          <w:bCs/>
        </w:rPr>
        <w:t xml:space="preserve">milníku </w:t>
      </w:r>
      <w:r w:rsidRPr="00590665">
        <w:rPr>
          <w:rFonts w:ascii="Arial" w:hAnsi="Arial" w:cs="Arial"/>
          <w:bCs/>
        </w:rPr>
        <w:t>j. do 31.12.2023.</w:t>
      </w:r>
    </w:p>
    <w:p w14:paraId="7E4C5D4B" w14:textId="77777777" w:rsidR="00413C17" w:rsidRPr="00AB1610" w:rsidRDefault="00413C17" w:rsidP="00AB1610">
      <w:pPr>
        <w:spacing w:after="120"/>
        <w:jc w:val="both"/>
        <w:rPr>
          <w:rFonts w:ascii="Arial" w:hAnsi="Arial" w:cs="Arial"/>
          <w:bCs/>
        </w:rPr>
      </w:pPr>
    </w:p>
    <w:p w14:paraId="544FEB49" w14:textId="0F47DD6A" w:rsidR="00AB1610" w:rsidRDefault="00AB1610" w:rsidP="00401FBA">
      <w:pPr>
        <w:tabs>
          <w:tab w:val="left" w:pos="3686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III. </w:t>
      </w:r>
    </w:p>
    <w:p w14:paraId="14F23FB8" w14:textId="7CE47115" w:rsidR="006F0EF7" w:rsidRPr="00C12092" w:rsidRDefault="006F0EF7" w:rsidP="00401FBA">
      <w:pPr>
        <w:tabs>
          <w:tab w:val="left" w:pos="3686"/>
        </w:tabs>
        <w:spacing w:after="120" w:line="240" w:lineRule="auto"/>
        <w:jc w:val="center"/>
        <w:rPr>
          <w:rFonts w:ascii="Arial" w:hAnsi="Arial" w:cs="Arial"/>
        </w:rPr>
      </w:pPr>
      <w:r w:rsidRPr="00C12092">
        <w:rPr>
          <w:rFonts w:ascii="Arial" w:hAnsi="Arial" w:cs="Arial"/>
          <w:b/>
        </w:rPr>
        <w:t>P</w:t>
      </w:r>
      <w:r w:rsidR="00590665">
        <w:rPr>
          <w:rFonts w:ascii="Arial" w:hAnsi="Arial" w:cs="Arial"/>
          <w:b/>
        </w:rPr>
        <w:t>rohlášení smluvních stran a p</w:t>
      </w:r>
      <w:r w:rsidRPr="00C12092">
        <w:rPr>
          <w:rFonts w:ascii="Arial" w:hAnsi="Arial" w:cs="Arial"/>
          <w:b/>
        </w:rPr>
        <w:t>ředmět dodatku</w:t>
      </w:r>
    </w:p>
    <w:p w14:paraId="469F50E4" w14:textId="77777777" w:rsidR="00043F12" w:rsidRDefault="00043F12" w:rsidP="00B22CEC">
      <w:pPr>
        <w:spacing w:after="120"/>
        <w:jc w:val="both"/>
        <w:rPr>
          <w:rFonts w:ascii="Arial" w:hAnsi="Arial" w:cs="Arial"/>
        </w:rPr>
      </w:pPr>
    </w:p>
    <w:p w14:paraId="08034504" w14:textId="33DDDD91" w:rsidR="00043F12" w:rsidRDefault="00043F12" w:rsidP="00B22CEC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Smluvní stran</w:t>
      </w:r>
      <w:r w:rsidR="002458B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prohlašují, že za zásadní berou fakt, že objednatel jako zadavatel veřejné zakázky</w:t>
      </w:r>
      <w:r>
        <w:rPr>
          <w:rFonts w:ascii="Arial" w:hAnsi="Arial" w:cs="Arial"/>
          <w:bCs/>
        </w:rPr>
        <w:t>:</w:t>
      </w:r>
    </w:p>
    <w:p w14:paraId="3A9F7115" w14:textId="399AF2CD" w:rsidR="00043F12" w:rsidRPr="00416A5B" w:rsidRDefault="00043F12" w:rsidP="00043F12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16A5B">
        <w:rPr>
          <w:rFonts w:ascii="Arial" w:hAnsi="Arial" w:cs="Arial"/>
          <w:bCs/>
          <w:sz w:val="22"/>
          <w:szCs w:val="22"/>
        </w:rPr>
        <w:t xml:space="preserve">Předpokládal zahájení plnění ne později než 1.9.2023, pročež pro zajištění </w:t>
      </w:r>
      <w:r w:rsidR="00FC14DB" w:rsidRPr="00416A5B">
        <w:rPr>
          <w:rFonts w:ascii="Arial" w:hAnsi="Arial" w:cs="Arial"/>
          <w:bCs/>
          <w:sz w:val="22"/>
          <w:szCs w:val="22"/>
        </w:rPr>
        <w:t>vydání</w:t>
      </w:r>
      <w:r w:rsidRPr="00416A5B">
        <w:rPr>
          <w:rFonts w:ascii="Arial" w:hAnsi="Arial" w:cs="Arial"/>
          <w:bCs/>
          <w:sz w:val="22"/>
          <w:szCs w:val="22"/>
        </w:rPr>
        <w:t xml:space="preserve"> licence ERÚ a zajištění připojení dokončené FVE k distribuční síti </w:t>
      </w:r>
      <w:r w:rsidR="00FC14DB" w:rsidRPr="00416A5B">
        <w:rPr>
          <w:rFonts w:ascii="Arial" w:hAnsi="Arial" w:cs="Arial"/>
          <w:bCs/>
          <w:sz w:val="22"/>
          <w:szCs w:val="22"/>
        </w:rPr>
        <w:t>vázal lhůtou do 31.12.2023</w:t>
      </w:r>
      <w:r w:rsidRPr="00416A5B">
        <w:rPr>
          <w:rFonts w:ascii="Arial" w:hAnsi="Arial" w:cs="Arial"/>
          <w:bCs/>
          <w:sz w:val="22"/>
          <w:szCs w:val="22"/>
        </w:rPr>
        <w:t xml:space="preserve">  </w:t>
      </w:r>
    </w:p>
    <w:p w14:paraId="6BE23192" w14:textId="10F2FC6F" w:rsidR="00043F12" w:rsidRPr="00416A5B" w:rsidRDefault="00043F12" w:rsidP="00043F12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16A5B">
        <w:rPr>
          <w:rFonts w:ascii="Arial" w:hAnsi="Arial" w:cs="Arial"/>
          <w:bCs/>
          <w:sz w:val="22"/>
          <w:szCs w:val="22"/>
        </w:rPr>
        <w:t xml:space="preserve">vázal zahájení plnění </w:t>
      </w:r>
      <w:r w:rsidR="00FC14DB" w:rsidRPr="00416A5B">
        <w:rPr>
          <w:rFonts w:ascii="Arial" w:hAnsi="Arial" w:cs="Arial"/>
          <w:bCs/>
          <w:sz w:val="22"/>
          <w:szCs w:val="22"/>
        </w:rPr>
        <w:t xml:space="preserve">smlouvy </w:t>
      </w:r>
      <w:r w:rsidRPr="00416A5B">
        <w:rPr>
          <w:rFonts w:ascii="Arial" w:hAnsi="Arial" w:cs="Arial"/>
          <w:bCs/>
          <w:sz w:val="22"/>
          <w:szCs w:val="22"/>
        </w:rPr>
        <w:t>na získání stavebního povolení a získání rozhodnutí o poskytnutí finančních prostředků z programu Modernizačního fondu, výzvy RES+ č. 4/2022</w:t>
      </w:r>
    </w:p>
    <w:p w14:paraId="5027926C" w14:textId="29B9A43C" w:rsidR="00043F12" w:rsidRPr="006F380C" w:rsidRDefault="00FC14DB" w:rsidP="00EF7E75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6F380C">
        <w:rPr>
          <w:rFonts w:ascii="Arial" w:hAnsi="Arial" w:cs="Arial"/>
          <w:bCs/>
          <w:sz w:val="22"/>
          <w:szCs w:val="22"/>
        </w:rPr>
        <w:t>celkovou dobu trvání realizace – harmonogram limitoval max. dobou trvání v délce 7 měsíců</w:t>
      </w:r>
      <w:r w:rsidR="006F380C" w:rsidRPr="006F380C">
        <w:rPr>
          <w:rFonts w:ascii="Arial" w:hAnsi="Arial" w:cs="Arial"/>
          <w:bCs/>
          <w:sz w:val="22"/>
          <w:szCs w:val="22"/>
        </w:rPr>
        <w:t>, přičemž současně p</w:t>
      </w:r>
      <w:r w:rsidR="00EB6433">
        <w:rPr>
          <w:rFonts w:ascii="Arial" w:hAnsi="Arial" w:cs="Arial"/>
          <w:bCs/>
          <w:sz w:val="22"/>
          <w:szCs w:val="22"/>
        </w:rPr>
        <w:t>ožadoval dokončení díla ve lhůtě</w:t>
      </w:r>
      <w:r w:rsidR="006F380C" w:rsidRPr="006F380C">
        <w:rPr>
          <w:rFonts w:ascii="Arial" w:hAnsi="Arial" w:cs="Arial"/>
          <w:bCs/>
          <w:sz w:val="22"/>
          <w:szCs w:val="22"/>
        </w:rPr>
        <w:t xml:space="preserve"> 75 dní od dne zahájení realizace.</w:t>
      </w:r>
      <w:r w:rsidRPr="006F380C">
        <w:rPr>
          <w:rFonts w:ascii="Arial" w:hAnsi="Arial" w:cs="Arial"/>
          <w:bCs/>
          <w:sz w:val="22"/>
          <w:szCs w:val="22"/>
        </w:rPr>
        <w:t xml:space="preserve"> </w:t>
      </w:r>
    </w:p>
    <w:p w14:paraId="2627FFEE" w14:textId="77777777" w:rsidR="00FC14DB" w:rsidRPr="00A81DC7" w:rsidRDefault="00FC14DB" w:rsidP="00B22CEC">
      <w:pPr>
        <w:spacing w:after="120"/>
        <w:jc w:val="both"/>
        <w:rPr>
          <w:rFonts w:ascii="Arial" w:hAnsi="Arial" w:cs="Arial"/>
        </w:rPr>
      </w:pPr>
    </w:p>
    <w:p w14:paraId="2C832CB2" w14:textId="34A3CA02" w:rsidR="004C1DDC" w:rsidRDefault="00FC14DB" w:rsidP="00B22C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nabytí účinnosti smlouvy o dílo a postup dle čl. 2.2., kdy objednatel využil postupu, kdy k zahájení realizace přistoupil písemnou výzvou</w:t>
      </w:r>
      <w:r w:rsidR="00A81D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tedy počátek běhu </w:t>
      </w:r>
      <w:r w:rsidR="00A81D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bod 1 Harmonogramu se počítá ode dne </w:t>
      </w:r>
      <w:r w:rsidRPr="00D32C1C">
        <w:rPr>
          <w:rFonts w:ascii="Arial" w:hAnsi="Arial" w:cs="Arial"/>
          <w:bCs/>
        </w:rPr>
        <w:t>doručení příslušné písemné výzvy k</w:t>
      </w:r>
      <w:r w:rsidR="00A81DC7">
        <w:rPr>
          <w:rFonts w:ascii="Arial" w:hAnsi="Arial" w:cs="Arial"/>
          <w:bCs/>
        </w:rPr>
        <w:t> </w:t>
      </w:r>
      <w:r w:rsidRPr="00D32C1C">
        <w:rPr>
          <w:rFonts w:ascii="Arial" w:hAnsi="Arial" w:cs="Arial"/>
          <w:bCs/>
        </w:rPr>
        <w:t xml:space="preserve">zahájení provádění </w:t>
      </w:r>
      <w:r>
        <w:rPr>
          <w:rFonts w:ascii="Arial" w:hAnsi="Arial" w:cs="Arial"/>
          <w:bCs/>
        </w:rPr>
        <w:t>d</w:t>
      </w:r>
      <w:r w:rsidRPr="00D32C1C">
        <w:rPr>
          <w:rFonts w:ascii="Arial" w:hAnsi="Arial" w:cs="Arial"/>
          <w:bCs/>
        </w:rPr>
        <w:t xml:space="preserve">íla </w:t>
      </w:r>
      <w:r>
        <w:rPr>
          <w:rFonts w:ascii="Arial" w:hAnsi="Arial" w:cs="Arial"/>
          <w:bCs/>
        </w:rPr>
        <w:t>z</w:t>
      </w:r>
      <w:r w:rsidRPr="00D32C1C">
        <w:rPr>
          <w:rFonts w:ascii="Arial" w:hAnsi="Arial" w:cs="Arial"/>
          <w:bCs/>
        </w:rPr>
        <w:t>hotoviteli</w:t>
      </w:r>
      <w:r w:rsidR="006F380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A81DC7">
        <w:rPr>
          <w:rFonts w:ascii="Arial" w:hAnsi="Arial" w:cs="Arial"/>
          <w:bCs/>
        </w:rPr>
        <w:t xml:space="preserve">není </w:t>
      </w:r>
      <w:r w:rsidR="00F91EC8">
        <w:rPr>
          <w:rFonts w:ascii="Arial" w:hAnsi="Arial" w:cs="Arial"/>
        </w:rPr>
        <w:t xml:space="preserve">možné objektivně dodržet </w:t>
      </w:r>
      <w:r w:rsidR="00F91EC8" w:rsidRPr="00F91EC8">
        <w:rPr>
          <w:rFonts w:ascii="Arial" w:hAnsi="Arial" w:cs="Arial"/>
        </w:rPr>
        <w:t xml:space="preserve">milník pro </w:t>
      </w:r>
      <w:r>
        <w:rPr>
          <w:rFonts w:ascii="Arial" w:hAnsi="Arial" w:cs="Arial"/>
        </w:rPr>
        <w:t>d</w:t>
      </w:r>
      <w:r w:rsidR="00F91EC8" w:rsidRPr="00F91EC8">
        <w:rPr>
          <w:rFonts w:ascii="Arial" w:hAnsi="Arial" w:cs="Arial"/>
        </w:rPr>
        <w:t xml:space="preserve">okončení </w:t>
      </w:r>
      <w:r>
        <w:rPr>
          <w:rFonts w:ascii="Arial" w:hAnsi="Arial" w:cs="Arial"/>
        </w:rPr>
        <w:t>d</w:t>
      </w:r>
      <w:r w:rsidR="00F91EC8" w:rsidRPr="00F91EC8">
        <w:rPr>
          <w:rFonts w:ascii="Arial" w:hAnsi="Arial" w:cs="Arial"/>
        </w:rPr>
        <w:t>íla dle čl. 4.1 Zadávací dokumentace</w:t>
      </w:r>
      <w:r w:rsidR="00F91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body b) a c)</w:t>
      </w:r>
      <w:r w:rsidR="006F380C">
        <w:rPr>
          <w:rFonts w:ascii="Arial" w:hAnsi="Arial" w:cs="Arial"/>
        </w:rPr>
        <w:t>, a to</w:t>
      </w:r>
      <w:r>
        <w:rPr>
          <w:rFonts w:ascii="Arial" w:hAnsi="Arial" w:cs="Arial"/>
        </w:rPr>
        <w:t xml:space="preserve"> </w:t>
      </w:r>
      <w:r w:rsidR="00F91EC8">
        <w:rPr>
          <w:rFonts w:ascii="Arial" w:hAnsi="Arial" w:cs="Arial"/>
        </w:rPr>
        <w:t xml:space="preserve">do 31.12.2023. </w:t>
      </w:r>
    </w:p>
    <w:p w14:paraId="7CAD8337" w14:textId="3ED0AA60" w:rsidR="00B24E1B" w:rsidRDefault="00AC407D" w:rsidP="00B22C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podpisem tohoto dodatku potvrzují, že harmonogram předložený zhotovitelem,</w:t>
      </w:r>
      <w:r w:rsidR="002458B5">
        <w:rPr>
          <w:rFonts w:ascii="Arial" w:hAnsi="Arial" w:cs="Arial"/>
        </w:rPr>
        <w:t xml:space="preserve"> tak jak je obsahem přílohy č. 2</w:t>
      </w:r>
      <w:r>
        <w:rPr>
          <w:rFonts w:ascii="Arial" w:hAnsi="Arial" w:cs="Arial"/>
        </w:rPr>
        <w:t xml:space="preserve"> smlouvy o dílo respektuje požadavek, aby maximální doba trvání realizace zakázky nepřesáhla 7 měsíců; v součtu harmonogram obsahuje dobu realizace v délce trvání 205 dnů.</w:t>
      </w:r>
    </w:p>
    <w:p w14:paraId="5355DA33" w14:textId="279F25C7" w:rsidR="0045580C" w:rsidRDefault="00AC407D" w:rsidP="00B22C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podpisem tohoto dodatku potvrzují, že v souladu s čl. </w:t>
      </w:r>
      <w:r w:rsidR="0045580C">
        <w:rPr>
          <w:rFonts w:ascii="Arial" w:hAnsi="Arial" w:cs="Arial"/>
        </w:rPr>
        <w:t>12.1</w:t>
      </w:r>
      <w:r w:rsidR="00D7560C">
        <w:rPr>
          <w:rFonts w:ascii="Arial" w:hAnsi="Arial" w:cs="Arial"/>
        </w:rPr>
        <w:t xml:space="preserve"> smlouvy o dílo</w:t>
      </w:r>
      <w:r>
        <w:rPr>
          <w:rFonts w:ascii="Arial" w:hAnsi="Arial" w:cs="Arial"/>
        </w:rPr>
        <w:t xml:space="preserve"> </w:t>
      </w:r>
      <w:r w:rsidR="0045580C">
        <w:rPr>
          <w:rFonts w:ascii="Arial" w:hAnsi="Arial" w:cs="Arial"/>
        </w:rPr>
        <w:t xml:space="preserve">nastaly </w:t>
      </w:r>
      <w:r w:rsidR="0045580C" w:rsidRPr="0045580C">
        <w:rPr>
          <w:rFonts w:ascii="Arial" w:hAnsi="Arial" w:cs="Arial"/>
        </w:rPr>
        <w:t xml:space="preserve">okolnosti, </w:t>
      </w:r>
      <w:r w:rsidR="0045580C" w:rsidRPr="00EB6433">
        <w:rPr>
          <w:rFonts w:ascii="Arial" w:hAnsi="Arial" w:cs="Arial"/>
        </w:rPr>
        <w:t>které bránily</w:t>
      </w:r>
      <w:r w:rsidR="006F380C" w:rsidRPr="00EB6433">
        <w:rPr>
          <w:rFonts w:ascii="Arial" w:hAnsi="Arial" w:cs="Arial"/>
        </w:rPr>
        <w:t>/brání</w:t>
      </w:r>
      <w:r w:rsidR="0045580C" w:rsidRPr="0045580C">
        <w:rPr>
          <w:rFonts w:ascii="Arial" w:hAnsi="Arial" w:cs="Arial"/>
        </w:rPr>
        <w:t xml:space="preserve"> dočasně plnění </w:t>
      </w:r>
      <w:r w:rsidR="0045580C">
        <w:rPr>
          <w:rFonts w:ascii="Arial" w:hAnsi="Arial" w:cs="Arial"/>
        </w:rPr>
        <w:t>s</w:t>
      </w:r>
      <w:r w:rsidR="0045580C" w:rsidRPr="0045580C">
        <w:rPr>
          <w:rFonts w:ascii="Arial" w:hAnsi="Arial" w:cs="Arial"/>
        </w:rPr>
        <w:t xml:space="preserve">mlouvou </w:t>
      </w:r>
      <w:r w:rsidR="0045580C">
        <w:rPr>
          <w:rFonts w:ascii="Arial" w:hAnsi="Arial" w:cs="Arial"/>
        </w:rPr>
        <w:t xml:space="preserve">o dílo </w:t>
      </w:r>
      <w:r w:rsidR="0045580C" w:rsidRPr="0045580C">
        <w:rPr>
          <w:rFonts w:ascii="Arial" w:hAnsi="Arial" w:cs="Arial"/>
        </w:rPr>
        <w:t>stanovených povinnost</w:t>
      </w:r>
      <w:r w:rsidR="0045580C">
        <w:rPr>
          <w:rFonts w:ascii="Arial" w:hAnsi="Arial" w:cs="Arial"/>
        </w:rPr>
        <w:t>í</w:t>
      </w:r>
      <w:r w:rsidR="00086563">
        <w:rPr>
          <w:rFonts w:ascii="Arial" w:hAnsi="Arial" w:cs="Arial"/>
        </w:rPr>
        <w:t xml:space="preserve"> zhotovitele provádět dílo</w:t>
      </w:r>
      <w:r w:rsidR="0045580C">
        <w:rPr>
          <w:rFonts w:ascii="Arial" w:hAnsi="Arial" w:cs="Arial"/>
        </w:rPr>
        <w:t xml:space="preserve"> </w:t>
      </w:r>
      <w:r w:rsidR="00086563" w:rsidRPr="00086563">
        <w:rPr>
          <w:rFonts w:ascii="Arial" w:hAnsi="Arial" w:cs="Arial"/>
        </w:rPr>
        <w:t>v</w:t>
      </w:r>
      <w:r w:rsidR="00086563" w:rsidRPr="00086563">
        <w:rPr>
          <w:rFonts w:ascii="Arial" w:hAnsi="Arial" w:cs="Arial"/>
          <w:bCs/>
        </w:rPr>
        <w:t xml:space="preserve"> důsledku vyšší moci od </w:t>
      </w:r>
      <w:proofErr w:type="gramStart"/>
      <w:r w:rsidR="00413C17">
        <w:rPr>
          <w:rFonts w:ascii="Arial" w:hAnsi="Arial" w:cs="Arial"/>
          <w:bCs/>
        </w:rPr>
        <w:t>22</w:t>
      </w:r>
      <w:r w:rsidR="001F0038">
        <w:rPr>
          <w:rFonts w:ascii="Arial" w:hAnsi="Arial" w:cs="Arial"/>
          <w:bCs/>
        </w:rPr>
        <w:t>.1</w:t>
      </w:r>
      <w:r w:rsidR="00413C17">
        <w:rPr>
          <w:rFonts w:ascii="Arial" w:hAnsi="Arial" w:cs="Arial"/>
          <w:bCs/>
        </w:rPr>
        <w:t>2</w:t>
      </w:r>
      <w:r w:rsidR="001F0038">
        <w:rPr>
          <w:rFonts w:ascii="Arial" w:hAnsi="Arial" w:cs="Arial"/>
          <w:bCs/>
        </w:rPr>
        <w:t>.2023</w:t>
      </w:r>
      <w:proofErr w:type="gramEnd"/>
      <w:r w:rsidR="00086563" w:rsidRPr="00086563">
        <w:rPr>
          <w:rFonts w:ascii="Arial" w:hAnsi="Arial" w:cs="Arial"/>
          <w:bCs/>
        </w:rPr>
        <w:t xml:space="preserve"> do </w:t>
      </w:r>
      <w:r w:rsidR="001F0038">
        <w:rPr>
          <w:rFonts w:ascii="Arial" w:hAnsi="Arial" w:cs="Arial"/>
          <w:bCs/>
        </w:rPr>
        <w:t>30.4.</w:t>
      </w:r>
      <w:r w:rsidR="00086563">
        <w:rPr>
          <w:rFonts w:ascii="Arial" w:hAnsi="Arial" w:cs="Arial"/>
          <w:bCs/>
        </w:rPr>
        <w:t xml:space="preserve"> 202</w:t>
      </w:r>
      <w:r w:rsidR="001F0038">
        <w:rPr>
          <w:rFonts w:ascii="Arial" w:hAnsi="Arial" w:cs="Arial"/>
          <w:bCs/>
        </w:rPr>
        <w:t>4</w:t>
      </w:r>
      <w:r w:rsidR="006F380C">
        <w:rPr>
          <w:rFonts w:ascii="Arial" w:hAnsi="Arial" w:cs="Arial"/>
          <w:bCs/>
        </w:rPr>
        <w:t>, a to</w:t>
      </w:r>
      <w:r w:rsidR="00086563" w:rsidRPr="00086563">
        <w:rPr>
          <w:rFonts w:ascii="Arial" w:hAnsi="Arial" w:cs="Arial"/>
          <w:bCs/>
        </w:rPr>
        <w:t xml:space="preserve"> z důvodu posunutí termínu dodání přechodových prvků</w:t>
      </w:r>
      <w:r w:rsidR="001F0038">
        <w:rPr>
          <w:rFonts w:ascii="Arial" w:hAnsi="Arial" w:cs="Arial"/>
          <w:bCs/>
        </w:rPr>
        <w:t xml:space="preserve"> nosných konstrukcí pro pozemní instalaci FVE na lokalitě ČOV, které jsou nezbytné pro u</w:t>
      </w:r>
      <w:r w:rsidR="00C71D72">
        <w:rPr>
          <w:rFonts w:ascii="Arial" w:hAnsi="Arial" w:cs="Arial"/>
          <w:bCs/>
        </w:rPr>
        <w:t>sazení nosných rámů FV panelů na</w:t>
      </w:r>
      <w:r w:rsidR="001F0038">
        <w:rPr>
          <w:rFonts w:ascii="Arial" w:hAnsi="Arial" w:cs="Arial"/>
          <w:bCs/>
        </w:rPr>
        <w:t xml:space="preserve"> do podloží zavrtané stojany. Tyto přechodové prvky vyrovnávají nestejnou výšku nosných pilířů a vyrábějí se na míru, aby po zavrtání pilířů mohlo dojít k usazení nosných rámů FV panelů do potřebné výšky a sklonu, které jsou definovány v projektové dokumentaci. Výrobce těchto přechodových prvků, společnost </w:t>
      </w:r>
      <w:proofErr w:type="spellStart"/>
      <w:r w:rsidR="001F0038">
        <w:rPr>
          <w:rFonts w:ascii="Arial" w:hAnsi="Arial" w:cs="Arial"/>
          <w:bCs/>
        </w:rPr>
        <w:t>KrajiCZECH</w:t>
      </w:r>
      <w:proofErr w:type="spellEnd"/>
      <w:r w:rsidR="001F0038">
        <w:rPr>
          <w:rFonts w:ascii="Arial" w:hAnsi="Arial" w:cs="Arial"/>
          <w:bCs/>
        </w:rPr>
        <w:t xml:space="preserve"> s.r.o. </w:t>
      </w:r>
      <w:r w:rsidR="006F380C">
        <w:rPr>
          <w:rFonts w:ascii="Arial" w:hAnsi="Arial" w:cs="Arial"/>
          <w:bCs/>
        </w:rPr>
        <w:t>ne</w:t>
      </w:r>
      <w:r w:rsidR="001F0038">
        <w:rPr>
          <w:rFonts w:ascii="Arial" w:hAnsi="Arial" w:cs="Arial"/>
          <w:bCs/>
        </w:rPr>
        <w:t xml:space="preserve">byla schopna tyto přechodové prvky dodat </w:t>
      </w:r>
      <w:r w:rsidR="006F380C">
        <w:rPr>
          <w:rFonts w:ascii="Arial" w:hAnsi="Arial" w:cs="Arial"/>
          <w:bCs/>
        </w:rPr>
        <w:t>dle plánu</w:t>
      </w:r>
      <w:r w:rsidR="00086563" w:rsidRPr="00086563">
        <w:rPr>
          <w:rFonts w:ascii="Arial" w:hAnsi="Arial" w:cs="Arial"/>
          <w:bCs/>
        </w:rPr>
        <w:t xml:space="preserve"> v důsledku aktuálního nedostatku výrobních </w:t>
      </w:r>
      <w:r w:rsidR="006F380C">
        <w:rPr>
          <w:rFonts w:ascii="Arial" w:hAnsi="Arial" w:cs="Arial"/>
          <w:bCs/>
        </w:rPr>
        <w:t xml:space="preserve">a zdrojových </w:t>
      </w:r>
      <w:r w:rsidR="00086563" w:rsidRPr="00086563">
        <w:rPr>
          <w:rFonts w:ascii="Arial" w:hAnsi="Arial" w:cs="Arial"/>
          <w:bCs/>
        </w:rPr>
        <w:t>kapacit</w:t>
      </w:r>
      <w:r>
        <w:rPr>
          <w:rFonts w:ascii="Arial" w:hAnsi="Arial" w:cs="Arial"/>
        </w:rPr>
        <w:t>.</w:t>
      </w:r>
      <w:r w:rsidR="00D7560C">
        <w:rPr>
          <w:rFonts w:ascii="Arial" w:hAnsi="Arial" w:cs="Arial"/>
        </w:rPr>
        <w:t xml:space="preserve"> Dle čl. </w:t>
      </w:r>
      <w:r w:rsidR="0045580C">
        <w:rPr>
          <w:rFonts w:ascii="Arial" w:hAnsi="Arial" w:cs="Arial"/>
        </w:rPr>
        <w:t>12.2 smlouvy o dílo se o</w:t>
      </w:r>
      <w:r w:rsidR="0045580C" w:rsidRPr="0045580C">
        <w:rPr>
          <w:rFonts w:ascii="Arial" w:hAnsi="Arial" w:cs="Arial"/>
        </w:rPr>
        <w:t xml:space="preserve"> dobu trvání </w:t>
      </w:r>
      <w:r w:rsidR="0045580C">
        <w:rPr>
          <w:rFonts w:ascii="Arial" w:hAnsi="Arial" w:cs="Arial"/>
        </w:rPr>
        <w:t>v</w:t>
      </w:r>
      <w:r w:rsidR="0045580C" w:rsidRPr="0045580C">
        <w:rPr>
          <w:rFonts w:ascii="Arial" w:hAnsi="Arial" w:cs="Arial"/>
        </w:rPr>
        <w:t>yšší moci odpovídajícím způsobem prodlužuje doba pro dokončení Díla.</w:t>
      </w:r>
      <w:r w:rsidR="0045580C">
        <w:rPr>
          <w:rFonts w:ascii="Arial" w:hAnsi="Arial" w:cs="Arial"/>
        </w:rPr>
        <w:t xml:space="preserve"> </w:t>
      </w:r>
    </w:p>
    <w:p w14:paraId="42BF8EBC" w14:textId="77777777" w:rsidR="00B24E1B" w:rsidRDefault="00B24E1B" w:rsidP="00D7560C">
      <w:pPr>
        <w:spacing w:after="120"/>
        <w:jc w:val="both"/>
        <w:rPr>
          <w:rFonts w:ascii="Arial" w:hAnsi="Arial" w:cs="Arial"/>
        </w:rPr>
      </w:pPr>
      <w:r w:rsidRPr="00D7560C">
        <w:rPr>
          <w:rFonts w:ascii="Arial" w:hAnsi="Arial" w:cs="Arial"/>
        </w:rPr>
        <w:t>Toto prodloužení lhůty pro zhotovení díla má s ohledem na všechny výše uvedené důvody nezaviněné zhotovitelem charakter nepodstatné změny závazku ze smlouvy dle § 222 odst. 6 zákona č. 134/2016 Sb., o zadávání veřejných zakázek, v platném znění, kdy potřeba prodloužení lhůty pro zhotovení díla vznikla v důsledku okolností, které zadavatel jednající s náležitou péčí nemohl předvídat a nemění celkovou povahu veřejné zakázky.</w:t>
      </w:r>
    </w:p>
    <w:p w14:paraId="0B05025F" w14:textId="7C5D36F2" w:rsidR="00D7560C" w:rsidRDefault="00D7560C" w:rsidP="00D7560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odpadnutí překážky uvedené výše bude postupováno nadále v souladu s příslušnými ustanoveními smlouvy o dílo a harmonogramem uvedeným v příloze č. 2 </w:t>
      </w:r>
      <w:r w:rsidR="00992F19">
        <w:rPr>
          <w:rFonts w:ascii="Arial" w:hAnsi="Arial" w:cs="Arial"/>
        </w:rPr>
        <w:t>tohoto dodatku.</w:t>
      </w:r>
    </w:p>
    <w:p w14:paraId="7C081BBD" w14:textId="0A08991F" w:rsidR="006F380C" w:rsidRPr="00D7560C" w:rsidRDefault="006F380C" w:rsidP="00D7560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uzavírám v souladu s čl. 12.3. smlouvy o dílo. </w:t>
      </w:r>
    </w:p>
    <w:p w14:paraId="3F5671A5" w14:textId="77777777" w:rsidR="005334ED" w:rsidRPr="00C12092" w:rsidRDefault="005334ED" w:rsidP="00B22CEC">
      <w:pPr>
        <w:spacing w:after="120"/>
        <w:jc w:val="both"/>
        <w:rPr>
          <w:rFonts w:ascii="Arial" w:hAnsi="Arial" w:cs="Arial"/>
        </w:rPr>
      </w:pPr>
    </w:p>
    <w:p w14:paraId="72529DA1" w14:textId="77777777" w:rsidR="006F0EF7" w:rsidRPr="00C12092" w:rsidRDefault="006F0EF7" w:rsidP="00401FB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12092">
        <w:rPr>
          <w:rFonts w:ascii="Arial" w:hAnsi="Arial" w:cs="Arial"/>
          <w:b/>
          <w:bCs/>
        </w:rPr>
        <w:t>III. Závěrečná ujednání</w:t>
      </w:r>
    </w:p>
    <w:p w14:paraId="66762FC2" w14:textId="77777777" w:rsidR="006F0EF7" w:rsidRPr="00C12092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C12092">
        <w:rPr>
          <w:rFonts w:ascii="Arial" w:hAnsi="Arial" w:cs="Arial"/>
        </w:rPr>
        <w:t>Ostatní ustanovení smlouvy o dílo</w:t>
      </w:r>
      <w:r w:rsidR="00C12092" w:rsidRPr="00C12092">
        <w:rPr>
          <w:rFonts w:ascii="Arial" w:hAnsi="Arial" w:cs="Arial"/>
        </w:rPr>
        <w:t>, ve znění výše uvedených dodatků</w:t>
      </w:r>
      <w:r w:rsidRPr="00C12092">
        <w:rPr>
          <w:rFonts w:ascii="Arial" w:hAnsi="Arial" w:cs="Arial"/>
        </w:rPr>
        <w:t xml:space="preserve"> se nemění.</w:t>
      </w:r>
    </w:p>
    <w:p w14:paraId="5F13127F" w14:textId="77777777" w:rsidR="006F0EF7" w:rsidRPr="00C12092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C12092">
        <w:rPr>
          <w:rFonts w:ascii="Arial" w:hAnsi="Arial" w:cs="Arial"/>
        </w:rPr>
        <w:t>Účastníci prohlašují, že tento dodatek podepsali se znalostí všech potřebných údajů, svobodně, vážně, nikoliv v tísni a za nápadně nevýhodných podmínek, na důkaz čehož připojují svoje podpisy.</w:t>
      </w:r>
    </w:p>
    <w:p w14:paraId="79B976FD" w14:textId="77777777" w:rsidR="006F0EF7" w:rsidRPr="00C12092" w:rsidRDefault="006F0EF7" w:rsidP="00951237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C12092">
        <w:rPr>
          <w:rFonts w:ascii="Arial" w:hAnsi="Arial" w:cs="Arial"/>
        </w:rPr>
        <w:t>Dodatek nabývá platnosti dnem podpisu obou smluvních stran. Dodatek nabývá účinnosti dnem zveřejnění v registru smluv. Zveřejnění zajistí objednatel.</w:t>
      </w:r>
      <w:r w:rsidR="007672F5" w:rsidRPr="00C12092">
        <w:rPr>
          <w:rFonts w:ascii="Arial" w:hAnsi="Arial" w:cs="Arial"/>
        </w:rPr>
        <w:t xml:space="preserve"> </w:t>
      </w:r>
    </w:p>
    <w:p w14:paraId="5B16B47B" w14:textId="77777777" w:rsidR="006F0EF7" w:rsidRPr="00C12092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C12092">
        <w:rPr>
          <w:rFonts w:ascii="Arial" w:hAnsi="Arial" w:cs="Arial"/>
          <w:bCs/>
        </w:rPr>
        <w:t>Smluvní strany prohlašují, že žádné ustanovení této smlouvy neoznačily jako obchodní tajemství a nemusí být anonymizováno.</w:t>
      </w:r>
    </w:p>
    <w:p w14:paraId="1116B42B" w14:textId="77777777" w:rsidR="00CE7C6E" w:rsidRPr="00C12092" w:rsidRDefault="006F0EF7" w:rsidP="00951237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C12092">
        <w:rPr>
          <w:rFonts w:ascii="Arial" w:hAnsi="Arial" w:cs="Arial"/>
          <w:iCs/>
        </w:rPr>
        <w:t xml:space="preserve">Tento dodatek </w:t>
      </w:r>
      <w:r w:rsidR="00CE7C6E" w:rsidRPr="00C12092">
        <w:rPr>
          <w:rFonts w:ascii="Arial" w:hAnsi="Arial" w:cs="Arial"/>
        </w:rPr>
        <w:t xml:space="preserve">je vyhotoven v elektronickém provedení. </w:t>
      </w:r>
    </w:p>
    <w:p w14:paraId="2F0A9529" w14:textId="6B9B85D0" w:rsidR="005C4620" w:rsidRPr="00C12092" w:rsidRDefault="007657CC" w:rsidP="005C4620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C12092">
        <w:rPr>
          <w:rFonts w:ascii="Arial" w:hAnsi="Arial" w:cs="Arial"/>
          <w:iCs/>
        </w:rPr>
        <w:t xml:space="preserve">Uzavření tohoto dodatku </w:t>
      </w:r>
      <w:r w:rsidR="00CE7C6E" w:rsidRPr="00C12092">
        <w:rPr>
          <w:rFonts w:ascii="Arial" w:hAnsi="Arial" w:cs="Arial"/>
          <w:iCs/>
        </w:rPr>
        <w:t>bylo schv</w:t>
      </w:r>
      <w:r w:rsidR="00ED2B8D" w:rsidRPr="00C12092">
        <w:rPr>
          <w:rFonts w:ascii="Arial" w:hAnsi="Arial" w:cs="Arial"/>
          <w:iCs/>
        </w:rPr>
        <w:t xml:space="preserve">áleno Radou </w:t>
      </w:r>
      <w:r w:rsidR="00305BA9">
        <w:rPr>
          <w:rFonts w:ascii="Arial" w:hAnsi="Arial" w:cs="Arial"/>
          <w:iCs/>
        </w:rPr>
        <w:t xml:space="preserve">města Dobříše dne </w:t>
      </w:r>
      <w:proofErr w:type="gramStart"/>
      <w:r w:rsidR="00305BA9">
        <w:rPr>
          <w:rFonts w:ascii="Arial" w:hAnsi="Arial" w:cs="Arial"/>
          <w:iCs/>
        </w:rPr>
        <w:t>29.04.</w:t>
      </w:r>
      <w:r w:rsidR="007F33B5" w:rsidRPr="00305BA9">
        <w:rPr>
          <w:rFonts w:ascii="Arial" w:hAnsi="Arial" w:cs="Arial"/>
          <w:iCs/>
        </w:rPr>
        <w:t>2024</w:t>
      </w:r>
      <w:proofErr w:type="gramEnd"/>
      <w:r w:rsidR="00CE7C6E" w:rsidRPr="00C12092">
        <w:rPr>
          <w:rFonts w:ascii="Arial" w:hAnsi="Arial" w:cs="Arial"/>
          <w:iCs/>
        </w:rPr>
        <w:t xml:space="preserve"> usnesením č.</w:t>
      </w:r>
      <w:r w:rsidR="007F33B5" w:rsidRPr="00C12092">
        <w:rPr>
          <w:rFonts w:ascii="Arial" w:hAnsi="Arial" w:cs="Arial"/>
          <w:iCs/>
        </w:rPr>
        <w:t xml:space="preserve"> </w:t>
      </w:r>
      <w:r w:rsidR="00AD4D3C">
        <w:rPr>
          <w:rFonts w:ascii="Arial" w:hAnsi="Arial" w:cs="Arial"/>
          <w:iCs/>
        </w:rPr>
        <w:t>2/46</w:t>
      </w:r>
      <w:r w:rsidR="00CE7C6E" w:rsidRPr="00AD4D3C">
        <w:rPr>
          <w:rFonts w:ascii="Arial" w:hAnsi="Arial" w:cs="Arial"/>
          <w:iCs/>
        </w:rPr>
        <w:t>/202</w:t>
      </w:r>
      <w:r w:rsidR="00B56BE9" w:rsidRPr="00AD4D3C">
        <w:rPr>
          <w:rFonts w:ascii="Arial" w:hAnsi="Arial" w:cs="Arial"/>
          <w:iCs/>
        </w:rPr>
        <w:t>4</w:t>
      </w:r>
      <w:r w:rsidR="00CE7C6E" w:rsidRPr="00AD4D3C">
        <w:rPr>
          <w:rFonts w:ascii="Arial" w:hAnsi="Arial" w:cs="Arial"/>
          <w:iCs/>
        </w:rPr>
        <w:t>/RM</w:t>
      </w:r>
      <w:r w:rsidRPr="00AD4D3C">
        <w:rPr>
          <w:rFonts w:ascii="Arial" w:hAnsi="Arial" w:cs="Arial"/>
          <w:iCs/>
        </w:rPr>
        <w:t>.</w:t>
      </w:r>
    </w:p>
    <w:p w14:paraId="440920EF" w14:textId="77777777" w:rsidR="001A06FD" w:rsidRPr="00C12092" w:rsidRDefault="005C4620" w:rsidP="005C4620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C12092">
        <w:rPr>
          <w:rFonts w:ascii="Arial" w:hAnsi="Arial" w:cs="Arial"/>
          <w:iCs/>
        </w:rPr>
        <w:t xml:space="preserve">Přílohu tohoto dodatku tvoří: </w:t>
      </w:r>
    </w:p>
    <w:p w14:paraId="2D413EE7" w14:textId="77777777" w:rsidR="006C6BEA" w:rsidRPr="00C12092" w:rsidRDefault="004C1DDC" w:rsidP="00D30F18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12092">
        <w:rPr>
          <w:rFonts w:ascii="Arial" w:hAnsi="Arial" w:cs="Arial"/>
          <w:iCs/>
          <w:sz w:val="22"/>
          <w:szCs w:val="22"/>
        </w:rPr>
        <w:t xml:space="preserve">Příloha č. 2 - </w:t>
      </w:r>
      <w:r w:rsidR="007F33B5" w:rsidRPr="00C12092">
        <w:rPr>
          <w:rFonts w:ascii="Arial" w:hAnsi="Arial" w:cs="Arial"/>
          <w:iCs/>
          <w:sz w:val="22"/>
          <w:szCs w:val="22"/>
        </w:rPr>
        <w:t>Harmonogram prací</w:t>
      </w:r>
      <w:r w:rsidRPr="00C12092">
        <w:rPr>
          <w:rFonts w:ascii="Arial" w:hAnsi="Arial" w:cs="Arial"/>
          <w:iCs/>
          <w:sz w:val="22"/>
          <w:szCs w:val="22"/>
        </w:rPr>
        <w:t xml:space="preserve"> </w:t>
      </w:r>
    </w:p>
    <w:p w14:paraId="63B1438A" w14:textId="77777777" w:rsidR="006F380C" w:rsidRDefault="006F380C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2E37E90" w14:textId="77777777" w:rsidR="006F380C" w:rsidRDefault="006F380C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B16E1BC" w14:textId="2278E485" w:rsidR="004B0ED2" w:rsidRPr="00C12092" w:rsidRDefault="0043053C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12092">
        <w:rPr>
          <w:rFonts w:ascii="Arial" w:hAnsi="Arial" w:cs="Arial"/>
        </w:rPr>
        <w:t>V Dobříši</w:t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="004B0ED2" w:rsidRPr="00C12092">
        <w:rPr>
          <w:rFonts w:ascii="Arial" w:hAnsi="Arial" w:cs="Arial"/>
        </w:rPr>
        <w:t>V </w:t>
      </w:r>
      <w:r w:rsidR="006D604D" w:rsidRPr="00C12092">
        <w:rPr>
          <w:rFonts w:ascii="Arial" w:hAnsi="Arial" w:cs="Arial"/>
        </w:rPr>
        <w:t>Příbrami</w:t>
      </w:r>
    </w:p>
    <w:p w14:paraId="77DEBD83" w14:textId="77777777" w:rsidR="004B0ED2" w:rsidRPr="00C12092" w:rsidRDefault="006767D2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C12092">
        <w:rPr>
          <w:rFonts w:ascii="Arial" w:hAnsi="Arial" w:cs="Arial"/>
        </w:rPr>
        <w:t>Z</w:t>
      </w:r>
      <w:r w:rsidR="004B0ED2" w:rsidRPr="00C12092">
        <w:rPr>
          <w:rFonts w:ascii="Arial" w:hAnsi="Arial" w:cs="Arial"/>
        </w:rPr>
        <w:t>a objednatele</w:t>
      </w:r>
      <w:r w:rsidR="004B0ED2" w:rsidRPr="00C12092">
        <w:rPr>
          <w:rFonts w:ascii="Arial" w:hAnsi="Arial" w:cs="Arial"/>
        </w:rPr>
        <w:tab/>
      </w:r>
      <w:r w:rsidR="004B0ED2" w:rsidRPr="00C12092">
        <w:rPr>
          <w:rFonts w:ascii="Arial" w:hAnsi="Arial" w:cs="Arial"/>
        </w:rPr>
        <w:tab/>
      </w:r>
      <w:r w:rsidR="004B0ED2" w:rsidRPr="00C12092">
        <w:rPr>
          <w:rFonts w:ascii="Arial" w:hAnsi="Arial" w:cs="Arial"/>
        </w:rPr>
        <w:tab/>
      </w:r>
      <w:r w:rsidR="004B0ED2" w:rsidRPr="00C12092">
        <w:rPr>
          <w:rFonts w:ascii="Arial" w:hAnsi="Arial" w:cs="Arial"/>
        </w:rPr>
        <w:tab/>
      </w:r>
      <w:r w:rsidR="004B0ED2" w:rsidRPr="00C12092">
        <w:rPr>
          <w:rFonts w:ascii="Arial" w:hAnsi="Arial" w:cs="Arial"/>
        </w:rPr>
        <w:tab/>
        <w:t>Za zhotovitele</w:t>
      </w:r>
    </w:p>
    <w:p w14:paraId="37195116" w14:textId="77777777" w:rsidR="00554AF3" w:rsidRPr="00C12092" w:rsidRDefault="00554AF3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614894A1" w14:textId="77777777" w:rsidR="008A3ACB" w:rsidRPr="00C12092" w:rsidRDefault="008A3ACB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387AC3F3" w14:textId="77777777" w:rsidR="004B0ED2" w:rsidRPr="00C12092" w:rsidRDefault="0043053C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12092">
        <w:rPr>
          <w:rFonts w:ascii="Arial" w:hAnsi="Arial" w:cs="Arial"/>
        </w:rPr>
        <w:t>Ing. Pavel Svoboda</w:t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Pr="00C12092">
        <w:rPr>
          <w:rFonts w:ascii="Arial" w:hAnsi="Arial" w:cs="Arial"/>
        </w:rPr>
        <w:tab/>
      </w:r>
      <w:r w:rsidR="000E02A7" w:rsidRPr="00C12092">
        <w:rPr>
          <w:rFonts w:ascii="Arial" w:hAnsi="Arial" w:cs="Arial"/>
        </w:rPr>
        <w:t xml:space="preserve">  Mgr. Jaroslav Smejkal</w:t>
      </w:r>
    </w:p>
    <w:p w14:paraId="58BC047D" w14:textId="77777777" w:rsidR="00526BF1" w:rsidRDefault="004B0ED2" w:rsidP="008A3A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C12092">
        <w:rPr>
          <w:rFonts w:ascii="Arial" w:hAnsi="Arial" w:cs="Arial"/>
        </w:rPr>
        <w:t xml:space="preserve">starosta města </w:t>
      </w:r>
      <w:r w:rsidR="00247589" w:rsidRPr="00C12092">
        <w:rPr>
          <w:rFonts w:ascii="Arial" w:hAnsi="Arial" w:cs="Arial"/>
        </w:rPr>
        <w:tab/>
      </w:r>
      <w:r w:rsidR="00247589" w:rsidRPr="00C12092">
        <w:rPr>
          <w:rFonts w:ascii="Arial" w:hAnsi="Arial" w:cs="Arial"/>
        </w:rPr>
        <w:tab/>
      </w:r>
      <w:r w:rsidR="00247589" w:rsidRPr="00C12092">
        <w:rPr>
          <w:rFonts w:ascii="Arial" w:hAnsi="Arial" w:cs="Arial"/>
        </w:rPr>
        <w:tab/>
      </w:r>
      <w:r w:rsidR="00247589" w:rsidRPr="00C12092">
        <w:rPr>
          <w:rFonts w:ascii="Arial" w:hAnsi="Arial" w:cs="Arial"/>
        </w:rPr>
        <w:tab/>
      </w:r>
      <w:r w:rsidR="00247589" w:rsidRPr="00C12092">
        <w:rPr>
          <w:rFonts w:ascii="Arial" w:hAnsi="Arial" w:cs="Arial"/>
        </w:rPr>
        <w:tab/>
        <w:t xml:space="preserve">  </w:t>
      </w:r>
      <w:r w:rsidR="00085C94" w:rsidRPr="00C12092">
        <w:rPr>
          <w:rFonts w:ascii="Arial" w:hAnsi="Arial" w:cs="Arial"/>
        </w:rPr>
        <w:t xml:space="preserve"> jednatel</w:t>
      </w:r>
      <w:r w:rsidR="00951237" w:rsidRPr="00C12092">
        <w:rPr>
          <w:rFonts w:ascii="Arial" w:hAnsi="Arial" w:cs="Arial"/>
        </w:rPr>
        <w:t xml:space="preserve"> společnos</w:t>
      </w:r>
      <w:r w:rsidR="00734B7F" w:rsidRPr="00C12092">
        <w:rPr>
          <w:rFonts w:ascii="Arial" w:hAnsi="Arial" w:cs="Arial"/>
        </w:rPr>
        <w:t>ti</w:t>
      </w:r>
      <w:r w:rsidR="00526BF1">
        <w:rPr>
          <w:rFonts w:ascii="Arial" w:hAnsi="Arial" w:cs="Arial"/>
        </w:rPr>
        <w:br w:type="page"/>
      </w:r>
    </w:p>
    <w:p w14:paraId="400506A1" w14:textId="77777777" w:rsidR="00951237" w:rsidRDefault="00951237" w:rsidP="008A3ACB">
      <w:pPr>
        <w:autoSpaceDE w:val="0"/>
        <w:autoSpaceDN w:val="0"/>
        <w:adjustRightInd w:val="0"/>
        <w:spacing w:after="120"/>
        <w:rPr>
          <w:rFonts w:ascii="Arial" w:hAnsi="Arial" w:cs="Arial"/>
        </w:rPr>
        <w:sectPr w:rsidR="00951237" w:rsidSect="000A6E8B">
          <w:footerReference w:type="default" r:id="rId11"/>
          <w:pgSz w:w="11906" w:h="16838" w:code="9"/>
          <w:pgMar w:top="1134" w:right="1418" w:bottom="1134" w:left="1418" w:header="709" w:footer="709" w:gutter="0"/>
          <w:cols w:space="708"/>
          <w:noEndnote/>
          <w:docGrid w:linePitch="299"/>
        </w:sectPr>
      </w:pPr>
    </w:p>
    <w:p w14:paraId="1BDC1273" w14:textId="77777777" w:rsidR="00247589" w:rsidRPr="00416A5B" w:rsidRDefault="00D30F18" w:rsidP="00022D1F">
      <w:pPr>
        <w:tabs>
          <w:tab w:val="left" w:pos="7200"/>
        </w:tabs>
        <w:rPr>
          <w:rFonts w:ascii="Arial" w:hAnsi="Arial" w:cs="Arial"/>
        </w:rPr>
      </w:pPr>
      <w:r w:rsidRPr="00416A5B">
        <w:rPr>
          <w:rFonts w:ascii="Arial" w:hAnsi="Arial" w:cs="Arial"/>
        </w:rPr>
        <w:lastRenderedPageBreak/>
        <w:t>Příloha 2</w:t>
      </w:r>
    </w:p>
    <w:p w14:paraId="64BC95F3" w14:textId="77777777" w:rsidR="00D30F18" w:rsidRPr="00416A5B" w:rsidRDefault="00D30F18" w:rsidP="00022D1F">
      <w:pPr>
        <w:tabs>
          <w:tab w:val="left" w:pos="7200"/>
        </w:tabs>
        <w:rPr>
          <w:rFonts w:ascii="Arial" w:hAnsi="Arial" w:cs="Arial"/>
        </w:rPr>
      </w:pPr>
    </w:p>
    <w:p w14:paraId="31D172C1" w14:textId="77777777" w:rsidR="00D30F18" w:rsidRPr="00416A5B" w:rsidRDefault="00D30F18" w:rsidP="00D30F18">
      <w:pPr>
        <w:tabs>
          <w:tab w:val="left" w:pos="7200"/>
        </w:tabs>
        <w:jc w:val="center"/>
        <w:rPr>
          <w:rFonts w:ascii="Arial" w:hAnsi="Arial" w:cs="Arial"/>
          <w:b/>
        </w:rPr>
      </w:pPr>
      <w:r w:rsidRPr="00416A5B">
        <w:rPr>
          <w:rFonts w:ascii="Arial" w:hAnsi="Arial" w:cs="Arial"/>
          <w:b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721"/>
      </w:tblGrid>
      <w:tr w:rsidR="00D30F18" w:rsidRPr="00043F12" w14:paraId="45100B7F" w14:textId="77777777" w:rsidTr="00D30F18">
        <w:tc>
          <w:tcPr>
            <w:tcW w:w="846" w:type="dxa"/>
          </w:tcPr>
          <w:p w14:paraId="4B2C2A08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78555F87" w14:textId="77777777" w:rsidR="00D30F18" w:rsidRPr="00416A5B" w:rsidRDefault="00D30F18" w:rsidP="00D30F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6A5B">
              <w:rPr>
                <w:rFonts w:ascii="Arial" w:hAnsi="Arial" w:cs="Arial"/>
                <w:sz w:val="22"/>
                <w:szCs w:val="22"/>
              </w:rPr>
              <w:t xml:space="preserve">Vypracování realizační PD </w:t>
            </w:r>
          </w:p>
        </w:tc>
        <w:tc>
          <w:tcPr>
            <w:tcW w:w="4721" w:type="dxa"/>
          </w:tcPr>
          <w:p w14:paraId="7E3EAA16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30 dnů</w:t>
            </w:r>
          </w:p>
        </w:tc>
      </w:tr>
      <w:tr w:rsidR="00D30F18" w:rsidRPr="00043F12" w14:paraId="1C140A84" w14:textId="77777777" w:rsidTr="00D30F18">
        <w:tc>
          <w:tcPr>
            <w:tcW w:w="846" w:type="dxa"/>
          </w:tcPr>
          <w:p w14:paraId="1395EA92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795497EF" w14:textId="77777777" w:rsidR="00D30F18" w:rsidRPr="00416A5B" w:rsidRDefault="00D30F18" w:rsidP="00D30F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6A5B">
              <w:rPr>
                <w:rFonts w:ascii="Arial" w:hAnsi="Arial" w:cs="Arial"/>
                <w:sz w:val="22"/>
                <w:szCs w:val="22"/>
              </w:rPr>
              <w:t xml:space="preserve">Realizace díla - stavba </w:t>
            </w:r>
          </w:p>
        </w:tc>
        <w:tc>
          <w:tcPr>
            <w:tcW w:w="4721" w:type="dxa"/>
          </w:tcPr>
          <w:p w14:paraId="3D55B52B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75 dnů</w:t>
            </w:r>
          </w:p>
        </w:tc>
      </w:tr>
      <w:tr w:rsidR="00D30F18" w:rsidRPr="00043F12" w14:paraId="4B201571" w14:textId="77777777" w:rsidTr="00D30F18">
        <w:tc>
          <w:tcPr>
            <w:tcW w:w="846" w:type="dxa"/>
          </w:tcPr>
          <w:p w14:paraId="47E41FE7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14:paraId="15A8B25E" w14:textId="77777777" w:rsidR="00D30F18" w:rsidRPr="00416A5B" w:rsidRDefault="00D30F18" w:rsidP="00D30F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6A5B">
              <w:rPr>
                <w:rFonts w:ascii="Arial" w:hAnsi="Arial" w:cs="Arial"/>
                <w:sz w:val="22"/>
                <w:szCs w:val="22"/>
              </w:rPr>
              <w:t xml:space="preserve">Zajištění kolaudace </w:t>
            </w:r>
          </w:p>
        </w:tc>
        <w:tc>
          <w:tcPr>
            <w:tcW w:w="4721" w:type="dxa"/>
          </w:tcPr>
          <w:p w14:paraId="03CF84A3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40 dnů</w:t>
            </w:r>
          </w:p>
        </w:tc>
      </w:tr>
      <w:tr w:rsidR="00D30F18" w:rsidRPr="00043F12" w14:paraId="26C0D3E5" w14:textId="77777777" w:rsidTr="00D30F18">
        <w:tc>
          <w:tcPr>
            <w:tcW w:w="846" w:type="dxa"/>
          </w:tcPr>
          <w:p w14:paraId="28E35AAE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14:paraId="351A9BC1" w14:textId="77777777" w:rsidR="00D30F18" w:rsidRPr="00416A5B" w:rsidRDefault="00D30F18" w:rsidP="00D30F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6A5B">
              <w:rPr>
                <w:rFonts w:ascii="Arial" w:hAnsi="Arial" w:cs="Arial"/>
                <w:sz w:val="22"/>
                <w:szCs w:val="22"/>
              </w:rPr>
              <w:t xml:space="preserve">Zajištění vydání licence </w:t>
            </w:r>
          </w:p>
        </w:tc>
        <w:tc>
          <w:tcPr>
            <w:tcW w:w="4721" w:type="dxa"/>
          </w:tcPr>
          <w:p w14:paraId="58D60D15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30 dnů</w:t>
            </w:r>
          </w:p>
        </w:tc>
      </w:tr>
      <w:tr w:rsidR="00D30F18" w:rsidRPr="00043F12" w14:paraId="52D719B8" w14:textId="77777777" w:rsidTr="00D30F18">
        <w:tc>
          <w:tcPr>
            <w:tcW w:w="846" w:type="dxa"/>
          </w:tcPr>
          <w:p w14:paraId="4E8DB5EF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14:paraId="2D895F14" w14:textId="77777777" w:rsidR="00D30F18" w:rsidRPr="00416A5B" w:rsidRDefault="00D30F18" w:rsidP="00D30F1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6A5B">
              <w:rPr>
                <w:rFonts w:ascii="Arial" w:hAnsi="Arial" w:cs="Arial"/>
                <w:sz w:val="22"/>
                <w:szCs w:val="22"/>
              </w:rPr>
              <w:t xml:space="preserve">Zajištění připojení FVE k DS </w:t>
            </w:r>
          </w:p>
        </w:tc>
        <w:tc>
          <w:tcPr>
            <w:tcW w:w="4721" w:type="dxa"/>
          </w:tcPr>
          <w:p w14:paraId="0A114029" w14:textId="77777777" w:rsidR="00D30F18" w:rsidRPr="00416A5B" w:rsidRDefault="00D30F18" w:rsidP="00022D1F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416A5B">
              <w:rPr>
                <w:rFonts w:ascii="Arial" w:hAnsi="Arial" w:cs="Arial"/>
              </w:rPr>
              <w:t>30 dnů</w:t>
            </w:r>
          </w:p>
        </w:tc>
      </w:tr>
    </w:tbl>
    <w:p w14:paraId="210283DC" w14:textId="77777777" w:rsidR="00D30F18" w:rsidRPr="00043F12" w:rsidRDefault="00D30F18" w:rsidP="00022D1F">
      <w:pPr>
        <w:tabs>
          <w:tab w:val="left" w:pos="7200"/>
        </w:tabs>
        <w:rPr>
          <w:rFonts w:ascii="Arial" w:hAnsi="Arial" w:cs="Arial"/>
          <w:strike/>
        </w:rPr>
      </w:pPr>
    </w:p>
    <w:p w14:paraId="7889447E" w14:textId="3DDC3590" w:rsidR="00D30F18" w:rsidRPr="00043F12" w:rsidRDefault="00D30F18" w:rsidP="00D30F18">
      <w:pPr>
        <w:tabs>
          <w:tab w:val="left" w:pos="7200"/>
        </w:tabs>
        <w:jc w:val="both"/>
        <w:rPr>
          <w:rFonts w:ascii="Arial" w:hAnsi="Arial" w:cs="Arial"/>
          <w:strike/>
        </w:rPr>
      </w:pPr>
    </w:p>
    <w:sectPr w:rsidR="00D30F18" w:rsidRPr="00043F12" w:rsidSect="00C63219">
      <w:footerReference w:type="default" r:id="rId12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A416" w14:textId="77777777" w:rsidR="001D04AC" w:rsidRDefault="001D04AC" w:rsidP="00F21471">
      <w:pPr>
        <w:spacing w:after="0" w:line="240" w:lineRule="auto"/>
      </w:pPr>
      <w:r>
        <w:separator/>
      </w:r>
    </w:p>
  </w:endnote>
  <w:endnote w:type="continuationSeparator" w:id="0">
    <w:p w14:paraId="2F9B74A3" w14:textId="77777777" w:rsidR="001D04AC" w:rsidRDefault="001D04AC" w:rsidP="00F2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151096"/>
      <w:docPartObj>
        <w:docPartGallery w:val="Page Numbers (Bottom of Page)"/>
        <w:docPartUnique/>
      </w:docPartObj>
    </w:sdtPr>
    <w:sdtEndPr/>
    <w:sdtContent>
      <w:p w14:paraId="6B39F8B5" w14:textId="29BCC8F0" w:rsidR="006F380C" w:rsidRDefault="006F38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8B">
          <w:rPr>
            <w:noProof/>
          </w:rPr>
          <w:t>1</w:t>
        </w:r>
        <w:r>
          <w:fldChar w:fldCharType="end"/>
        </w:r>
      </w:p>
    </w:sdtContent>
  </w:sdt>
  <w:p w14:paraId="45F81BED" w14:textId="77777777" w:rsidR="00244B81" w:rsidRDefault="00244B81" w:rsidP="00526BF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6CCD" w14:textId="77777777" w:rsidR="00244B81" w:rsidRDefault="00244B81" w:rsidP="0090394F">
    <w:pPr>
      <w:pStyle w:val="Zpat"/>
    </w:pPr>
  </w:p>
  <w:p w14:paraId="3D51F4FA" w14:textId="77777777" w:rsidR="00244B81" w:rsidRDefault="00244B81" w:rsidP="00526B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CA05" w14:textId="77777777" w:rsidR="001D04AC" w:rsidRDefault="001D04AC" w:rsidP="00F21471">
      <w:pPr>
        <w:spacing w:after="0" w:line="240" w:lineRule="auto"/>
      </w:pPr>
      <w:r>
        <w:separator/>
      </w:r>
    </w:p>
  </w:footnote>
  <w:footnote w:type="continuationSeparator" w:id="0">
    <w:p w14:paraId="4D0CCC69" w14:textId="77777777" w:rsidR="001D04AC" w:rsidRDefault="001D04AC" w:rsidP="00F2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13F"/>
    <w:multiLevelType w:val="hybridMultilevel"/>
    <w:tmpl w:val="9E8AAF56"/>
    <w:lvl w:ilvl="0" w:tplc="61A8E9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D6C41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52249"/>
    <w:multiLevelType w:val="hybridMultilevel"/>
    <w:tmpl w:val="3AFAF7FA"/>
    <w:lvl w:ilvl="0" w:tplc="40C8C738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50EA"/>
    <w:multiLevelType w:val="hybridMultilevel"/>
    <w:tmpl w:val="C6FA13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DCF"/>
    <w:multiLevelType w:val="hybridMultilevel"/>
    <w:tmpl w:val="A118B5A2"/>
    <w:lvl w:ilvl="0" w:tplc="0D6AE44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C31D4A"/>
    <w:multiLevelType w:val="hybridMultilevel"/>
    <w:tmpl w:val="A88A307E"/>
    <w:lvl w:ilvl="0" w:tplc="E838487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1D3032"/>
    <w:multiLevelType w:val="hybridMultilevel"/>
    <w:tmpl w:val="36F6C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827FB"/>
    <w:multiLevelType w:val="hybridMultilevel"/>
    <w:tmpl w:val="072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306B"/>
    <w:multiLevelType w:val="hybridMultilevel"/>
    <w:tmpl w:val="B5D89DC8"/>
    <w:lvl w:ilvl="0" w:tplc="A1805AB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9" w15:restartNumberingAfterBreak="0">
    <w:nsid w:val="28A03943"/>
    <w:multiLevelType w:val="hybridMultilevel"/>
    <w:tmpl w:val="FAFACCBC"/>
    <w:lvl w:ilvl="0" w:tplc="936E6F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8A704D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B65705"/>
    <w:multiLevelType w:val="hybridMultilevel"/>
    <w:tmpl w:val="C0CE1180"/>
    <w:lvl w:ilvl="0" w:tplc="14E643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9B2729"/>
    <w:multiLevelType w:val="hybridMultilevel"/>
    <w:tmpl w:val="63BA5AAA"/>
    <w:lvl w:ilvl="0" w:tplc="B492C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E0FA4"/>
    <w:multiLevelType w:val="hybridMultilevel"/>
    <w:tmpl w:val="5F0A82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174E8E"/>
    <w:multiLevelType w:val="hybridMultilevel"/>
    <w:tmpl w:val="C3504D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86946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6E1E83"/>
    <w:multiLevelType w:val="hybridMultilevel"/>
    <w:tmpl w:val="6F92D2C8"/>
    <w:lvl w:ilvl="0" w:tplc="04050017">
      <w:start w:val="1"/>
      <w:numFmt w:val="lowerLetter"/>
      <w:lvlText w:val="%1)"/>
      <w:lvlJc w:val="left"/>
      <w:pPr>
        <w:ind w:left="117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7" w15:restartNumberingAfterBreak="0">
    <w:nsid w:val="467F3101"/>
    <w:multiLevelType w:val="hybridMultilevel"/>
    <w:tmpl w:val="843C5276"/>
    <w:lvl w:ilvl="0" w:tplc="37786E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FB58B9"/>
    <w:multiLevelType w:val="hybridMultilevel"/>
    <w:tmpl w:val="07BE7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90A91"/>
    <w:multiLevelType w:val="hybridMultilevel"/>
    <w:tmpl w:val="4A900D72"/>
    <w:lvl w:ilvl="0" w:tplc="C980E03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3C7CEA"/>
    <w:multiLevelType w:val="hybridMultilevel"/>
    <w:tmpl w:val="222EB5FC"/>
    <w:lvl w:ilvl="0" w:tplc="B8066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4B0994"/>
    <w:multiLevelType w:val="hybridMultilevel"/>
    <w:tmpl w:val="55680186"/>
    <w:lvl w:ilvl="0" w:tplc="E33AB1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03317B"/>
    <w:multiLevelType w:val="hybridMultilevel"/>
    <w:tmpl w:val="D0B43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B0AE3"/>
    <w:multiLevelType w:val="hybridMultilevel"/>
    <w:tmpl w:val="AE8239E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9117756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FB00AD"/>
    <w:multiLevelType w:val="hybridMultilevel"/>
    <w:tmpl w:val="E17837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AA16EB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26D2091"/>
    <w:multiLevelType w:val="hybridMultilevel"/>
    <w:tmpl w:val="2E0291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3B65A73"/>
    <w:multiLevelType w:val="multilevel"/>
    <w:tmpl w:val="6368FD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9" w15:restartNumberingAfterBreak="0">
    <w:nsid w:val="743E3144"/>
    <w:multiLevelType w:val="hybridMultilevel"/>
    <w:tmpl w:val="7EF858A2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8D66DE0"/>
    <w:multiLevelType w:val="hybridMultilevel"/>
    <w:tmpl w:val="13226F5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FB731A"/>
    <w:multiLevelType w:val="hybridMultilevel"/>
    <w:tmpl w:val="03CE6D2C"/>
    <w:lvl w:ilvl="0" w:tplc="6108E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2"/>
  </w:num>
  <w:num w:numId="4">
    <w:abstractNumId w:val="30"/>
  </w:num>
  <w:num w:numId="5">
    <w:abstractNumId w:val="26"/>
  </w:num>
  <w:num w:numId="6">
    <w:abstractNumId w:val="12"/>
  </w:num>
  <w:num w:numId="7">
    <w:abstractNumId w:val="4"/>
  </w:num>
  <w:num w:numId="8">
    <w:abstractNumId w:val="16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21"/>
  </w:num>
  <w:num w:numId="14">
    <w:abstractNumId w:val="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14"/>
  </w:num>
  <w:num w:numId="20">
    <w:abstractNumId w:val="15"/>
  </w:num>
  <w:num w:numId="21">
    <w:abstractNumId w:val="24"/>
  </w:num>
  <w:num w:numId="22">
    <w:abstractNumId w:val="31"/>
  </w:num>
  <w:num w:numId="23">
    <w:abstractNumId w:val="9"/>
  </w:num>
  <w:num w:numId="2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2"/>
  </w:num>
  <w:num w:numId="27">
    <w:abstractNumId w:val="7"/>
  </w:num>
  <w:num w:numId="28">
    <w:abstractNumId w:val="27"/>
  </w:num>
  <w:num w:numId="29">
    <w:abstractNumId w:val="20"/>
  </w:num>
  <w:num w:numId="30">
    <w:abstractNumId w:val="29"/>
  </w:num>
  <w:num w:numId="31">
    <w:abstractNumId w:val="19"/>
  </w:num>
  <w:num w:numId="32">
    <w:abstractNumId w:val="6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85"/>
    <w:rsid w:val="00022D1F"/>
    <w:rsid w:val="00031EB6"/>
    <w:rsid w:val="00042CC6"/>
    <w:rsid w:val="00043929"/>
    <w:rsid w:val="00043F12"/>
    <w:rsid w:val="000562C8"/>
    <w:rsid w:val="000607B6"/>
    <w:rsid w:val="00062434"/>
    <w:rsid w:val="00072C19"/>
    <w:rsid w:val="00083104"/>
    <w:rsid w:val="00085C94"/>
    <w:rsid w:val="00086563"/>
    <w:rsid w:val="00091FAC"/>
    <w:rsid w:val="000923B1"/>
    <w:rsid w:val="00093A0B"/>
    <w:rsid w:val="0009696D"/>
    <w:rsid w:val="000A30C9"/>
    <w:rsid w:val="000A32BB"/>
    <w:rsid w:val="000A6888"/>
    <w:rsid w:val="000A6E8B"/>
    <w:rsid w:val="000B466A"/>
    <w:rsid w:val="000B7512"/>
    <w:rsid w:val="000C6152"/>
    <w:rsid w:val="000D52B5"/>
    <w:rsid w:val="000E0033"/>
    <w:rsid w:val="000E02A7"/>
    <w:rsid w:val="000E527A"/>
    <w:rsid w:val="000F40DE"/>
    <w:rsid w:val="0010262B"/>
    <w:rsid w:val="00102D77"/>
    <w:rsid w:val="00104546"/>
    <w:rsid w:val="00107E0D"/>
    <w:rsid w:val="00114B76"/>
    <w:rsid w:val="00120AE6"/>
    <w:rsid w:val="00124F73"/>
    <w:rsid w:val="00131576"/>
    <w:rsid w:val="001354C8"/>
    <w:rsid w:val="00135B6B"/>
    <w:rsid w:val="001418DA"/>
    <w:rsid w:val="00157024"/>
    <w:rsid w:val="001657B9"/>
    <w:rsid w:val="001677EA"/>
    <w:rsid w:val="0017108E"/>
    <w:rsid w:val="00184356"/>
    <w:rsid w:val="00193BA5"/>
    <w:rsid w:val="001A06FD"/>
    <w:rsid w:val="001A590A"/>
    <w:rsid w:val="001A7763"/>
    <w:rsid w:val="001B296E"/>
    <w:rsid w:val="001C19C1"/>
    <w:rsid w:val="001C3BF5"/>
    <w:rsid w:val="001C7AEA"/>
    <w:rsid w:val="001D04AC"/>
    <w:rsid w:val="001D6935"/>
    <w:rsid w:val="001E6C5F"/>
    <w:rsid w:val="001F0038"/>
    <w:rsid w:val="001F7437"/>
    <w:rsid w:val="0020324E"/>
    <w:rsid w:val="00212F8F"/>
    <w:rsid w:val="00213142"/>
    <w:rsid w:val="00221A01"/>
    <w:rsid w:val="00226993"/>
    <w:rsid w:val="002320C7"/>
    <w:rsid w:val="00242375"/>
    <w:rsid w:val="00242E82"/>
    <w:rsid w:val="00244B81"/>
    <w:rsid w:val="002458B5"/>
    <w:rsid w:val="0024594E"/>
    <w:rsid w:val="00247589"/>
    <w:rsid w:val="00250A52"/>
    <w:rsid w:val="00253A47"/>
    <w:rsid w:val="00256CFD"/>
    <w:rsid w:val="00264753"/>
    <w:rsid w:val="002877E3"/>
    <w:rsid w:val="00290CA0"/>
    <w:rsid w:val="0029117B"/>
    <w:rsid w:val="00295B61"/>
    <w:rsid w:val="002A3D38"/>
    <w:rsid w:val="002B2EC6"/>
    <w:rsid w:val="002B52A9"/>
    <w:rsid w:val="002B7224"/>
    <w:rsid w:val="002C1E65"/>
    <w:rsid w:val="002C7C5E"/>
    <w:rsid w:val="002D2F83"/>
    <w:rsid w:val="002D338E"/>
    <w:rsid w:val="002D4F56"/>
    <w:rsid w:val="002E69DF"/>
    <w:rsid w:val="00302A2B"/>
    <w:rsid w:val="00305BA9"/>
    <w:rsid w:val="00310375"/>
    <w:rsid w:val="003109A7"/>
    <w:rsid w:val="00315A11"/>
    <w:rsid w:val="00320428"/>
    <w:rsid w:val="00351DA4"/>
    <w:rsid w:val="0035610E"/>
    <w:rsid w:val="00367CE7"/>
    <w:rsid w:val="00376703"/>
    <w:rsid w:val="0038420C"/>
    <w:rsid w:val="00392154"/>
    <w:rsid w:val="003932C3"/>
    <w:rsid w:val="003A5729"/>
    <w:rsid w:val="003D2E10"/>
    <w:rsid w:val="00401FBA"/>
    <w:rsid w:val="0040536C"/>
    <w:rsid w:val="004130B8"/>
    <w:rsid w:val="00413C17"/>
    <w:rsid w:val="004152C3"/>
    <w:rsid w:val="004157DB"/>
    <w:rsid w:val="004161C3"/>
    <w:rsid w:val="00416A5B"/>
    <w:rsid w:val="00424B4B"/>
    <w:rsid w:val="00426AE1"/>
    <w:rsid w:val="004271FC"/>
    <w:rsid w:val="00430187"/>
    <w:rsid w:val="0043053C"/>
    <w:rsid w:val="00436175"/>
    <w:rsid w:val="004362F3"/>
    <w:rsid w:val="00445F63"/>
    <w:rsid w:val="0045275F"/>
    <w:rsid w:val="004530E0"/>
    <w:rsid w:val="004554AB"/>
    <w:rsid w:val="0045580C"/>
    <w:rsid w:val="00461A05"/>
    <w:rsid w:val="00463B6D"/>
    <w:rsid w:val="004656B5"/>
    <w:rsid w:val="00473AB8"/>
    <w:rsid w:val="00477CFD"/>
    <w:rsid w:val="0048247C"/>
    <w:rsid w:val="004871C0"/>
    <w:rsid w:val="004907E3"/>
    <w:rsid w:val="00491CDB"/>
    <w:rsid w:val="0049370E"/>
    <w:rsid w:val="004A5540"/>
    <w:rsid w:val="004B0ED2"/>
    <w:rsid w:val="004C1DDC"/>
    <w:rsid w:val="004E4432"/>
    <w:rsid w:val="004E4A6B"/>
    <w:rsid w:val="004E6921"/>
    <w:rsid w:val="004F3B8E"/>
    <w:rsid w:val="00520D92"/>
    <w:rsid w:val="00521952"/>
    <w:rsid w:val="00526BF1"/>
    <w:rsid w:val="005334ED"/>
    <w:rsid w:val="005512B9"/>
    <w:rsid w:val="005529EB"/>
    <w:rsid w:val="00554AF3"/>
    <w:rsid w:val="00575DA6"/>
    <w:rsid w:val="00576D3F"/>
    <w:rsid w:val="00580DA6"/>
    <w:rsid w:val="00590665"/>
    <w:rsid w:val="00591A1C"/>
    <w:rsid w:val="00595028"/>
    <w:rsid w:val="00595A1B"/>
    <w:rsid w:val="005A66CE"/>
    <w:rsid w:val="005B6BE6"/>
    <w:rsid w:val="005C0381"/>
    <w:rsid w:val="005C16DA"/>
    <w:rsid w:val="005C4620"/>
    <w:rsid w:val="005D33B2"/>
    <w:rsid w:val="005E15C3"/>
    <w:rsid w:val="005E5C47"/>
    <w:rsid w:val="005E5E55"/>
    <w:rsid w:val="005F4BDC"/>
    <w:rsid w:val="0061180A"/>
    <w:rsid w:val="006121CA"/>
    <w:rsid w:val="00616EC4"/>
    <w:rsid w:val="00624613"/>
    <w:rsid w:val="0062568D"/>
    <w:rsid w:val="00627ED2"/>
    <w:rsid w:val="00632DC5"/>
    <w:rsid w:val="006354E2"/>
    <w:rsid w:val="0065184F"/>
    <w:rsid w:val="006530E2"/>
    <w:rsid w:val="00653B18"/>
    <w:rsid w:val="00653B8B"/>
    <w:rsid w:val="0065525E"/>
    <w:rsid w:val="0065556F"/>
    <w:rsid w:val="00662F33"/>
    <w:rsid w:val="006767D2"/>
    <w:rsid w:val="00677FAE"/>
    <w:rsid w:val="00682750"/>
    <w:rsid w:val="006879E8"/>
    <w:rsid w:val="00690CA9"/>
    <w:rsid w:val="00693792"/>
    <w:rsid w:val="00693AAC"/>
    <w:rsid w:val="00695269"/>
    <w:rsid w:val="0069773A"/>
    <w:rsid w:val="00697A39"/>
    <w:rsid w:val="006B73D9"/>
    <w:rsid w:val="006C134C"/>
    <w:rsid w:val="006C1F66"/>
    <w:rsid w:val="006C6BEA"/>
    <w:rsid w:val="006D604D"/>
    <w:rsid w:val="006D7D03"/>
    <w:rsid w:val="006E1FCB"/>
    <w:rsid w:val="006E2227"/>
    <w:rsid w:val="006F0EF7"/>
    <w:rsid w:val="006F2876"/>
    <w:rsid w:val="006F380C"/>
    <w:rsid w:val="006F4641"/>
    <w:rsid w:val="00700C44"/>
    <w:rsid w:val="00700E0F"/>
    <w:rsid w:val="007067DA"/>
    <w:rsid w:val="00706E2F"/>
    <w:rsid w:val="007158FD"/>
    <w:rsid w:val="00715C61"/>
    <w:rsid w:val="00716705"/>
    <w:rsid w:val="00720061"/>
    <w:rsid w:val="00727C1A"/>
    <w:rsid w:val="00730A50"/>
    <w:rsid w:val="00734B7F"/>
    <w:rsid w:val="00735922"/>
    <w:rsid w:val="0073715F"/>
    <w:rsid w:val="007404C7"/>
    <w:rsid w:val="00740A61"/>
    <w:rsid w:val="00743B66"/>
    <w:rsid w:val="00751D9C"/>
    <w:rsid w:val="00753D08"/>
    <w:rsid w:val="00760E56"/>
    <w:rsid w:val="007657CC"/>
    <w:rsid w:val="007672F5"/>
    <w:rsid w:val="0077159A"/>
    <w:rsid w:val="00772F43"/>
    <w:rsid w:val="00773892"/>
    <w:rsid w:val="007850AF"/>
    <w:rsid w:val="0078532E"/>
    <w:rsid w:val="00793F2D"/>
    <w:rsid w:val="007A14BE"/>
    <w:rsid w:val="007A39F2"/>
    <w:rsid w:val="007A6A19"/>
    <w:rsid w:val="007B7019"/>
    <w:rsid w:val="007C2B85"/>
    <w:rsid w:val="007C3BBC"/>
    <w:rsid w:val="007C5275"/>
    <w:rsid w:val="007C53F6"/>
    <w:rsid w:val="007C675D"/>
    <w:rsid w:val="007D2733"/>
    <w:rsid w:val="007E64DE"/>
    <w:rsid w:val="007F33B5"/>
    <w:rsid w:val="007F3B3C"/>
    <w:rsid w:val="00815831"/>
    <w:rsid w:val="0082022E"/>
    <w:rsid w:val="00825A49"/>
    <w:rsid w:val="00832ED6"/>
    <w:rsid w:val="0084180E"/>
    <w:rsid w:val="00853936"/>
    <w:rsid w:val="00856388"/>
    <w:rsid w:val="00864D5B"/>
    <w:rsid w:val="008710BF"/>
    <w:rsid w:val="008726A4"/>
    <w:rsid w:val="00880805"/>
    <w:rsid w:val="00880B55"/>
    <w:rsid w:val="00890F93"/>
    <w:rsid w:val="0089431B"/>
    <w:rsid w:val="008A2706"/>
    <w:rsid w:val="008A3ACB"/>
    <w:rsid w:val="008B3B2B"/>
    <w:rsid w:val="008B68CA"/>
    <w:rsid w:val="008C1648"/>
    <w:rsid w:val="008E0275"/>
    <w:rsid w:val="008E5852"/>
    <w:rsid w:val="008E7320"/>
    <w:rsid w:val="0090394F"/>
    <w:rsid w:val="00915D8E"/>
    <w:rsid w:val="00917434"/>
    <w:rsid w:val="009253A8"/>
    <w:rsid w:val="00930041"/>
    <w:rsid w:val="00937960"/>
    <w:rsid w:val="009425E3"/>
    <w:rsid w:val="00951237"/>
    <w:rsid w:val="00952018"/>
    <w:rsid w:val="009561DD"/>
    <w:rsid w:val="00960571"/>
    <w:rsid w:val="00967D2C"/>
    <w:rsid w:val="00967DFC"/>
    <w:rsid w:val="00970FF5"/>
    <w:rsid w:val="00980814"/>
    <w:rsid w:val="00984186"/>
    <w:rsid w:val="00990AC2"/>
    <w:rsid w:val="00992F19"/>
    <w:rsid w:val="009A262D"/>
    <w:rsid w:val="009A5CFE"/>
    <w:rsid w:val="009A7229"/>
    <w:rsid w:val="009B22B0"/>
    <w:rsid w:val="009C07E3"/>
    <w:rsid w:val="009C31A1"/>
    <w:rsid w:val="009C694E"/>
    <w:rsid w:val="009E3ED4"/>
    <w:rsid w:val="009E6976"/>
    <w:rsid w:val="00A04067"/>
    <w:rsid w:val="00A13B8C"/>
    <w:rsid w:val="00A17301"/>
    <w:rsid w:val="00A206E5"/>
    <w:rsid w:val="00A2416B"/>
    <w:rsid w:val="00A26CF6"/>
    <w:rsid w:val="00A33422"/>
    <w:rsid w:val="00A33C85"/>
    <w:rsid w:val="00A35F66"/>
    <w:rsid w:val="00A43BFB"/>
    <w:rsid w:val="00A47F1C"/>
    <w:rsid w:val="00A5138D"/>
    <w:rsid w:val="00A53953"/>
    <w:rsid w:val="00A564FE"/>
    <w:rsid w:val="00A56C78"/>
    <w:rsid w:val="00A67331"/>
    <w:rsid w:val="00A72754"/>
    <w:rsid w:val="00A72B30"/>
    <w:rsid w:val="00A81DC7"/>
    <w:rsid w:val="00A87121"/>
    <w:rsid w:val="00A9244B"/>
    <w:rsid w:val="00A94659"/>
    <w:rsid w:val="00A9486C"/>
    <w:rsid w:val="00A9654A"/>
    <w:rsid w:val="00A96F90"/>
    <w:rsid w:val="00AA3FBB"/>
    <w:rsid w:val="00AA68EB"/>
    <w:rsid w:val="00AB1610"/>
    <w:rsid w:val="00AB213B"/>
    <w:rsid w:val="00AB6523"/>
    <w:rsid w:val="00AB7A20"/>
    <w:rsid w:val="00AC0FE8"/>
    <w:rsid w:val="00AC407D"/>
    <w:rsid w:val="00AC60A2"/>
    <w:rsid w:val="00AC7E42"/>
    <w:rsid w:val="00AD4D3C"/>
    <w:rsid w:val="00AE4F6C"/>
    <w:rsid w:val="00AE7C85"/>
    <w:rsid w:val="00AE7F3D"/>
    <w:rsid w:val="00AF17D3"/>
    <w:rsid w:val="00AF221B"/>
    <w:rsid w:val="00B03D7E"/>
    <w:rsid w:val="00B06861"/>
    <w:rsid w:val="00B12C1C"/>
    <w:rsid w:val="00B12D43"/>
    <w:rsid w:val="00B2247D"/>
    <w:rsid w:val="00B22CEC"/>
    <w:rsid w:val="00B24E1B"/>
    <w:rsid w:val="00B30F07"/>
    <w:rsid w:val="00B45540"/>
    <w:rsid w:val="00B503B1"/>
    <w:rsid w:val="00B53743"/>
    <w:rsid w:val="00B54CD5"/>
    <w:rsid w:val="00B56BE9"/>
    <w:rsid w:val="00B572E2"/>
    <w:rsid w:val="00B679D2"/>
    <w:rsid w:val="00B766D7"/>
    <w:rsid w:val="00B87B72"/>
    <w:rsid w:val="00B9108F"/>
    <w:rsid w:val="00B9711E"/>
    <w:rsid w:val="00BA5591"/>
    <w:rsid w:val="00BC32A6"/>
    <w:rsid w:val="00BE3505"/>
    <w:rsid w:val="00BE40E7"/>
    <w:rsid w:val="00BE4FB2"/>
    <w:rsid w:val="00BF5015"/>
    <w:rsid w:val="00C01DF3"/>
    <w:rsid w:val="00C05636"/>
    <w:rsid w:val="00C12092"/>
    <w:rsid w:val="00C13AC5"/>
    <w:rsid w:val="00C16D59"/>
    <w:rsid w:val="00C226DB"/>
    <w:rsid w:val="00C31024"/>
    <w:rsid w:val="00C42265"/>
    <w:rsid w:val="00C42298"/>
    <w:rsid w:val="00C4234C"/>
    <w:rsid w:val="00C43BC9"/>
    <w:rsid w:val="00C43C0A"/>
    <w:rsid w:val="00C44983"/>
    <w:rsid w:val="00C4501B"/>
    <w:rsid w:val="00C458F1"/>
    <w:rsid w:val="00C60048"/>
    <w:rsid w:val="00C6004C"/>
    <w:rsid w:val="00C63219"/>
    <w:rsid w:val="00C6356F"/>
    <w:rsid w:val="00C65055"/>
    <w:rsid w:val="00C71D72"/>
    <w:rsid w:val="00CA12EB"/>
    <w:rsid w:val="00CA44DB"/>
    <w:rsid w:val="00CA4F85"/>
    <w:rsid w:val="00CA6BF9"/>
    <w:rsid w:val="00CA6C04"/>
    <w:rsid w:val="00CB5A18"/>
    <w:rsid w:val="00CC062B"/>
    <w:rsid w:val="00CC73FE"/>
    <w:rsid w:val="00CC7F74"/>
    <w:rsid w:val="00CD5C01"/>
    <w:rsid w:val="00CE7C6E"/>
    <w:rsid w:val="00CE7DAC"/>
    <w:rsid w:val="00CF056E"/>
    <w:rsid w:val="00CF1EC3"/>
    <w:rsid w:val="00CF2552"/>
    <w:rsid w:val="00D01D98"/>
    <w:rsid w:val="00D15E7F"/>
    <w:rsid w:val="00D1706C"/>
    <w:rsid w:val="00D22611"/>
    <w:rsid w:val="00D24176"/>
    <w:rsid w:val="00D27348"/>
    <w:rsid w:val="00D27704"/>
    <w:rsid w:val="00D30F18"/>
    <w:rsid w:val="00D31161"/>
    <w:rsid w:val="00D32C1C"/>
    <w:rsid w:val="00D32C7A"/>
    <w:rsid w:val="00D33282"/>
    <w:rsid w:val="00D358A0"/>
    <w:rsid w:val="00D403BF"/>
    <w:rsid w:val="00D40960"/>
    <w:rsid w:val="00D41E9A"/>
    <w:rsid w:val="00D46A81"/>
    <w:rsid w:val="00D52D5F"/>
    <w:rsid w:val="00D565BC"/>
    <w:rsid w:val="00D6148A"/>
    <w:rsid w:val="00D63CEF"/>
    <w:rsid w:val="00D66643"/>
    <w:rsid w:val="00D7431E"/>
    <w:rsid w:val="00D7560C"/>
    <w:rsid w:val="00D76E21"/>
    <w:rsid w:val="00D92C88"/>
    <w:rsid w:val="00DA0120"/>
    <w:rsid w:val="00DA159D"/>
    <w:rsid w:val="00DA7DDB"/>
    <w:rsid w:val="00DC33A4"/>
    <w:rsid w:val="00DC70FE"/>
    <w:rsid w:val="00DD3CC6"/>
    <w:rsid w:val="00DE5C54"/>
    <w:rsid w:val="00DF595E"/>
    <w:rsid w:val="00DF7E56"/>
    <w:rsid w:val="00E0622B"/>
    <w:rsid w:val="00E1693C"/>
    <w:rsid w:val="00E212D2"/>
    <w:rsid w:val="00E21926"/>
    <w:rsid w:val="00E24623"/>
    <w:rsid w:val="00E34495"/>
    <w:rsid w:val="00E35242"/>
    <w:rsid w:val="00E40EF3"/>
    <w:rsid w:val="00E50FB6"/>
    <w:rsid w:val="00E55F5B"/>
    <w:rsid w:val="00E65218"/>
    <w:rsid w:val="00E66636"/>
    <w:rsid w:val="00E71CC2"/>
    <w:rsid w:val="00E7711D"/>
    <w:rsid w:val="00E81004"/>
    <w:rsid w:val="00E8534E"/>
    <w:rsid w:val="00EA0C3A"/>
    <w:rsid w:val="00EB6433"/>
    <w:rsid w:val="00ED0FC8"/>
    <w:rsid w:val="00ED2B8D"/>
    <w:rsid w:val="00ED4CC0"/>
    <w:rsid w:val="00EF1749"/>
    <w:rsid w:val="00EF68E0"/>
    <w:rsid w:val="00F01E3E"/>
    <w:rsid w:val="00F079F4"/>
    <w:rsid w:val="00F16901"/>
    <w:rsid w:val="00F2051B"/>
    <w:rsid w:val="00F21471"/>
    <w:rsid w:val="00F22199"/>
    <w:rsid w:val="00F30A78"/>
    <w:rsid w:val="00F31468"/>
    <w:rsid w:val="00F32E3D"/>
    <w:rsid w:val="00F3641D"/>
    <w:rsid w:val="00F41255"/>
    <w:rsid w:val="00F43BAA"/>
    <w:rsid w:val="00F50D75"/>
    <w:rsid w:val="00F557D7"/>
    <w:rsid w:val="00F64382"/>
    <w:rsid w:val="00F6485E"/>
    <w:rsid w:val="00F91EC8"/>
    <w:rsid w:val="00F969E9"/>
    <w:rsid w:val="00F97E63"/>
    <w:rsid w:val="00FA26EA"/>
    <w:rsid w:val="00FA632A"/>
    <w:rsid w:val="00FB0A44"/>
    <w:rsid w:val="00FB1438"/>
    <w:rsid w:val="00FB6FEA"/>
    <w:rsid w:val="00FC14DB"/>
    <w:rsid w:val="00FD0BAE"/>
    <w:rsid w:val="00FD467A"/>
    <w:rsid w:val="00FD620E"/>
    <w:rsid w:val="00FD6280"/>
    <w:rsid w:val="00FE16F8"/>
    <w:rsid w:val="00FE765F"/>
    <w:rsid w:val="00FF060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E589D"/>
  <w14:defaultImageDpi w14:val="0"/>
  <w15:docId w15:val="{5E797E73-DE6D-4502-82B6-CCE79621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015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24E1B"/>
    <w:pPr>
      <w:keepNext/>
      <w:overflowPunct w:val="0"/>
      <w:autoSpaceDE w:val="0"/>
      <w:autoSpaceDN w:val="0"/>
      <w:adjustRightInd w:val="0"/>
      <w:spacing w:before="60" w:after="0" w:line="240" w:lineRule="atLeast"/>
      <w:jc w:val="center"/>
      <w:textAlignment w:val="baseline"/>
      <w:outlineLvl w:val="0"/>
    </w:pPr>
    <w:rPr>
      <w:rFonts w:ascii="Times New Roman" w:hAnsi="Times New Roman" w:cs="Times New Roman"/>
      <w:b/>
      <w:sz w:val="24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32ED6"/>
    <w:pPr>
      <w:suppressAutoHyphens/>
      <w:spacing w:after="120" w:line="240" w:lineRule="auto"/>
      <w:jc w:val="both"/>
    </w:pPr>
    <w:rPr>
      <w:rFonts w:ascii="Tahoma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2ED6"/>
    <w:rPr>
      <w:rFonts w:ascii="Tahoma" w:hAnsi="Tahoma" w:cs="Times New Roman"/>
      <w:sz w:val="24"/>
      <w:lang w:val="x-none" w:eastAsia="zh-CN"/>
    </w:rPr>
  </w:style>
  <w:style w:type="paragraph" w:styleId="Normlnweb">
    <w:name w:val="Normal (Web)"/>
    <w:basedOn w:val="Normln"/>
    <w:uiPriority w:val="99"/>
    <w:rsid w:val="00832ED6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Bezmezer">
    <w:name w:val="No Spacing"/>
    <w:uiPriority w:val="99"/>
    <w:qFormat/>
    <w:rsid w:val="0082022E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7850A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850AF"/>
  </w:style>
  <w:style w:type="paragraph" w:customStyle="1" w:styleId="Default">
    <w:name w:val="Default"/>
    <w:rsid w:val="0078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7B7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B87B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7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7B72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7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7B72"/>
    <w:rPr>
      <w:rFonts w:cs="Times New Roman"/>
      <w:b/>
      <w:sz w:val="20"/>
    </w:rPr>
  </w:style>
  <w:style w:type="paragraph" w:styleId="Prosttext">
    <w:name w:val="Plain Text"/>
    <w:basedOn w:val="Normln"/>
    <w:link w:val="ProsttextChar"/>
    <w:uiPriority w:val="99"/>
    <w:rsid w:val="00DF595E"/>
    <w:pPr>
      <w:spacing w:after="0" w:line="240" w:lineRule="auto"/>
    </w:pPr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F595E"/>
    <w:rPr>
      <w:rFonts w:ascii="Calibri" w:hAnsi="Calibri" w:cs="Times New Roman"/>
      <w:sz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214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21471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F21471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32C3"/>
    <w:rPr>
      <w:rFonts w:cs="Times New Roman"/>
    </w:rPr>
  </w:style>
  <w:style w:type="paragraph" w:styleId="Zpat">
    <w:name w:val="footer"/>
    <w:basedOn w:val="Normln"/>
    <w:link w:val="Zpat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932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418D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0ED2"/>
    <w:rPr>
      <w:rFonts w:cs="Times New Roman"/>
      <w:color w:val="605E5C"/>
      <w:shd w:val="clear" w:color="auto" w:fill="E1DFDD"/>
    </w:rPr>
  </w:style>
  <w:style w:type="table" w:customStyle="1" w:styleId="Mkatabulky1">
    <w:name w:val="Mřížka tabulky1"/>
    <w:basedOn w:val="Normlntabulka"/>
    <w:uiPriority w:val="59"/>
    <w:rsid w:val="006F0EF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47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24E1B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B24E1B"/>
    <w:rPr>
      <w:rFonts w:ascii="Times New Roman" w:hAnsi="Times New Roman" w:cs="Times New Roman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tich@leon-taur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roslav.smejkal@to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arc@mestodobri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ajemn&#237;k\VZORY\VZMR\Smlouvy\VZOR%20dodatk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B823-C888-4B6F-8356-0CFFBD8E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dodatku</Template>
  <TotalTime>71</TotalTime>
  <Pages>1</Pages>
  <Words>1633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Peterková Julie</dc:creator>
  <cp:lastModifiedBy>Kořínková Jitka</cp:lastModifiedBy>
  <cp:revision>7</cp:revision>
  <cp:lastPrinted>2024-04-30T06:39:00Z</cp:lastPrinted>
  <dcterms:created xsi:type="dcterms:W3CDTF">2024-04-29T10:53:00Z</dcterms:created>
  <dcterms:modified xsi:type="dcterms:W3CDTF">2024-04-30T06:42:00Z</dcterms:modified>
</cp:coreProperties>
</file>