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635" w:rsidRPr="008B5109" w:rsidRDefault="008B5109" w:rsidP="00042635">
      <w:pPr>
        <w:spacing w:before="120" w:after="240"/>
        <w:rPr>
          <w:b/>
          <w:sz w:val="28"/>
          <w:szCs w:val="28"/>
          <w:u w:val="single"/>
        </w:rPr>
      </w:pPr>
      <w:bookmarkStart w:id="0" w:name="_Hlk135809735"/>
      <w:bookmarkEnd w:id="0"/>
      <w:r w:rsidRPr="008B5109">
        <w:rPr>
          <w:b/>
          <w:sz w:val="28"/>
          <w:szCs w:val="28"/>
          <w:u w:val="single"/>
        </w:rPr>
        <w:t>Technická specifikace</w:t>
      </w:r>
    </w:p>
    <w:p w:rsidR="00B36B5F" w:rsidRDefault="00B36B5F" w:rsidP="00B36B5F">
      <w:pPr>
        <w:tabs>
          <w:tab w:val="left" w:pos="567"/>
        </w:tabs>
        <w:jc w:val="both"/>
        <w:rPr>
          <w:bCs/>
          <w:sz w:val="24"/>
          <w:szCs w:val="24"/>
        </w:rPr>
      </w:pPr>
      <w:r w:rsidRPr="00B36B5F">
        <w:rPr>
          <w:bCs/>
          <w:sz w:val="24"/>
          <w:szCs w:val="24"/>
        </w:rPr>
        <w:t xml:space="preserve">Objektová správa – údržba v objektech </w:t>
      </w:r>
      <w:r>
        <w:rPr>
          <w:bCs/>
          <w:sz w:val="24"/>
          <w:szCs w:val="24"/>
        </w:rPr>
        <w:t>níže</w:t>
      </w:r>
      <w:r w:rsidRPr="00B36B5F">
        <w:rPr>
          <w:bCs/>
          <w:sz w:val="24"/>
          <w:szCs w:val="24"/>
        </w:rPr>
        <w:t xml:space="preserve"> uvedených</w:t>
      </w:r>
      <w:r>
        <w:rPr>
          <w:bCs/>
          <w:sz w:val="24"/>
          <w:szCs w:val="24"/>
        </w:rPr>
        <w:t>.</w:t>
      </w:r>
    </w:p>
    <w:p w:rsidR="00B36B5F" w:rsidRPr="00B36B5F" w:rsidRDefault="00B36B5F" w:rsidP="00B36B5F">
      <w:pPr>
        <w:tabs>
          <w:tab w:val="left" w:pos="567"/>
        </w:tabs>
        <w:jc w:val="both"/>
        <w:rPr>
          <w:bCs/>
          <w:sz w:val="24"/>
          <w:szCs w:val="24"/>
        </w:rPr>
      </w:pPr>
    </w:p>
    <w:p w:rsidR="008B5109" w:rsidRPr="00B36B5F" w:rsidRDefault="00B36B5F" w:rsidP="00B36B5F">
      <w:pPr>
        <w:tabs>
          <w:tab w:val="left" w:pos="567"/>
        </w:tabs>
        <w:jc w:val="both"/>
        <w:rPr>
          <w:bCs/>
          <w:sz w:val="24"/>
          <w:szCs w:val="24"/>
        </w:rPr>
      </w:pPr>
      <w:r w:rsidRPr="00B36B5F">
        <w:rPr>
          <w:bCs/>
          <w:sz w:val="24"/>
          <w:szCs w:val="24"/>
        </w:rPr>
        <w:t>Předmětem zakázky je odstranění závad a zajištění operativní údržby objektů, stavebních prvků, technologií a dalšího zařízení v závislosti na specific</w:t>
      </w:r>
      <w:r w:rsidR="00EF6725">
        <w:rPr>
          <w:bCs/>
          <w:sz w:val="24"/>
          <w:szCs w:val="24"/>
        </w:rPr>
        <w:t>e</w:t>
      </w:r>
      <w:r w:rsidRPr="00B36B5F">
        <w:rPr>
          <w:bCs/>
          <w:sz w:val="24"/>
          <w:szCs w:val="24"/>
        </w:rPr>
        <w:t xml:space="preserve"> objektu v</w:t>
      </w:r>
      <w:r>
        <w:rPr>
          <w:bCs/>
          <w:sz w:val="24"/>
          <w:szCs w:val="24"/>
        </w:rPr>
        <w:t> </w:t>
      </w:r>
      <w:r w:rsidRPr="00B36B5F">
        <w:rPr>
          <w:bCs/>
          <w:sz w:val="24"/>
          <w:szCs w:val="24"/>
        </w:rPr>
        <w:t>oblasti</w:t>
      </w:r>
      <w:r>
        <w:rPr>
          <w:bCs/>
          <w:sz w:val="24"/>
          <w:szCs w:val="24"/>
        </w:rPr>
        <w:t xml:space="preserve"> </w:t>
      </w:r>
      <w:r w:rsidR="00D64F71">
        <w:rPr>
          <w:bCs/>
          <w:sz w:val="24"/>
          <w:szCs w:val="24"/>
        </w:rPr>
        <w:t>jižní a západní</w:t>
      </w:r>
      <w:r>
        <w:rPr>
          <w:bCs/>
          <w:sz w:val="24"/>
          <w:szCs w:val="24"/>
        </w:rPr>
        <w:t xml:space="preserve"> Čechy</w:t>
      </w:r>
      <w:r w:rsidR="008B5109" w:rsidRPr="00B36B5F">
        <w:rPr>
          <w:bCs/>
          <w:sz w:val="24"/>
          <w:szCs w:val="24"/>
        </w:rPr>
        <w:t>.</w:t>
      </w:r>
    </w:p>
    <w:p w:rsidR="00B04E41" w:rsidRDefault="00B04E41" w:rsidP="008B5109">
      <w:pPr>
        <w:jc w:val="both"/>
        <w:rPr>
          <w:sz w:val="24"/>
          <w:szCs w:val="24"/>
        </w:rPr>
      </w:pPr>
    </w:p>
    <w:p w:rsidR="00B04E41" w:rsidRDefault="00B04E41" w:rsidP="00B04E41">
      <w:pPr>
        <w:spacing w:before="120" w:after="24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Seznam objektů</w:t>
      </w:r>
      <w:r w:rsidRPr="00C77A28">
        <w:rPr>
          <w:b/>
          <w:sz w:val="24"/>
          <w:szCs w:val="24"/>
          <w:u w:val="single"/>
        </w:rPr>
        <w:t>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5978"/>
      </w:tblGrid>
      <w:tr w:rsidR="00B04E41" w:rsidRPr="00780290" w:rsidTr="00B04E41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41" w:rsidRPr="00780290" w:rsidRDefault="00B04E41" w:rsidP="00414162">
            <w:pPr>
              <w:rPr>
                <w:b/>
                <w:bCs/>
                <w:color w:val="000000"/>
              </w:rPr>
            </w:pPr>
            <w:r w:rsidRPr="00780290">
              <w:rPr>
                <w:b/>
                <w:bCs/>
                <w:color w:val="000000"/>
              </w:rPr>
              <w:t>Název objektu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E41" w:rsidRPr="00780290" w:rsidRDefault="00B04E41" w:rsidP="00414162">
            <w:pPr>
              <w:rPr>
                <w:b/>
                <w:bCs/>
                <w:color w:val="000000"/>
              </w:rPr>
            </w:pPr>
            <w:r w:rsidRPr="00780290">
              <w:rPr>
                <w:b/>
                <w:bCs/>
                <w:color w:val="000000"/>
              </w:rPr>
              <w:t>Adresa</w:t>
            </w:r>
          </w:p>
        </w:tc>
      </w:tr>
      <w:tr w:rsidR="00B04E41" w:rsidRPr="00780290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E41" w:rsidRPr="00780290" w:rsidRDefault="00B04E41" w:rsidP="00414162">
            <w:pPr>
              <w:rPr>
                <w:color w:val="000000"/>
              </w:rPr>
            </w:pPr>
          </w:p>
        </w:tc>
      </w:tr>
      <w:tr w:rsidR="00D64F71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Depo Jindřichův Hradec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 xml:space="preserve">Jindřichův Hradec, </w:t>
            </w:r>
            <w:proofErr w:type="spellStart"/>
            <w:r w:rsidRPr="00D64F71">
              <w:rPr>
                <w:color w:val="000000"/>
                <w:sz w:val="24"/>
                <w:szCs w:val="24"/>
              </w:rPr>
              <w:t>Jarošovská</w:t>
            </w:r>
            <w:proofErr w:type="spellEnd"/>
            <w:r w:rsidRPr="00D64F71">
              <w:rPr>
                <w:color w:val="000000"/>
                <w:sz w:val="24"/>
                <w:szCs w:val="24"/>
              </w:rPr>
              <w:t xml:space="preserve"> 696</w:t>
            </w:r>
            <w:r w:rsidR="00EA57A4">
              <w:rPr>
                <w:color w:val="000000"/>
                <w:sz w:val="24"/>
                <w:szCs w:val="24"/>
              </w:rPr>
              <w:t>, PSČ 377 01</w:t>
            </w:r>
          </w:p>
        </w:tc>
      </w:tr>
      <w:tr w:rsidR="00D64F71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Depo Prachatice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Prachatice, Pivovarská 1118</w:t>
            </w:r>
            <w:r w:rsidR="00EA57A4">
              <w:rPr>
                <w:color w:val="000000"/>
                <w:sz w:val="24"/>
                <w:szCs w:val="24"/>
              </w:rPr>
              <w:t>, PSČ 373 01</w:t>
            </w:r>
          </w:p>
        </w:tc>
      </w:tr>
      <w:tr w:rsidR="00D64F71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Depo Strakonice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Strakonice, Heydukova 42</w:t>
            </w:r>
            <w:r w:rsidR="00EA57A4">
              <w:rPr>
                <w:color w:val="000000"/>
                <w:sz w:val="24"/>
                <w:szCs w:val="24"/>
              </w:rPr>
              <w:t>, PSČ 386 01</w:t>
            </w:r>
          </w:p>
        </w:tc>
      </w:tr>
      <w:tr w:rsidR="00D64F71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Depo Tábor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Tábor, U Bechyňské dráhy 2926</w:t>
            </w:r>
            <w:r w:rsidR="00EA57A4">
              <w:rPr>
                <w:color w:val="000000"/>
                <w:sz w:val="24"/>
                <w:szCs w:val="24"/>
              </w:rPr>
              <w:t>, PSČ 390 02</w:t>
            </w:r>
          </w:p>
        </w:tc>
      </w:tr>
      <w:tr w:rsidR="00D64F71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DS Tábor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Tábor, Chýnovská 2561</w:t>
            </w:r>
            <w:r w:rsidR="00EA57A4">
              <w:rPr>
                <w:color w:val="000000"/>
                <w:sz w:val="24"/>
                <w:szCs w:val="24"/>
              </w:rPr>
              <w:t>, PSČ 390 02</w:t>
            </w:r>
          </w:p>
        </w:tc>
      </w:tr>
      <w:tr w:rsidR="00D64F71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Depo Pelhřimov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 xml:space="preserve">Pelhřimov, </w:t>
            </w:r>
            <w:proofErr w:type="spellStart"/>
            <w:r w:rsidRPr="00D64F71">
              <w:rPr>
                <w:color w:val="000000"/>
                <w:sz w:val="24"/>
                <w:szCs w:val="24"/>
              </w:rPr>
              <w:t>Myslotínská</w:t>
            </w:r>
            <w:proofErr w:type="spellEnd"/>
            <w:r w:rsidRPr="00D64F71">
              <w:rPr>
                <w:color w:val="000000"/>
                <w:sz w:val="24"/>
                <w:szCs w:val="24"/>
              </w:rPr>
              <w:t xml:space="preserve"> 1786</w:t>
            </w:r>
            <w:r w:rsidR="00EA57A4">
              <w:rPr>
                <w:color w:val="000000"/>
                <w:sz w:val="24"/>
                <w:szCs w:val="24"/>
              </w:rPr>
              <w:t>, PSČ 393 01</w:t>
            </w:r>
          </w:p>
        </w:tc>
      </w:tr>
      <w:tr w:rsidR="00D64F71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Depo Písek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Písek, Žižkova třída 270/2</w:t>
            </w:r>
            <w:r w:rsidR="00EA57A4">
              <w:rPr>
                <w:color w:val="000000"/>
                <w:sz w:val="24"/>
                <w:szCs w:val="24"/>
              </w:rPr>
              <w:t>, PSČ 397 01</w:t>
            </w:r>
          </w:p>
        </w:tc>
      </w:tr>
      <w:tr w:rsidR="00EA57A4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7A4" w:rsidRPr="00D64F71" w:rsidRDefault="00EA57A4" w:rsidP="00D64F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7A4" w:rsidRPr="00D64F71" w:rsidRDefault="00EA57A4" w:rsidP="00D64F71">
            <w:pPr>
              <w:rPr>
                <w:color w:val="000000"/>
                <w:sz w:val="24"/>
                <w:szCs w:val="24"/>
              </w:rPr>
            </w:pPr>
          </w:p>
        </w:tc>
      </w:tr>
      <w:tr w:rsidR="00D64F71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Depo Klatovy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Klatovy, Maxima Gorkého 655</w:t>
            </w:r>
            <w:r w:rsidR="00EA57A4">
              <w:rPr>
                <w:color w:val="000000"/>
                <w:sz w:val="24"/>
                <w:szCs w:val="24"/>
              </w:rPr>
              <w:t>, PSČ 339 01</w:t>
            </w:r>
          </w:p>
        </w:tc>
      </w:tr>
      <w:tr w:rsidR="00D64F71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Depo Domažlice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Domažlice, Cihlářská 620</w:t>
            </w:r>
            <w:r w:rsidR="00EA57A4">
              <w:rPr>
                <w:color w:val="000000"/>
                <w:sz w:val="24"/>
                <w:szCs w:val="24"/>
              </w:rPr>
              <w:t>, PSČ 344 01</w:t>
            </w:r>
          </w:p>
        </w:tc>
      </w:tr>
      <w:tr w:rsidR="00D64F71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Depo Tachov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Tachov, Hornická 1596</w:t>
            </w:r>
            <w:r w:rsidR="00EA57A4">
              <w:rPr>
                <w:color w:val="000000"/>
                <w:sz w:val="24"/>
                <w:szCs w:val="24"/>
              </w:rPr>
              <w:t>, PSČ 347 01</w:t>
            </w:r>
          </w:p>
        </w:tc>
      </w:tr>
      <w:tr w:rsidR="00D64F71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Depo Cheb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Cheb, Riegerova 1302/60</w:t>
            </w:r>
            <w:r w:rsidR="00EA57A4">
              <w:rPr>
                <w:color w:val="000000"/>
                <w:sz w:val="24"/>
                <w:szCs w:val="24"/>
              </w:rPr>
              <w:t>, PSČ 350 02</w:t>
            </w:r>
          </w:p>
        </w:tc>
      </w:tr>
      <w:tr w:rsidR="00D64F71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Depo Karlovy Vary 70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Karlovy Vary, Nákladní 925/29</w:t>
            </w:r>
            <w:r w:rsidR="00EA57A4">
              <w:rPr>
                <w:color w:val="000000"/>
                <w:sz w:val="24"/>
                <w:szCs w:val="24"/>
              </w:rPr>
              <w:t>, PSČ 360 10</w:t>
            </w:r>
          </w:p>
        </w:tc>
      </w:tr>
      <w:tr w:rsidR="00D64F71" w:rsidRPr="00D64F71" w:rsidTr="00B04E41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 xml:space="preserve">samostatná </w:t>
            </w:r>
            <w:proofErr w:type="spellStart"/>
            <w:r w:rsidRPr="00D64F71">
              <w:rPr>
                <w:color w:val="000000"/>
                <w:sz w:val="24"/>
                <w:szCs w:val="24"/>
              </w:rPr>
              <w:t>dodejna</w:t>
            </w:r>
            <w:proofErr w:type="spellEnd"/>
            <w:r w:rsidRPr="00D64F71">
              <w:rPr>
                <w:color w:val="000000"/>
                <w:sz w:val="24"/>
                <w:szCs w:val="24"/>
              </w:rPr>
              <w:t xml:space="preserve"> Sušice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F71" w:rsidRPr="00D64F71" w:rsidRDefault="00D64F71" w:rsidP="00D64F71">
            <w:pPr>
              <w:rPr>
                <w:color w:val="000000"/>
                <w:sz w:val="24"/>
                <w:szCs w:val="24"/>
              </w:rPr>
            </w:pPr>
            <w:r w:rsidRPr="00D64F71">
              <w:rPr>
                <w:color w:val="000000"/>
                <w:sz w:val="24"/>
                <w:szCs w:val="24"/>
              </w:rPr>
              <w:t>Sušice, Nádražní 678</w:t>
            </w:r>
            <w:r w:rsidR="00EA57A4">
              <w:rPr>
                <w:color w:val="000000"/>
                <w:sz w:val="24"/>
                <w:szCs w:val="24"/>
              </w:rPr>
              <w:t>, PSČ 342 01</w:t>
            </w:r>
          </w:p>
        </w:tc>
      </w:tr>
    </w:tbl>
    <w:p w:rsidR="00B04E41" w:rsidRDefault="00B04E41" w:rsidP="008B5109">
      <w:pPr>
        <w:jc w:val="both"/>
        <w:rPr>
          <w:sz w:val="24"/>
          <w:szCs w:val="24"/>
        </w:rPr>
      </w:pPr>
    </w:p>
    <w:p w:rsidR="00B36B5F" w:rsidRDefault="00B36B5F" w:rsidP="00B36B5F">
      <w:pPr>
        <w:spacing w:before="120" w:after="240" w:line="360" w:lineRule="auto"/>
      </w:pPr>
      <w:r>
        <w:rPr>
          <w:b/>
          <w:sz w:val="24"/>
          <w:szCs w:val="24"/>
          <w:u w:val="single"/>
        </w:rPr>
        <w:t>Předmět zakázky</w:t>
      </w:r>
      <w:r w:rsidR="00042635" w:rsidRPr="00C77A28">
        <w:rPr>
          <w:b/>
          <w:sz w:val="24"/>
          <w:szCs w:val="24"/>
          <w:u w:val="single"/>
        </w:rPr>
        <w:t>:</w:t>
      </w:r>
    </w:p>
    <w:p w:rsidR="00B36B5F" w:rsidRPr="00780290" w:rsidRDefault="00B36B5F" w:rsidP="00B36B5F">
      <w:pPr>
        <w:rPr>
          <w:b/>
          <w:bCs/>
          <w:sz w:val="24"/>
          <w:szCs w:val="24"/>
          <w:u w:val="single"/>
        </w:rPr>
      </w:pPr>
      <w:r w:rsidRPr="00780290">
        <w:rPr>
          <w:b/>
          <w:bCs/>
          <w:sz w:val="24"/>
          <w:szCs w:val="24"/>
          <w:u w:val="single"/>
        </w:rPr>
        <w:t xml:space="preserve">1. Běžná údržba včetně zajištění oprav dle </w:t>
      </w:r>
      <w:r w:rsidR="00780290">
        <w:rPr>
          <w:b/>
          <w:bCs/>
          <w:sz w:val="24"/>
          <w:szCs w:val="24"/>
          <w:u w:val="single"/>
        </w:rPr>
        <w:t>P</w:t>
      </w:r>
      <w:r w:rsidRPr="00780290">
        <w:rPr>
          <w:b/>
          <w:bCs/>
          <w:sz w:val="24"/>
          <w:szCs w:val="24"/>
          <w:u w:val="single"/>
        </w:rPr>
        <w:t>ožadavků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Zámečnické práce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Vodoinstalace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Truhlářské práce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Sklenářské práce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Stavební a přidružené práce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Elektroinstalace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Manipulační technika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Ostatní činnosti a služby</w:t>
      </w:r>
    </w:p>
    <w:p w:rsidR="00B04E41" w:rsidRPr="00B04E41" w:rsidRDefault="00B04E41" w:rsidP="00B36B5F">
      <w:pPr>
        <w:rPr>
          <w:sz w:val="24"/>
          <w:szCs w:val="24"/>
        </w:rPr>
      </w:pPr>
    </w:p>
    <w:p w:rsidR="00B36B5F" w:rsidRPr="00780290" w:rsidRDefault="00B36B5F" w:rsidP="00B36B5F">
      <w:pPr>
        <w:rPr>
          <w:b/>
          <w:bCs/>
          <w:sz w:val="24"/>
          <w:szCs w:val="24"/>
          <w:u w:val="single"/>
        </w:rPr>
      </w:pPr>
      <w:r w:rsidRPr="00780290">
        <w:rPr>
          <w:b/>
          <w:bCs/>
          <w:sz w:val="24"/>
          <w:szCs w:val="24"/>
          <w:u w:val="single"/>
        </w:rPr>
        <w:t>2. Servis a opravy technologií</w:t>
      </w:r>
      <w:r w:rsidR="00780290" w:rsidRPr="00780290">
        <w:rPr>
          <w:b/>
          <w:bCs/>
          <w:sz w:val="24"/>
          <w:szCs w:val="24"/>
          <w:u w:val="single"/>
        </w:rPr>
        <w:t xml:space="preserve"> dle Požadavků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 xml:space="preserve">Technologie chlazení, klima + VZT, zařízení </w:t>
      </w:r>
      <w:proofErr w:type="spellStart"/>
      <w:r w:rsidRPr="00B04E41">
        <w:rPr>
          <w:sz w:val="24"/>
          <w:szCs w:val="24"/>
        </w:rPr>
        <w:t>MaR</w:t>
      </w:r>
      <w:proofErr w:type="spellEnd"/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Technologie topení, kotelny, výměníkové stanice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Rozvody elektro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Vrata, brány, závory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Kanalizace, čerpadla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Zdvihací zařízení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Slaboproudá zařízení a rozvody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Silnoproudá zařízení</w:t>
      </w: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Požárně bezpečnostní zařízení</w:t>
      </w:r>
    </w:p>
    <w:p w:rsidR="00B36B5F" w:rsidRPr="00B04E41" w:rsidRDefault="00B36B5F" w:rsidP="00B36B5F">
      <w:pPr>
        <w:spacing w:before="120" w:after="120"/>
        <w:jc w:val="both"/>
        <w:rPr>
          <w:b/>
          <w:sz w:val="24"/>
          <w:szCs w:val="24"/>
        </w:rPr>
      </w:pPr>
    </w:p>
    <w:p w:rsidR="00B36B5F" w:rsidRPr="00B04E41" w:rsidRDefault="00B36B5F" w:rsidP="00B36B5F">
      <w:pPr>
        <w:rPr>
          <w:sz w:val="24"/>
          <w:szCs w:val="24"/>
        </w:rPr>
      </w:pPr>
      <w:r w:rsidRPr="00B04E41">
        <w:rPr>
          <w:sz w:val="24"/>
          <w:szCs w:val="24"/>
        </w:rPr>
        <w:t>Požadavky: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>Zajištění oprav v pracovních dnech v pracovní době, od 8.00 hod. do 16.30 hod., s garantovanou dobou zahájení opravy do 48 hodin od nahlášení požadavku. Havarijní opravy v mimopracovní době od 16.30 hod. do 8.00 hod. s garantovanou dobou zahájení opravy do 3 hodin od nahlášení požadavku, v mimopracovní dny s garantovanou dobou zahájení opravy do 5 hodin od nahlášení požadavku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 xml:space="preserve">Pro oblast </w:t>
      </w:r>
      <w:r w:rsidR="00EA57A4">
        <w:rPr>
          <w:sz w:val="24"/>
          <w:szCs w:val="24"/>
        </w:rPr>
        <w:t>jižní</w:t>
      </w:r>
      <w:r w:rsidRPr="00B04E41">
        <w:rPr>
          <w:sz w:val="24"/>
          <w:szCs w:val="24"/>
        </w:rPr>
        <w:t xml:space="preserve"> Čechy požadujeme 2 pracovníky, z nichž jeden bude elektrikář (odborná způsobilost v elektrotechnice, </w:t>
      </w:r>
      <w:r w:rsidR="007B43B0" w:rsidRPr="007B43B0">
        <w:rPr>
          <w:sz w:val="24"/>
          <w:szCs w:val="24"/>
        </w:rPr>
        <w:t>nařízení vlády č.190/2022 Sb., s min. kvalifikací dle § 6</w:t>
      </w:r>
      <w:r w:rsidR="008F23A0">
        <w:rPr>
          <w:sz w:val="24"/>
          <w:szCs w:val="24"/>
        </w:rPr>
        <w:t>)</w:t>
      </w:r>
      <w:r w:rsidR="007B43B0" w:rsidRPr="007B43B0">
        <w:rPr>
          <w:sz w:val="24"/>
          <w:szCs w:val="24"/>
        </w:rPr>
        <w:t xml:space="preserve"> </w:t>
      </w:r>
      <w:r w:rsidRPr="00B04E41">
        <w:rPr>
          <w:sz w:val="24"/>
          <w:szCs w:val="24"/>
        </w:rPr>
        <w:t>se služebním vozidlem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 xml:space="preserve">Pro oblast </w:t>
      </w:r>
      <w:r w:rsidR="00EA57A4">
        <w:rPr>
          <w:sz w:val="24"/>
          <w:szCs w:val="24"/>
        </w:rPr>
        <w:t>západní</w:t>
      </w:r>
      <w:r w:rsidRPr="00B04E41">
        <w:rPr>
          <w:sz w:val="24"/>
          <w:szCs w:val="24"/>
        </w:rPr>
        <w:t xml:space="preserve"> Čechy požadujeme 2 pracovníky, z nichž jeden bude elektrikář (odborná způsobilost v elektrotechnice, </w:t>
      </w:r>
      <w:r w:rsidR="007B43B0" w:rsidRPr="007B43B0">
        <w:rPr>
          <w:sz w:val="24"/>
          <w:szCs w:val="24"/>
        </w:rPr>
        <w:t>nařízení vlády č.190/2022 Sb., s min. kvalifikací dle § 6</w:t>
      </w:r>
      <w:r w:rsidR="008F23A0">
        <w:rPr>
          <w:sz w:val="24"/>
          <w:szCs w:val="24"/>
        </w:rPr>
        <w:t>)</w:t>
      </w:r>
      <w:r w:rsidR="007B43B0" w:rsidRPr="007B43B0">
        <w:rPr>
          <w:sz w:val="24"/>
          <w:szCs w:val="24"/>
        </w:rPr>
        <w:t xml:space="preserve"> </w:t>
      </w:r>
      <w:r w:rsidRPr="00B04E41">
        <w:rPr>
          <w:sz w:val="24"/>
          <w:szCs w:val="24"/>
        </w:rPr>
        <w:t>se služebním vozidlem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>Poskytnutí služby v pracovní dny od 8.00 hod. do 16.</w:t>
      </w:r>
      <w:r w:rsidR="00752950">
        <w:rPr>
          <w:sz w:val="24"/>
          <w:szCs w:val="24"/>
        </w:rPr>
        <w:t>3</w:t>
      </w:r>
      <w:r w:rsidRPr="00B04E41">
        <w:rPr>
          <w:sz w:val="24"/>
          <w:szCs w:val="24"/>
        </w:rPr>
        <w:t xml:space="preserve">0 hod. včetně veškerých nákladů na dopravu, času stráveného na cestě za účelem poskytnutí plnění bude účtováno hodinovou sazbou. Cena je cenou konečnou, nejvýše přípustnou a nemůže být zvýšena bez předchozího písemného souhlasu Objednatele. Materiál a náhradní díly budou v případě opravy účtovány podle skutečné spotřeby a dle aktuálního ceníku Dodavatele, nikoliv však cenou vyšší než obvyklou v místě a čase. 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A64466">
        <w:rPr>
          <w:sz w:val="24"/>
          <w:szCs w:val="24"/>
        </w:rPr>
        <w:t xml:space="preserve">Poskytnutí služby v mimopracovní době od 16.30 hod. do 8.00 hod. a v mimopracovní dny </w:t>
      </w:r>
      <w:r w:rsidR="00F07531" w:rsidRPr="00A64466">
        <w:rPr>
          <w:sz w:val="24"/>
          <w:szCs w:val="24"/>
        </w:rPr>
        <w:t>včetně veškerých nákladů na dopravu, času stráveného na cestě za účelem poskytnutí plnění bude účtováno hodinovou sazbou. Cena je cenou konečnou, nejvýše přípustnou a nemůže být zvýšena bez předchozího písemného souhlasu Objednatele</w:t>
      </w:r>
      <w:r w:rsidRPr="00A64466">
        <w:rPr>
          <w:sz w:val="24"/>
          <w:szCs w:val="24"/>
        </w:rPr>
        <w:t>. Materiál a náhradní díly budou v případě opravy účtovány podle skutečné spotřeby a dle aktuálního</w:t>
      </w:r>
      <w:r w:rsidRPr="00B04E41">
        <w:rPr>
          <w:sz w:val="24"/>
          <w:szCs w:val="24"/>
        </w:rPr>
        <w:t xml:space="preserve"> ceníku Dodavatele, nikoliv však cenou vyšší než obvyklou v místě a čase.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>Opravy (včetně dodávky materiálu a náhradních dílů) do celkové max. hodnoty 30 000 Kč,</w:t>
      </w:r>
      <w:r w:rsidR="00780290">
        <w:rPr>
          <w:sz w:val="24"/>
          <w:szCs w:val="24"/>
        </w:rPr>
        <w:t xml:space="preserve"> </w:t>
      </w:r>
      <w:r w:rsidRPr="00B04E41">
        <w:rPr>
          <w:sz w:val="24"/>
          <w:szCs w:val="24"/>
        </w:rPr>
        <w:t xml:space="preserve">bez DPH za každou jednotlivou opravu.  Provedení opravy nad uvedený limit podléhá písemnému schválení ze strany Objednatele. 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 xml:space="preserve">Dodavatel poskytuje Objednateli záruku na Služby na dobu šesti (6) měsíců ode dne převzetí příslušné služby Objednatelem bez jakýchkoliv vad a nedodělků. Dodavatel odpovídá za jakoukoliv vadu, jež se vyskytne v době trvání záruky. 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 xml:space="preserve">Dodavatel je povinen odstranit vady služby bezodkladně od jejich uplatnění Objednatelem. </w:t>
      </w:r>
    </w:p>
    <w:p w:rsidR="00B36B5F" w:rsidRPr="00B04E41" w:rsidRDefault="00B36B5F" w:rsidP="00B36B5F">
      <w:pPr>
        <w:pStyle w:val="Odstavecseseznamem"/>
        <w:numPr>
          <w:ilvl w:val="0"/>
          <w:numId w:val="36"/>
        </w:numPr>
        <w:spacing w:line="240" w:lineRule="auto"/>
        <w:contextualSpacing w:val="0"/>
        <w:rPr>
          <w:sz w:val="24"/>
          <w:szCs w:val="24"/>
        </w:rPr>
      </w:pPr>
      <w:r w:rsidRPr="00B04E41">
        <w:rPr>
          <w:sz w:val="24"/>
          <w:szCs w:val="24"/>
        </w:rPr>
        <w:t>K předání dokončené služby připraví dodavatel Akceptační protokol, který bude potvrzen oběma stranami (dodavatel x objednatel). Za objednatele to bude vždy vedoucí pracovník příslušného objektu či pracovník jím pověřený. Objednatel je oprávněn službu odmítnout převzít, pokud má služba vady. Odmítnutí převzetí služby bude uvedeno v Akceptačním protokolu. Akceptační protokol a vyčíslení nákladů bude ze strany Dodavatele odesláno nejpozději následující pracovní den po odstranění závady na příslušný e-mail</w:t>
      </w:r>
      <w:r w:rsidR="00780290">
        <w:rPr>
          <w:sz w:val="24"/>
          <w:szCs w:val="24"/>
        </w:rPr>
        <w:t>.</w:t>
      </w:r>
    </w:p>
    <w:p w:rsidR="00F706DD" w:rsidRPr="00B04E41" w:rsidRDefault="00F706DD" w:rsidP="00A43D62">
      <w:pPr>
        <w:spacing w:before="120" w:after="120"/>
        <w:jc w:val="both"/>
        <w:rPr>
          <w:noProof/>
          <w:sz w:val="24"/>
          <w:szCs w:val="24"/>
          <w:lang w:eastAsia="cs-CZ"/>
        </w:rPr>
      </w:pPr>
    </w:p>
    <w:sectPr w:rsidR="00F706DD" w:rsidRPr="00B04E41" w:rsidSect="00042635">
      <w:headerReference w:type="default" r:id="rId11"/>
      <w:footerReference w:type="default" r:id="rId12"/>
      <w:pgSz w:w="11906" w:h="16838" w:code="9"/>
      <w:pgMar w:top="2155" w:right="1133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6725" w:rsidRDefault="00436725" w:rsidP="00E26E3A">
      <w:pPr>
        <w:spacing w:line="240" w:lineRule="auto"/>
      </w:pPr>
      <w:r>
        <w:separator/>
      </w:r>
    </w:p>
  </w:endnote>
  <w:endnote w:type="continuationSeparator" w:id="0">
    <w:p w:rsidR="00436725" w:rsidRDefault="0043672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A5F" w:rsidRDefault="00044A5F" w:rsidP="005703A2">
    <w:pPr>
      <w:pStyle w:val="Zpat"/>
      <w:pBdr>
        <w:top w:val="single" w:sz="8" w:space="4" w:color="auto"/>
        <w:bottom w:val="single" w:sz="2" w:space="4" w:color="auto"/>
      </w:pBdr>
      <w:tabs>
        <w:tab w:val="clear" w:pos="9923"/>
        <w:tab w:val="right" w:pos="9639"/>
      </w:tabs>
    </w:pPr>
    <w:r w:rsidRPr="00BC552A">
      <w:t xml:space="preserve">Česká pošta, </w:t>
    </w:r>
    <w:proofErr w:type="spellStart"/>
    <w:r w:rsidRPr="00BC552A">
      <w:t>s.p</w:t>
    </w:r>
    <w:proofErr w:type="spellEnd"/>
    <w:r w:rsidRPr="00BC552A">
      <w:t>., se sídlem Politických vězňů 909/4, 225 99 Praha 1, IČ</w:t>
    </w:r>
    <w:r w:rsidR="006902BB">
      <w:t>O</w:t>
    </w:r>
    <w:r w:rsidRPr="00BC552A">
      <w:t>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0C38DD">
      <w:rPr>
        <w:noProof/>
      </w:rPr>
      <w:t>2</w:t>
    </w:r>
    <w:r>
      <w:fldChar w:fldCharType="end"/>
    </w:r>
    <w:r>
      <w:t>/</w:t>
    </w:r>
    <w:fldSimple w:instr=" NUMPAGES  \* Arabic  \* MERGEFORMAT ">
      <w:r w:rsidR="000C38DD">
        <w:rPr>
          <w:noProof/>
        </w:rPr>
        <w:t>4</w:t>
      </w:r>
    </w:fldSimple>
  </w:p>
  <w:p w:rsidR="00044A5F" w:rsidRDefault="00044A5F" w:rsidP="005703A2">
    <w:pPr>
      <w:pStyle w:val="Zpat"/>
      <w:tabs>
        <w:tab w:val="clear" w:pos="4513"/>
        <w:tab w:val="clear" w:pos="9923"/>
        <w:tab w:val="right" w:pos="9639"/>
      </w:tabs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Pr="00902CB7">
      <w:tab/>
    </w:r>
    <w:r w:rsidR="00BF7B77" w:rsidRPr="00BF7B77">
      <w:rPr>
        <w:sz w:val="12"/>
        <w:szCs w:val="12"/>
      </w:rPr>
      <w:t>www.ceskaposta.cz</w:t>
    </w:r>
  </w:p>
  <w:p w:rsidR="00BF7B77" w:rsidRPr="00D61A25" w:rsidRDefault="005703A2" w:rsidP="005703A2">
    <w:pPr>
      <w:pStyle w:val="Zpat"/>
      <w:tabs>
        <w:tab w:val="clear" w:pos="4513"/>
        <w:tab w:val="clear" w:pos="9923"/>
        <w:tab w:val="right" w:pos="9639"/>
      </w:tabs>
      <w:spacing w:before="40"/>
    </w:pPr>
    <w:r>
      <w:rPr>
        <w:sz w:val="12"/>
        <w:szCs w:val="12"/>
      </w:rPr>
      <w:tab/>
    </w:r>
    <w:r w:rsidR="00072009">
      <w:rPr>
        <w:sz w:val="12"/>
        <w:szCs w:val="12"/>
      </w:rPr>
      <w:t>verze 1.</w:t>
    </w:r>
    <w:r w:rsidR="006902BB">
      <w:rPr>
        <w:sz w:val="12"/>
        <w:szCs w:val="12"/>
      </w:rPr>
      <w:t>1</w:t>
    </w:r>
  </w:p>
  <w:p w:rsidR="004A6877" w:rsidRPr="00044A5F" w:rsidRDefault="004A6877" w:rsidP="00044A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6725" w:rsidRDefault="00436725" w:rsidP="00E26E3A">
      <w:pPr>
        <w:spacing w:line="240" w:lineRule="auto"/>
      </w:pPr>
      <w:r>
        <w:separator/>
      </w:r>
    </w:p>
  </w:footnote>
  <w:footnote w:type="continuationSeparator" w:id="0">
    <w:p w:rsidR="00436725" w:rsidRDefault="0043672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532" w:rsidRPr="00D050DA" w:rsidRDefault="00FA371B" w:rsidP="00A07F15">
    <w:pPr>
      <w:pStyle w:val="Zhlav"/>
      <w:tabs>
        <w:tab w:val="center" w:pos="1707"/>
      </w:tabs>
      <w:spacing w:before="260"/>
      <w:ind w:left="1701"/>
      <w:jc w:val="both"/>
      <w:rPr>
        <w:noProof/>
        <w:color w:val="548DD4"/>
        <w:sz w:val="18"/>
        <w:szCs w:val="18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568640" behindDoc="1" locked="0" layoutInCell="1" allowOverlap="1" wp14:anchorId="67F458D2" wp14:editId="24004E2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19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745792" behindDoc="1" locked="0" layoutInCell="1" allowOverlap="1" wp14:anchorId="3AC3DEAD" wp14:editId="074273E2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0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857408" behindDoc="1" locked="0" layoutInCell="1" allowOverlap="1" wp14:anchorId="1B646132" wp14:editId="74F1889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2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532">
      <w:rPr>
        <w:noProof/>
        <w:lang w:eastAsia="cs-CZ"/>
      </w:rPr>
      <w:tab/>
    </w:r>
    <w:r w:rsidR="00801532" w:rsidRPr="00D050DA">
      <w:rPr>
        <w:noProof/>
        <w:color w:val="548DD4"/>
        <w:sz w:val="18"/>
        <w:szCs w:val="18"/>
        <w:lang w:eastAsia="cs-CZ"/>
      </w:rPr>
      <w:t xml:space="preserve">Příloha č. </w:t>
    </w:r>
    <w:r w:rsidR="00A07F15">
      <w:rPr>
        <w:noProof/>
        <w:color w:val="548DD4"/>
        <w:sz w:val="18"/>
        <w:szCs w:val="18"/>
        <w:lang w:eastAsia="cs-CZ"/>
      </w:rPr>
      <w:t>1</w:t>
    </w:r>
    <w:r w:rsidR="00CC3C2B">
      <w:rPr>
        <w:noProof/>
        <w:color w:val="548DD4"/>
        <w:sz w:val="18"/>
        <w:szCs w:val="18"/>
        <w:lang w:eastAsia="cs-CZ"/>
      </w:rPr>
      <w:t xml:space="preserve"> Smlouvy o </w:t>
    </w:r>
    <w:r w:rsidR="00B36B5F" w:rsidRPr="00B36B5F">
      <w:rPr>
        <w:noProof/>
        <w:color w:val="548DD4"/>
        <w:sz w:val="18"/>
        <w:szCs w:val="18"/>
        <w:lang w:eastAsia="cs-CZ"/>
      </w:rPr>
      <w:t xml:space="preserve">zajištění objektové správy –  údržba pro oblast </w:t>
    </w:r>
    <w:r w:rsidR="00D64F71">
      <w:rPr>
        <w:noProof/>
        <w:color w:val="548DD4"/>
        <w:sz w:val="18"/>
        <w:szCs w:val="18"/>
        <w:lang w:eastAsia="cs-CZ"/>
      </w:rPr>
      <w:t>jižní a západní</w:t>
    </w:r>
    <w:r w:rsidR="00B36B5F" w:rsidRPr="00B36B5F">
      <w:rPr>
        <w:noProof/>
        <w:color w:val="548DD4"/>
        <w:sz w:val="18"/>
        <w:szCs w:val="18"/>
        <w:lang w:eastAsia="cs-CZ"/>
      </w:rPr>
      <w:t xml:space="preserve"> Čechy</w:t>
    </w:r>
  </w:p>
  <w:p w:rsidR="001F741B" w:rsidRPr="00D050DA" w:rsidRDefault="001F741B" w:rsidP="00801532">
    <w:pPr>
      <w:pStyle w:val="Zhlav"/>
      <w:rPr>
        <w:color w:val="548DD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2C9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B6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32F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44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EA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E0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8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420A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E0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364849"/>
    <w:multiLevelType w:val="hybridMultilevel"/>
    <w:tmpl w:val="AB7E7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DA3841"/>
    <w:multiLevelType w:val="multilevel"/>
    <w:tmpl w:val="9C82BBB8"/>
    <w:numStyleLink w:val="NumHeading"/>
  </w:abstractNum>
  <w:abstractNum w:abstractNumId="22" w15:restartNumberingAfterBreak="0">
    <w:nsid w:val="634B12AE"/>
    <w:multiLevelType w:val="hybridMultilevel"/>
    <w:tmpl w:val="93407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53995"/>
    <w:multiLevelType w:val="hybridMultilevel"/>
    <w:tmpl w:val="9926BD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B45C1"/>
    <w:multiLevelType w:val="hybridMultilevel"/>
    <w:tmpl w:val="0994C2F6"/>
    <w:lvl w:ilvl="0" w:tplc="CF6298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9933B9"/>
    <w:multiLevelType w:val="singleLevel"/>
    <w:tmpl w:val="2E748F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num w:numId="1" w16cid:durableId="875894745">
    <w:abstractNumId w:val="18"/>
  </w:num>
  <w:num w:numId="2" w16cid:durableId="2082218112">
    <w:abstractNumId w:val="12"/>
  </w:num>
  <w:num w:numId="3" w16cid:durableId="350113353">
    <w:abstractNumId w:val="19"/>
  </w:num>
  <w:num w:numId="4" w16cid:durableId="858668111">
    <w:abstractNumId w:val="14"/>
  </w:num>
  <w:num w:numId="5" w16cid:durableId="376703897">
    <w:abstractNumId w:val="26"/>
  </w:num>
  <w:num w:numId="6" w16cid:durableId="224604224">
    <w:abstractNumId w:val="27"/>
  </w:num>
  <w:num w:numId="7" w16cid:durableId="1914774257">
    <w:abstractNumId w:val="15"/>
  </w:num>
  <w:num w:numId="8" w16cid:durableId="815688690">
    <w:abstractNumId w:val="20"/>
  </w:num>
  <w:num w:numId="9" w16cid:durableId="140538686">
    <w:abstractNumId w:val="9"/>
  </w:num>
  <w:num w:numId="10" w16cid:durableId="753623091">
    <w:abstractNumId w:val="7"/>
  </w:num>
  <w:num w:numId="11" w16cid:durableId="1399790138">
    <w:abstractNumId w:val="6"/>
  </w:num>
  <w:num w:numId="12" w16cid:durableId="2084523081">
    <w:abstractNumId w:val="5"/>
  </w:num>
  <w:num w:numId="13" w16cid:durableId="257982379">
    <w:abstractNumId w:val="4"/>
  </w:num>
  <w:num w:numId="14" w16cid:durableId="99227222">
    <w:abstractNumId w:val="8"/>
  </w:num>
  <w:num w:numId="15" w16cid:durableId="613560592">
    <w:abstractNumId w:val="3"/>
  </w:num>
  <w:num w:numId="16" w16cid:durableId="637763304">
    <w:abstractNumId w:val="2"/>
  </w:num>
  <w:num w:numId="17" w16cid:durableId="950010833">
    <w:abstractNumId w:val="1"/>
  </w:num>
  <w:num w:numId="18" w16cid:durableId="363288387">
    <w:abstractNumId w:val="0"/>
  </w:num>
  <w:num w:numId="19" w16cid:durableId="1105689027">
    <w:abstractNumId w:val="17"/>
  </w:num>
  <w:num w:numId="20" w16cid:durableId="1755277639">
    <w:abstractNumId w:val="11"/>
  </w:num>
  <w:num w:numId="21" w16cid:durableId="277571701">
    <w:abstractNumId w:val="13"/>
  </w:num>
  <w:num w:numId="22" w16cid:durableId="1045564488">
    <w:abstractNumId w:val="21"/>
  </w:num>
  <w:num w:numId="23" w16cid:durableId="982078225">
    <w:abstractNumId w:val="21"/>
  </w:num>
  <w:num w:numId="24" w16cid:durableId="520819866">
    <w:abstractNumId w:val="21"/>
  </w:num>
  <w:num w:numId="25" w16cid:durableId="2145192842">
    <w:abstractNumId w:val="21"/>
  </w:num>
  <w:num w:numId="26" w16cid:durableId="979267437">
    <w:abstractNumId w:val="21"/>
  </w:num>
  <w:num w:numId="27" w16cid:durableId="15935822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98093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1133567">
    <w:abstractNumId w:val="28"/>
  </w:num>
  <w:num w:numId="30" w16cid:durableId="536285080">
    <w:abstractNumId w:val="8"/>
    <w:lvlOverride w:ilvl="0">
      <w:startOverride w:val="1"/>
    </w:lvlOverride>
  </w:num>
  <w:num w:numId="31" w16cid:durableId="614286154">
    <w:abstractNumId w:val="25"/>
  </w:num>
  <w:num w:numId="32" w16cid:durableId="2118870582">
    <w:abstractNumId w:val="23"/>
  </w:num>
  <w:num w:numId="33" w16cid:durableId="803894040">
    <w:abstractNumId w:val="10"/>
  </w:num>
  <w:num w:numId="34" w16cid:durableId="1032415754">
    <w:abstractNumId w:val="16"/>
  </w:num>
  <w:num w:numId="35" w16cid:durableId="1778716929">
    <w:abstractNumId w:val="22"/>
  </w:num>
  <w:num w:numId="36" w16cid:durableId="10238982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D0"/>
    <w:rsid w:val="00000695"/>
    <w:rsid w:val="000034AF"/>
    <w:rsid w:val="00006EB9"/>
    <w:rsid w:val="00012678"/>
    <w:rsid w:val="0002014B"/>
    <w:rsid w:val="000342D9"/>
    <w:rsid w:val="00040E78"/>
    <w:rsid w:val="0004133D"/>
    <w:rsid w:val="00042635"/>
    <w:rsid w:val="00043481"/>
    <w:rsid w:val="00044A5F"/>
    <w:rsid w:val="00045E64"/>
    <w:rsid w:val="00056015"/>
    <w:rsid w:val="0005768F"/>
    <w:rsid w:val="00057AB4"/>
    <w:rsid w:val="00062C85"/>
    <w:rsid w:val="000669E0"/>
    <w:rsid w:val="000703B6"/>
    <w:rsid w:val="00072009"/>
    <w:rsid w:val="00073A89"/>
    <w:rsid w:val="000774C5"/>
    <w:rsid w:val="000814C3"/>
    <w:rsid w:val="00093598"/>
    <w:rsid w:val="00096033"/>
    <w:rsid w:val="00096728"/>
    <w:rsid w:val="000A0541"/>
    <w:rsid w:val="000A731A"/>
    <w:rsid w:val="000A792D"/>
    <w:rsid w:val="000B0498"/>
    <w:rsid w:val="000B420C"/>
    <w:rsid w:val="000B6BD3"/>
    <w:rsid w:val="000C38DD"/>
    <w:rsid w:val="000C48EB"/>
    <w:rsid w:val="000E5FD7"/>
    <w:rsid w:val="000F5DA9"/>
    <w:rsid w:val="00100025"/>
    <w:rsid w:val="00100205"/>
    <w:rsid w:val="00105487"/>
    <w:rsid w:val="00110C1E"/>
    <w:rsid w:val="00112A0A"/>
    <w:rsid w:val="0011655A"/>
    <w:rsid w:val="00120AA9"/>
    <w:rsid w:val="00145277"/>
    <w:rsid w:val="00160222"/>
    <w:rsid w:val="00160A8C"/>
    <w:rsid w:val="00171DE6"/>
    <w:rsid w:val="00172AF4"/>
    <w:rsid w:val="00193DF2"/>
    <w:rsid w:val="001A0BEE"/>
    <w:rsid w:val="001B5A3B"/>
    <w:rsid w:val="001C03CE"/>
    <w:rsid w:val="001C7231"/>
    <w:rsid w:val="001D5F44"/>
    <w:rsid w:val="001F1AB6"/>
    <w:rsid w:val="001F58F5"/>
    <w:rsid w:val="001F741B"/>
    <w:rsid w:val="0020043F"/>
    <w:rsid w:val="00211595"/>
    <w:rsid w:val="00212034"/>
    <w:rsid w:val="0022161F"/>
    <w:rsid w:val="002250EC"/>
    <w:rsid w:val="002408E5"/>
    <w:rsid w:val="00242ABC"/>
    <w:rsid w:val="002476D2"/>
    <w:rsid w:val="00252EB2"/>
    <w:rsid w:val="002642A4"/>
    <w:rsid w:val="002818EB"/>
    <w:rsid w:val="00284F44"/>
    <w:rsid w:val="0028781B"/>
    <w:rsid w:val="002A06B6"/>
    <w:rsid w:val="002A69A8"/>
    <w:rsid w:val="002B1BD6"/>
    <w:rsid w:val="002B6E83"/>
    <w:rsid w:val="002B7B70"/>
    <w:rsid w:val="002C2020"/>
    <w:rsid w:val="002C6A2A"/>
    <w:rsid w:val="002C74FD"/>
    <w:rsid w:val="002D05A1"/>
    <w:rsid w:val="002D44AE"/>
    <w:rsid w:val="002F1F8B"/>
    <w:rsid w:val="002F25FD"/>
    <w:rsid w:val="002F5E86"/>
    <w:rsid w:val="00306AF3"/>
    <w:rsid w:val="003073A2"/>
    <w:rsid w:val="0030799E"/>
    <w:rsid w:val="00323797"/>
    <w:rsid w:val="0032736C"/>
    <w:rsid w:val="00331BB0"/>
    <w:rsid w:val="00332E6C"/>
    <w:rsid w:val="00362489"/>
    <w:rsid w:val="00365584"/>
    <w:rsid w:val="0037241A"/>
    <w:rsid w:val="0037503E"/>
    <w:rsid w:val="00375CBF"/>
    <w:rsid w:val="00383214"/>
    <w:rsid w:val="00391423"/>
    <w:rsid w:val="003920D7"/>
    <w:rsid w:val="003A2019"/>
    <w:rsid w:val="003A2929"/>
    <w:rsid w:val="003B1846"/>
    <w:rsid w:val="003C44B9"/>
    <w:rsid w:val="003C616C"/>
    <w:rsid w:val="003D0F49"/>
    <w:rsid w:val="003D3E99"/>
    <w:rsid w:val="003D405A"/>
    <w:rsid w:val="003F09A3"/>
    <w:rsid w:val="003F2867"/>
    <w:rsid w:val="003F398E"/>
    <w:rsid w:val="003F7A7B"/>
    <w:rsid w:val="00402408"/>
    <w:rsid w:val="00405C92"/>
    <w:rsid w:val="00407D36"/>
    <w:rsid w:val="00407D66"/>
    <w:rsid w:val="004177A0"/>
    <w:rsid w:val="00421EBA"/>
    <w:rsid w:val="00424C0E"/>
    <w:rsid w:val="00427C5C"/>
    <w:rsid w:val="004306E5"/>
    <w:rsid w:val="00436725"/>
    <w:rsid w:val="004369A2"/>
    <w:rsid w:val="004428E0"/>
    <w:rsid w:val="00445A9E"/>
    <w:rsid w:val="00460104"/>
    <w:rsid w:val="004656AF"/>
    <w:rsid w:val="0046680E"/>
    <w:rsid w:val="00475B62"/>
    <w:rsid w:val="00476253"/>
    <w:rsid w:val="0048220C"/>
    <w:rsid w:val="00482A89"/>
    <w:rsid w:val="004830E4"/>
    <w:rsid w:val="004833F0"/>
    <w:rsid w:val="004901B1"/>
    <w:rsid w:val="0049115C"/>
    <w:rsid w:val="004A529F"/>
    <w:rsid w:val="004A56A7"/>
    <w:rsid w:val="004A6877"/>
    <w:rsid w:val="004B40A4"/>
    <w:rsid w:val="004B76F6"/>
    <w:rsid w:val="004D1280"/>
    <w:rsid w:val="004D6AF7"/>
    <w:rsid w:val="004E308A"/>
    <w:rsid w:val="004E6BA4"/>
    <w:rsid w:val="004F226B"/>
    <w:rsid w:val="004F2FF8"/>
    <w:rsid w:val="004F4E82"/>
    <w:rsid w:val="004F6662"/>
    <w:rsid w:val="00500F8E"/>
    <w:rsid w:val="0050581D"/>
    <w:rsid w:val="00507645"/>
    <w:rsid w:val="005152CE"/>
    <w:rsid w:val="0052148E"/>
    <w:rsid w:val="00527E2E"/>
    <w:rsid w:val="00533C2D"/>
    <w:rsid w:val="00556448"/>
    <w:rsid w:val="005703A2"/>
    <w:rsid w:val="00571BD3"/>
    <w:rsid w:val="0057521C"/>
    <w:rsid w:val="00581C40"/>
    <w:rsid w:val="00583272"/>
    <w:rsid w:val="00591A7C"/>
    <w:rsid w:val="005A0248"/>
    <w:rsid w:val="005B1137"/>
    <w:rsid w:val="005B1149"/>
    <w:rsid w:val="005D0D54"/>
    <w:rsid w:val="005D418C"/>
    <w:rsid w:val="005D7102"/>
    <w:rsid w:val="005E5865"/>
    <w:rsid w:val="005E73D5"/>
    <w:rsid w:val="005E76A7"/>
    <w:rsid w:val="005F2789"/>
    <w:rsid w:val="006065B6"/>
    <w:rsid w:val="00606B3C"/>
    <w:rsid w:val="006121FA"/>
    <w:rsid w:val="00612AC9"/>
    <w:rsid w:val="00615724"/>
    <w:rsid w:val="00621419"/>
    <w:rsid w:val="00633670"/>
    <w:rsid w:val="006348DF"/>
    <w:rsid w:val="00636F4F"/>
    <w:rsid w:val="00640CC2"/>
    <w:rsid w:val="0065162E"/>
    <w:rsid w:val="0066127C"/>
    <w:rsid w:val="006723CB"/>
    <w:rsid w:val="006724EC"/>
    <w:rsid w:val="0068304F"/>
    <w:rsid w:val="0068642F"/>
    <w:rsid w:val="006902BB"/>
    <w:rsid w:val="006943A1"/>
    <w:rsid w:val="00696415"/>
    <w:rsid w:val="006A05FA"/>
    <w:rsid w:val="006A090E"/>
    <w:rsid w:val="006A783A"/>
    <w:rsid w:val="006B0A50"/>
    <w:rsid w:val="006B0D86"/>
    <w:rsid w:val="006B486E"/>
    <w:rsid w:val="006C166C"/>
    <w:rsid w:val="006C220D"/>
    <w:rsid w:val="006D041C"/>
    <w:rsid w:val="006D3A3A"/>
    <w:rsid w:val="006E5096"/>
    <w:rsid w:val="006E542C"/>
    <w:rsid w:val="006F0D72"/>
    <w:rsid w:val="006F0F52"/>
    <w:rsid w:val="006F1B96"/>
    <w:rsid w:val="00725B9A"/>
    <w:rsid w:val="00745BFA"/>
    <w:rsid w:val="00752950"/>
    <w:rsid w:val="00755447"/>
    <w:rsid w:val="00760A98"/>
    <w:rsid w:val="007617C4"/>
    <w:rsid w:val="00767D5B"/>
    <w:rsid w:val="00771238"/>
    <w:rsid w:val="00775AC5"/>
    <w:rsid w:val="00776DD4"/>
    <w:rsid w:val="00780290"/>
    <w:rsid w:val="007827C3"/>
    <w:rsid w:val="007836DF"/>
    <w:rsid w:val="00786B01"/>
    <w:rsid w:val="00791606"/>
    <w:rsid w:val="00792A9D"/>
    <w:rsid w:val="00796457"/>
    <w:rsid w:val="007A01B3"/>
    <w:rsid w:val="007B43B0"/>
    <w:rsid w:val="007B584B"/>
    <w:rsid w:val="007C0297"/>
    <w:rsid w:val="007C22F5"/>
    <w:rsid w:val="007C2DEA"/>
    <w:rsid w:val="007E2345"/>
    <w:rsid w:val="007E2CA8"/>
    <w:rsid w:val="007E5938"/>
    <w:rsid w:val="007F0442"/>
    <w:rsid w:val="007F39C2"/>
    <w:rsid w:val="00801532"/>
    <w:rsid w:val="00802D86"/>
    <w:rsid w:val="00816CE0"/>
    <w:rsid w:val="008210E1"/>
    <w:rsid w:val="00827F78"/>
    <w:rsid w:val="00843DF5"/>
    <w:rsid w:val="00845E00"/>
    <w:rsid w:val="00855AA2"/>
    <w:rsid w:val="0086114F"/>
    <w:rsid w:val="00882F70"/>
    <w:rsid w:val="00883BD6"/>
    <w:rsid w:val="00887ACC"/>
    <w:rsid w:val="00894A2B"/>
    <w:rsid w:val="008A3965"/>
    <w:rsid w:val="008A4B63"/>
    <w:rsid w:val="008B1F69"/>
    <w:rsid w:val="008B3038"/>
    <w:rsid w:val="008B5109"/>
    <w:rsid w:val="008C2A9D"/>
    <w:rsid w:val="008C40D3"/>
    <w:rsid w:val="008C6053"/>
    <w:rsid w:val="008D0A88"/>
    <w:rsid w:val="008D718A"/>
    <w:rsid w:val="008E25DE"/>
    <w:rsid w:val="008E4F1B"/>
    <w:rsid w:val="008E6643"/>
    <w:rsid w:val="008F0DAB"/>
    <w:rsid w:val="008F1CC4"/>
    <w:rsid w:val="008F23A0"/>
    <w:rsid w:val="008F6AD3"/>
    <w:rsid w:val="00902CB7"/>
    <w:rsid w:val="00903A61"/>
    <w:rsid w:val="00904643"/>
    <w:rsid w:val="0091328C"/>
    <w:rsid w:val="00914271"/>
    <w:rsid w:val="00922708"/>
    <w:rsid w:val="009246F5"/>
    <w:rsid w:val="0092519F"/>
    <w:rsid w:val="009314FB"/>
    <w:rsid w:val="00934A70"/>
    <w:rsid w:val="009359B1"/>
    <w:rsid w:val="00936F44"/>
    <w:rsid w:val="00941897"/>
    <w:rsid w:val="00943A1F"/>
    <w:rsid w:val="00952C0B"/>
    <w:rsid w:val="009561FE"/>
    <w:rsid w:val="00962D1D"/>
    <w:rsid w:val="00963C0C"/>
    <w:rsid w:val="00971006"/>
    <w:rsid w:val="009776C0"/>
    <w:rsid w:val="00980743"/>
    <w:rsid w:val="009841EF"/>
    <w:rsid w:val="00984C3B"/>
    <w:rsid w:val="009965D2"/>
    <w:rsid w:val="009A13DB"/>
    <w:rsid w:val="009A14A3"/>
    <w:rsid w:val="009A228C"/>
    <w:rsid w:val="009A4436"/>
    <w:rsid w:val="009A450B"/>
    <w:rsid w:val="009B09AF"/>
    <w:rsid w:val="009B6405"/>
    <w:rsid w:val="009B7BC3"/>
    <w:rsid w:val="009C0365"/>
    <w:rsid w:val="009D08DD"/>
    <w:rsid w:val="009D473C"/>
    <w:rsid w:val="009E1270"/>
    <w:rsid w:val="009E26E9"/>
    <w:rsid w:val="009E3977"/>
    <w:rsid w:val="009F3F2C"/>
    <w:rsid w:val="00A034BA"/>
    <w:rsid w:val="00A07F15"/>
    <w:rsid w:val="00A15BC2"/>
    <w:rsid w:val="00A237FF"/>
    <w:rsid w:val="00A26A51"/>
    <w:rsid w:val="00A302E5"/>
    <w:rsid w:val="00A36F9D"/>
    <w:rsid w:val="00A425C5"/>
    <w:rsid w:val="00A42B78"/>
    <w:rsid w:val="00A438D9"/>
    <w:rsid w:val="00A43CFC"/>
    <w:rsid w:val="00A43D62"/>
    <w:rsid w:val="00A43E53"/>
    <w:rsid w:val="00A46A28"/>
    <w:rsid w:val="00A47E45"/>
    <w:rsid w:val="00A601D7"/>
    <w:rsid w:val="00A63D41"/>
    <w:rsid w:val="00A64466"/>
    <w:rsid w:val="00A70AE6"/>
    <w:rsid w:val="00A70E34"/>
    <w:rsid w:val="00A93388"/>
    <w:rsid w:val="00A9549F"/>
    <w:rsid w:val="00A95F9B"/>
    <w:rsid w:val="00AA1110"/>
    <w:rsid w:val="00AA1CA1"/>
    <w:rsid w:val="00AA232B"/>
    <w:rsid w:val="00AB53AD"/>
    <w:rsid w:val="00AB6710"/>
    <w:rsid w:val="00AC7BD7"/>
    <w:rsid w:val="00AD533C"/>
    <w:rsid w:val="00AE4C9E"/>
    <w:rsid w:val="00AE53E9"/>
    <w:rsid w:val="00AE5CFB"/>
    <w:rsid w:val="00AF7BE9"/>
    <w:rsid w:val="00B02A9E"/>
    <w:rsid w:val="00B04E41"/>
    <w:rsid w:val="00B06533"/>
    <w:rsid w:val="00B06565"/>
    <w:rsid w:val="00B07A96"/>
    <w:rsid w:val="00B11CF3"/>
    <w:rsid w:val="00B12A6C"/>
    <w:rsid w:val="00B133A4"/>
    <w:rsid w:val="00B14688"/>
    <w:rsid w:val="00B227A0"/>
    <w:rsid w:val="00B2304C"/>
    <w:rsid w:val="00B2389A"/>
    <w:rsid w:val="00B341A2"/>
    <w:rsid w:val="00B36B5F"/>
    <w:rsid w:val="00B36FB7"/>
    <w:rsid w:val="00B47CB3"/>
    <w:rsid w:val="00B50A64"/>
    <w:rsid w:val="00B5349A"/>
    <w:rsid w:val="00B534C6"/>
    <w:rsid w:val="00B54469"/>
    <w:rsid w:val="00B55E03"/>
    <w:rsid w:val="00B61661"/>
    <w:rsid w:val="00B64301"/>
    <w:rsid w:val="00B737DA"/>
    <w:rsid w:val="00B74F4C"/>
    <w:rsid w:val="00B81C69"/>
    <w:rsid w:val="00B84948"/>
    <w:rsid w:val="00B93EE8"/>
    <w:rsid w:val="00B94504"/>
    <w:rsid w:val="00B97216"/>
    <w:rsid w:val="00BA207C"/>
    <w:rsid w:val="00BA4B21"/>
    <w:rsid w:val="00BC427D"/>
    <w:rsid w:val="00BC552A"/>
    <w:rsid w:val="00BD0430"/>
    <w:rsid w:val="00BD12D8"/>
    <w:rsid w:val="00BD1E5D"/>
    <w:rsid w:val="00BE0414"/>
    <w:rsid w:val="00BF7B77"/>
    <w:rsid w:val="00C037FF"/>
    <w:rsid w:val="00C14B81"/>
    <w:rsid w:val="00C270C2"/>
    <w:rsid w:val="00C3488F"/>
    <w:rsid w:val="00C41461"/>
    <w:rsid w:val="00C54B75"/>
    <w:rsid w:val="00C54D4F"/>
    <w:rsid w:val="00C5597A"/>
    <w:rsid w:val="00C5691C"/>
    <w:rsid w:val="00C57D0E"/>
    <w:rsid w:val="00C61967"/>
    <w:rsid w:val="00C62F73"/>
    <w:rsid w:val="00C75FE7"/>
    <w:rsid w:val="00C77A28"/>
    <w:rsid w:val="00C84F7F"/>
    <w:rsid w:val="00C85DB2"/>
    <w:rsid w:val="00C90DF3"/>
    <w:rsid w:val="00C93308"/>
    <w:rsid w:val="00C9465A"/>
    <w:rsid w:val="00CB21E0"/>
    <w:rsid w:val="00CC05C7"/>
    <w:rsid w:val="00CC15ED"/>
    <w:rsid w:val="00CC3C2B"/>
    <w:rsid w:val="00CD06D0"/>
    <w:rsid w:val="00CD3D70"/>
    <w:rsid w:val="00CD6A05"/>
    <w:rsid w:val="00CD725E"/>
    <w:rsid w:val="00CE0F91"/>
    <w:rsid w:val="00CF339C"/>
    <w:rsid w:val="00D00779"/>
    <w:rsid w:val="00D00C32"/>
    <w:rsid w:val="00D0465E"/>
    <w:rsid w:val="00D050DA"/>
    <w:rsid w:val="00D0669C"/>
    <w:rsid w:val="00D1579F"/>
    <w:rsid w:val="00D23E93"/>
    <w:rsid w:val="00D24F8A"/>
    <w:rsid w:val="00D25043"/>
    <w:rsid w:val="00D25607"/>
    <w:rsid w:val="00D25794"/>
    <w:rsid w:val="00D4754B"/>
    <w:rsid w:val="00D5486F"/>
    <w:rsid w:val="00D5799A"/>
    <w:rsid w:val="00D61A25"/>
    <w:rsid w:val="00D64F71"/>
    <w:rsid w:val="00D7684A"/>
    <w:rsid w:val="00D808B5"/>
    <w:rsid w:val="00D820D1"/>
    <w:rsid w:val="00D82AF5"/>
    <w:rsid w:val="00D90E21"/>
    <w:rsid w:val="00D9433B"/>
    <w:rsid w:val="00D95E76"/>
    <w:rsid w:val="00DA6CD3"/>
    <w:rsid w:val="00DB187E"/>
    <w:rsid w:val="00DB1D08"/>
    <w:rsid w:val="00DB2BD7"/>
    <w:rsid w:val="00DB357E"/>
    <w:rsid w:val="00DC2D71"/>
    <w:rsid w:val="00DC5B1E"/>
    <w:rsid w:val="00DD59B2"/>
    <w:rsid w:val="00DD7B99"/>
    <w:rsid w:val="00DE0545"/>
    <w:rsid w:val="00DF036E"/>
    <w:rsid w:val="00DF0CC7"/>
    <w:rsid w:val="00DF358C"/>
    <w:rsid w:val="00DF7EED"/>
    <w:rsid w:val="00E01274"/>
    <w:rsid w:val="00E04832"/>
    <w:rsid w:val="00E05E15"/>
    <w:rsid w:val="00E07B15"/>
    <w:rsid w:val="00E1509A"/>
    <w:rsid w:val="00E15A09"/>
    <w:rsid w:val="00E17E89"/>
    <w:rsid w:val="00E20F60"/>
    <w:rsid w:val="00E22D02"/>
    <w:rsid w:val="00E26E3A"/>
    <w:rsid w:val="00E31989"/>
    <w:rsid w:val="00E36EBF"/>
    <w:rsid w:val="00E37DE1"/>
    <w:rsid w:val="00E42B80"/>
    <w:rsid w:val="00E43C5E"/>
    <w:rsid w:val="00E6330D"/>
    <w:rsid w:val="00E63494"/>
    <w:rsid w:val="00E65854"/>
    <w:rsid w:val="00E66EB1"/>
    <w:rsid w:val="00E725F0"/>
    <w:rsid w:val="00E74528"/>
    <w:rsid w:val="00E85252"/>
    <w:rsid w:val="00E9081C"/>
    <w:rsid w:val="00E920D0"/>
    <w:rsid w:val="00EA15FD"/>
    <w:rsid w:val="00EA57A4"/>
    <w:rsid w:val="00ED5D50"/>
    <w:rsid w:val="00EF6725"/>
    <w:rsid w:val="00F02E6D"/>
    <w:rsid w:val="00F06435"/>
    <w:rsid w:val="00F07531"/>
    <w:rsid w:val="00F1751B"/>
    <w:rsid w:val="00F22F67"/>
    <w:rsid w:val="00F23A02"/>
    <w:rsid w:val="00F31999"/>
    <w:rsid w:val="00F328FA"/>
    <w:rsid w:val="00F352BC"/>
    <w:rsid w:val="00F40E62"/>
    <w:rsid w:val="00F414C2"/>
    <w:rsid w:val="00F42AF4"/>
    <w:rsid w:val="00F432E7"/>
    <w:rsid w:val="00F4506C"/>
    <w:rsid w:val="00F454C6"/>
    <w:rsid w:val="00F476DD"/>
    <w:rsid w:val="00F5648B"/>
    <w:rsid w:val="00F567A8"/>
    <w:rsid w:val="00F61807"/>
    <w:rsid w:val="00F61EFB"/>
    <w:rsid w:val="00F66E6E"/>
    <w:rsid w:val="00F706DD"/>
    <w:rsid w:val="00F71ACE"/>
    <w:rsid w:val="00F74583"/>
    <w:rsid w:val="00F821DD"/>
    <w:rsid w:val="00F837C5"/>
    <w:rsid w:val="00F84225"/>
    <w:rsid w:val="00F859CE"/>
    <w:rsid w:val="00F86B7E"/>
    <w:rsid w:val="00F870D8"/>
    <w:rsid w:val="00FA0521"/>
    <w:rsid w:val="00FA06E5"/>
    <w:rsid w:val="00FA371B"/>
    <w:rsid w:val="00FA5FCB"/>
    <w:rsid w:val="00FB5174"/>
    <w:rsid w:val="00FC11B7"/>
    <w:rsid w:val="00FC2141"/>
    <w:rsid w:val="00FD22E1"/>
    <w:rsid w:val="00FE1D78"/>
    <w:rsid w:val="00FE2B2E"/>
    <w:rsid w:val="00FE3A2B"/>
    <w:rsid w:val="00FE5758"/>
    <w:rsid w:val="00FF138D"/>
    <w:rsid w:val="00FF43BE"/>
    <w:rsid w:val="00FF4CA8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B1B14"/>
  <w15:docId w15:val="{8825DD9E-F7A3-4F90-A2AB-FB49A81D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AF4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42AF4"/>
    <w:pPr>
      <w:keepNext/>
      <w:keepLines/>
      <w:numPr>
        <w:numId w:val="26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0000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42AF4"/>
    <w:pPr>
      <w:keepNext/>
      <w:keepLines/>
      <w:numPr>
        <w:ilvl w:val="1"/>
        <w:numId w:val="26"/>
      </w:numPr>
      <w:spacing w:before="260" w:after="240" w:line="260" w:lineRule="atLeast"/>
      <w:ind w:left="851"/>
      <w:outlineLvl w:val="1"/>
    </w:pPr>
    <w:rPr>
      <w:rFonts w:ascii="Arial" w:eastAsia="Times New Roman" w:hAnsi="Arial"/>
      <w:b/>
      <w:bCs/>
      <w:color w:val="000000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42AF4"/>
    <w:pPr>
      <w:keepNext/>
      <w:keepLines/>
      <w:numPr>
        <w:ilvl w:val="2"/>
        <w:numId w:val="26"/>
      </w:numPr>
      <w:spacing w:before="260" w:after="120" w:line="260" w:lineRule="atLeast"/>
      <w:ind w:left="1304"/>
      <w:outlineLvl w:val="2"/>
    </w:pPr>
    <w:rPr>
      <w:rFonts w:ascii="Arial" w:eastAsia="Times New Roman" w:hAnsi="Arial"/>
      <w:b/>
      <w:bCs/>
      <w:color w:val="000000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F42AF4"/>
    <w:pPr>
      <w:keepNext/>
      <w:keepLines/>
      <w:numPr>
        <w:ilvl w:val="3"/>
        <w:numId w:val="26"/>
      </w:numPr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0000"/>
    </w:rPr>
  </w:style>
  <w:style w:type="paragraph" w:styleId="Nadpis5">
    <w:name w:val="heading 5"/>
    <w:basedOn w:val="Normln"/>
    <w:next w:val="cpNormal"/>
    <w:link w:val="Nadpis5Char"/>
    <w:uiPriority w:val="9"/>
    <w:qFormat/>
    <w:rsid w:val="00F42AF4"/>
    <w:pPr>
      <w:keepNext/>
      <w:keepLines/>
      <w:numPr>
        <w:ilvl w:val="4"/>
        <w:numId w:val="26"/>
      </w:numPr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42AF4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42AF4"/>
    <w:rPr>
      <w:rFonts w:ascii="Arial" w:eastAsia="Times New Roman" w:hAnsi="Arial"/>
      <w:b/>
      <w:bCs/>
      <w:color w:val="000000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06565"/>
    <w:pPr>
      <w:spacing w:after="300" w:line="240" w:lineRule="auto"/>
      <w:contextualSpacing/>
    </w:pPr>
    <w:rPr>
      <w:rFonts w:ascii="Arial" w:eastAsia="Times New Roman" w:hAnsi="Arial"/>
      <w:b/>
      <w:spacing w:val="5"/>
      <w:kern w:val="28"/>
      <w:sz w:val="36"/>
      <w:szCs w:val="52"/>
    </w:rPr>
  </w:style>
  <w:style w:type="character" w:customStyle="1" w:styleId="Nadpis2Char">
    <w:name w:val="Nadpis 2 Char"/>
    <w:link w:val="Nadpis2"/>
    <w:uiPriority w:val="9"/>
    <w:rsid w:val="00F42AF4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/>
      <w:b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42AF4"/>
    <w:rPr>
      <w:rFonts w:ascii="Arial" w:eastAsia="Times New Roman" w:hAnsi="Arial"/>
      <w:b/>
      <w:color w:val="000000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F42AF4"/>
    <w:rPr>
      <w:rFonts w:ascii="Arial" w:eastAsia="Times New Roman" w:hAnsi="Arial"/>
      <w:b/>
      <w:bCs/>
      <w:iCs/>
      <w:color w:val="000000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42AF4"/>
    <w:rPr>
      <w:rFonts w:ascii="Arial" w:eastAsia="Times New Roman" w:hAnsi="Arial"/>
      <w:b/>
      <w:bCs/>
      <w:color w:val="000000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F42AF4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B06565"/>
    <w:rPr>
      <w:b/>
      <w:bCs/>
      <w:smallCaps/>
      <w:spacing w:val="5"/>
    </w:rPr>
  </w:style>
  <w:style w:type="paragraph" w:customStyle="1" w:styleId="cpNormal1">
    <w:name w:val="cp_Normal_1"/>
    <w:basedOn w:val="Normln"/>
    <w:qFormat/>
    <w:rsid w:val="00CD06D0"/>
    <w:pPr>
      <w:spacing w:after="320" w:line="320" w:lineRule="exact"/>
    </w:pPr>
  </w:style>
  <w:style w:type="paragraph" w:styleId="Seznamsodrkami2">
    <w:name w:val="List Bullet 2"/>
    <w:basedOn w:val="Normln"/>
    <w:rsid w:val="00CD06D0"/>
    <w:pPr>
      <w:tabs>
        <w:tab w:val="num" w:pos="643"/>
      </w:tabs>
      <w:ind w:left="643" w:hanging="360"/>
    </w:pPr>
  </w:style>
  <w:style w:type="paragraph" w:styleId="slovanseznam">
    <w:name w:val="List Number"/>
    <w:basedOn w:val="Normln"/>
    <w:uiPriority w:val="99"/>
    <w:unhideWhenUsed/>
    <w:rsid w:val="00CD06D0"/>
    <w:pPr>
      <w:tabs>
        <w:tab w:val="num" w:pos="360"/>
      </w:tabs>
      <w:ind w:left="360" w:hanging="360"/>
      <w:contextualSpacing/>
    </w:pPr>
  </w:style>
  <w:style w:type="paragraph" w:styleId="Zkladntext">
    <w:name w:val="Body Text"/>
    <w:basedOn w:val="Normln"/>
    <w:link w:val="ZkladntextChar"/>
    <w:rsid w:val="00636F4F"/>
    <w:pPr>
      <w:spacing w:after="120"/>
    </w:pPr>
  </w:style>
  <w:style w:type="character" w:customStyle="1" w:styleId="ZkladntextChar">
    <w:name w:val="Základní text Char"/>
    <w:link w:val="Zkladntext"/>
    <w:rsid w:val="00636F4F"/>
    <w:rPr>
      <w:rFonts w:ascii="Times New Roman" w:hAnsi="Times New Roman"/>
      <w:sz w:val="22"/>
      <w:szCs w:val="22"/>
      <w:lang w:eastAsia="en-US"/>
    </w:rPr>
  </w:style>
  <w:style w:type="character" w:styleId="Znakapoznpodarou">
    <w:name w:val="footnote reference"/>
    <w:semiHidden/>
    <w:rsid w:val="00636F4F"/>
    <w:rPr>
      <w:vertAlign w:val="superscript"/>
    </w:rPr>
  </w:style>
  <w:style w:type="paragraph" w:customStyle="1" w:styleId="NormlnsWWW5">
    <w:name w:val="Normální (síť WWW)5"/>
    <w:basedOn w:val="Normln"/>
    <w:rsid w:val="00C90DF3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character" w:styleId="Odkaznakoment">
    <w:name w:val="annotation reference"/>
    <w:uiPriority w:val="99"/>
    <w:semiHidden/>
    <w:unhideWhenUsed/>
    <w:rsid w:val="00980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74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8074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7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80743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980743"/>
    <w:rPr>
      <w:rFonts w:ascii="Times New Roman" w:hAnsi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3E93"/>
    <w:pPr>
      <w:suppressAutoHyphens/>
      <w:spacing w:after="120" w:line="240" w:lineRule="auto"/>
      <w:ind w:left="283"/>
    </w:pPr>
    <w:rPr>
      <w:rFonts w:eastAsia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uiPriority w:val="99"/>
    <w:semiHidden/>
    <w:rsid w:val="00D23E93"/>
    <w:rPr>
      <w:rFonts w:ascii="Times New Roman" w:eastAsia="Times New Roman" w:hAnsi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0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55611\LOCALS~1\Temp\Do&#269;asn&#253;%20adres&#225;&#345;%201%20pro%20Universal_bez_kryci_stranky_BW%5b1%5d.zip\Universal_bez_kryci_stranky_B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2683B80F7E74A867A1A742A76B589" ma:contentTypeVersion="14" ma:contentTypeDescription="Vytvoří nový dokument" ma:contentTypeScope="" ma:versionID="f50e932c338c8e259b3f082a0a8b531e">
  <xsd:schema xmlns:xsd="http://www.w3.org/2001/XMLSchema" xmlns:xs="http://www.w3.org/2001/XMLSchema" xmlns:p="http://schemas.microsoft.com/office/2006/metadata/properties" xmlns:ns2="ae8d24b6-6b18-45a3-8576-83484c218888" xmlns:ns3="c67cc964-4e69-49b4-8804-f462fbaf64d2" targetNamespace="http://schemas.microsoft.com/office/2006/metadata/properties" ma:root="true" ma:fieldsID="c46df123d96a68b00bc1ccbba431f44d" ns2:_="" ns3:_="">
    <xsd:import namespace="ae8d24b6-6b18-45a3-8576-83484c218888"/>
    <xsd:import namespace="c67cc964-4e69-49b4-8804-f462fbaf6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4b6-6b18-45a3-8576-83484c21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34cb60-891b-46cc-a52f-b01c5db311e8}" ma:internalName="TaxCatchAll" ma:showField="CatchAllData" ma:web="ae8d24b6-6b18-45a3-8576-83484c21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c964-4e69-49b4-8804-f462fbaf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c964-4e69-49b4-8804-f462fbaf64d2">
      <Terms xmlns="http://schemas.microsoft.com/office/infopath/2007/PartnerControls"/>
    </lcf76f155ced4ddcb4097134ff3c332f>
    <TaxCatchAll xmlns="ae8d24b6-6b18-45a3-8576-83484c218888" xsi:nil="true"/>
    <SharedWithUsers xmlns="ae8d24b6-6b18-45a3-8576-83484c218888">
      <UserInfo>
        <DisplayName>Gorolová Šárka</DisplayName>
        <AccountId>491</AccountId>
        <AccountType/>
      </UserInfo>
      <UserInfo>
        <DisplayName>Blažek Martin Mgr. Bc.</DisplayName>
        <AccountId>113</AccountId>
        <AccountType/>
      </UserInfo>
      <UserInfo>
        <DisplayName>Halasová Eliška Ing.</DisplayName>
        <AccountId>64</AccountId>
        <AccountType/>
      </UserInfo>
      <UserInfo>
        <DisplayName>Seidlová Alice Mgr.</DisplayName>
        <AccountId>944</AccountId>
        <AccountType/>
      </UserInfo>
      <UserInfo>
        <DisplayName>Trčala Jan Mgr.</DisplayName>
        <AccountId>63</AccountId>
        <AccountType/>
      </UserInfo>
      <UserInfo>
        <DisplayName>Přibyl Karel Ing.</DisplayName>
        <AccountId>107</AccountId>
        <AccountType/>
      </UserInfo>
      <UserInfo>
        <DisplayName>Kosinová Radka Ing.</DisplayName>
        <AccountId>102</AccountId>
        <AccountType/>
      </UserInfo>
      <UserInfo>
        <DisplayName>Dvořáková Zdeňka Ing.</DisplayName>
        <AccountId>106</AccountId>
        <AccountType/>
      </UserInfo>
      <UserInfo>
        <DisplayName>Bakešová Eva Mgr.</DisplayName>
        <AccountId>909</AccountId>
        <AccountType/>
      </UserInfo>
      <UserInfo>
        <DisplayName>Krejčí Václav Bc.</DisplayName>
        <AccountId>132</AccountId>
        <AccountType/>
      </UserInfo>
      <UserInfo>
        <DisplayName>Doseděl Viktor Mgr.</DisplayName>
        <AccountId>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FD0796-7049-4BD7-923A-7D1D6C935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67FFA-189A-4F49-8BB6-1439A8B90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d24b6-6b18-45a3-8576-83484c218888"/>
    <ds:schemaRef ds:uri="c67cc964-4e69-49b4-8804-f462fbaf6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DFD98-1BCE-452E-B8D1-E97B93342E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0A173-3725-48BE-A115-396367A81A36}">
  <ds:schemaRefs>
    <ds:schemaRef ds:uri="http://schemas.microsoft.com/office/2006/metadata/properties"/>
    <ds:schemaRef ds:uri="http://schemas.microsoft.com/office/infopath/2007/PartnerControls"/>
    <ds:schemaRef ds:uri="c67cc964-4e69-49b4-8804-f462fbaf64d2"/>
    <ds:schemaRef ds:uri="ae8d24b6-6b18-45a3-8576-83484c218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Universal_bez_kryci_stranky_BW</Template>
  <TotalTime>0</TotalTime>
  <Pages>1</Pages>
  <Words>634</Words>
  <Characters>3743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155611</dc:creator>
  <cp:lastModifiedBy>Doseděl Viktor Mgr.</cp:lastModifiedBy>
  <cp:revision>1</cp:revision>
  <cp:lastPrinted>2020-06-08T09:16:00Z</cp:lastPrinted>
  <dcterms:created xsi:type="dcterms:W3CDTF">2024-04-18T09:39:00Z</dcterms:created>
  <dcterms:modified xsi:type="dcterms:W3CDTF">2024-04-18T09:39:00Z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0x010100E842683B80F7E74A867A1A742A76B589</vt:lpwstr>
  </property>
  <property fmtid="{D5CDD505-2E9C-101B-9397-08002B2CF9AE}" pid="4" name="MSIP_Label_06385286-8155-42cb-8f3c-2e99713295e1_Enabled">
    <vt:lpwstr>true</vt:lpwstr>
  </property>
  <property fmtid="{D5CDD505-2E9C-101B-9397-08002B2CF9AE}" pid="5" name="MSIP_Label_06385286-8155-42cb-8f3c-2e99713295e1_SetDate">
    <vt:lpwstr>2023-12-21T11:28:42Z</vt:lpwstr>
  </property>
  <property fmtid="{D5CDD505-2E9C-101B-9397-08002B2CF9AE}" pid="6" name="MSIP_Label_06385286-8155-42cb-8f3c-2e99713295e1_Method">
    <vt:lpwstr>Standard</vt:lpwstr>
  </property>
  <property fmtid="{D5CDD505-2E9C-101B-9397-08002B2CF9AE}" pid="7" name="MSIP_Label_06385286-8155-42cb-8f3c-2e99713295e1_Name">
    <vt:lpwstr>Nešifrováno</vt:lpwstr>
  </property>
  <property fmtid="{D5CDD505-2E9C-101B-9397-08002B2CF9AE}" pid="8" name="MSIP_Label_06385286-8155-42cb-8f3c-2e99713295e1_SiteId">
    <vt:lpwstr>63bc9307-946b-4c36-9003-abc36ab892f7</vt:lpwstr>
  </property>
  <property fmtid="{D5CDD505-2E9C-101B-9397-08002B2CF9AE}" pid="9" name="MSIP_Label_06385286-8155-42cb-8f3c-2e99713295e1_ActionId">
    <vt:lpwstr>d19e00e0-3a07-4da0-be79-ee0f6257e5ea</vt:lpwstr>
  </property>
  <property fmtid="{D5CDD505-2E9C-101B-9397-08002B2CF9AE}" pid="10" name="MSIP_Label_06385286-8155-42cb-8f3c-2e99713295e1_ContentBits">
    <vt:lpwstr>0</vt:lpwstr>
  </property>
  <property fmtid="{D5CDD505-2E9C-101B-9397-08002B2CF9AE}" pid="11" name="MediaServiceImageTags">
    <vt:lpwstr/>
  </property>
</Properties>
</file>