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A1" w:rsidRDefault="00697038">
      <w:pPr>
        <w:pStyle w:val="Nadpis10"/>
        <w:keepNext/>
        <w:keepLines/>
        <w:framePr w:w="3994" w:h="408" w:wrap="none" w:hAnchor="page" w:x="4095" w:y="1062"/>
      </w:pPr>
      <w:bookmarkStart w:id="0" w:name="bookmark0"/>
      <w:r>
        <w:rPr>
          <w:rStyle w:val="Nadpis1"/>
          <w:b/>
          <w:bCs/>
        </w:rPr>
        <w:t>KUPNÍ SMLOUVA č. /24</w:t>
      </w:r>
      <w:bookmarkEnd w:id="0"/>
    </w:p>
    <w:p w:rsidR="004F6BA1" w:rsidRDefault="004F6BA1">
      <w:pPr>
        <w:spacing w:line="360" w:lineRule="exact"/>
      </w:pPr>
    </w:p>
    <w:p w:rsidR="004F6BA1" w:rsidRDefault="004F6BA1">
      <w:pPr>
        <w:spacing w:line="360" w:lineRule="exact"/>
      </w:pPr>
    </w:p>
    <w:p w:rsidR="004F6BA1" w:rsidRDefault="004F6BA1">
      <w:pPr>
        <w:spacing w:line="360" w:lineRule="exact"/>
      </w:pPr>
    </w:p>
    <w:p w:rsidR="004F6BA1" w:rsidRDefault="004F6BA1">
      <w:pPr>
        <w:spacing w:after="388" w:line="1" w:lineRule="exact"/>
      </w:pPr>
    </w:p>
    <w:p w:rsidR="004F6BA1" w:rsidRDefault="004F6BA1">
      <w:pPr>
        <w:spacing w:line="1" w:lineRule="exact"/>
        <w:sectPr w:rsidR="004F6BA1">
          <w:footerReference w:type="default" r:id="rId7"/>
          <w:footerReference w:type="first" r:id="rId8"/>
          <w:pgSz w:w="11900" w:h="16840"/>
          <w:pgMar w:top="186" w:right="1206" w:bottom="0" w:left="0" w:header="0" w:footer="3" w:gutter="0"/>
          <w:pgNumType w:start="1"/>
          <w:cols w:space="720"/>
          <w:noEndnote/>
          <w:titlePg/>
          <w:docGrid w:linePitch="360"/>
        </w:sectPr>
      </w:pPr>
    </w:p>
    <w:p w:rsidR="004F6BA1" w:rsidRDefault="00697038">
      <w:pPr>
        <w:pStyle w:val="Zkladntext1"/>
        <w:spacing w:after="1060" w:line="240" w:lineRule="auto"/>
      </w:pPr>
      <w:r>
        <w:rPr>
          <w:rStyle w:val="Zkladntext"/>
          <w:i/>
          <w:iCs/>
        </w:rPr>
        <w:lastRenderedPageBreak/>
        <w:t xml:space="preserve">uzavřená na základě § 2079 a nás!. </w:t>
      </w:r>
      <w:proofErr w:type="gramStart"/>
      <w:r>
        <w:rPr>
          <w:rStyle w:val="Zkladntext"/>
          <w:i/>
          <w:iCs/>
        </w:rPr>
        <w:t>zák.</w:t>
      </w:r>
      <w:proofErr w:type="gramEnd"/>
      <w:r>
        <w:rPr>
          <w:rStyle w:val="Zkladntext"/>
          <w:i/>
          <w:iCs/>
        </w:rPr>
        <w:t xml:space="preserve"> č. 89/2012 Sb. Občanského zákoníku v platném znění</w:t>
      </w:r>
    </w:p>
    <w:p w:rsidR="004F6BA1" w:rsidRDefault="00697038">
      <w:pPr>
        <w:pStyle w:val="Zkladntext1"/>
        <w:spacing w:after="0" w:line="240" w:lineRule="auto"/>
        <w:jc w:val="center"/>
        <w:rPr>
          <w:sz w:val="22"/>
          <w:szCs w:val="22"/>
        </w:rPr>
      </w:pPr>
      <w:r>
        <w:rPr>
          <w:rStyle w:val="Zkladntext"/>
          <w:b/>
          <w:bCs/>
          <w:i/>
          <w:iCs/>
          <w:sz w:val="22"/>
          <w:szCs w:val="22"/>
          <w:u w:val="single"/>
        </w:rPr>
        <w:t>Článek I</w:t>
      </w:r>
      <w:r>
        <w:rPr>
          <w:rStyle w:val="Zkladntext"/>
          <w:b/>
          <w:bCs/>
          <w:i/>
          <w:iCs/>
          <w:sz w:val="22"/>
          <w:szCs w:val="22"/>
        </w:rPr>
        <w:t>.</w:t>
      </w:r>
    </w:p>
    <w:p w:rsidR="004F6BA1" w:rsidRDefault="00697038">
      <w:pPr>
        <w:pStyle w:val="Nadpis20"/>
        <w:keepNext/>
        <w:keepLines/>
        <w:spacing w:after="260"/>
      </w:pPr>
      <w:bookmarkStart w:id="1" w:name="bookmark2"/>
      <w:r>
        <w:rPr>
          <w:rStyle w:val="Nadpis2"/>
          <w:b/>
          <w:bCs/>
          <w:u w:val="single"/>
        </w:rPr>
        <w:t>Smluvní strany</w:t>
      </w:r>
      <w:bookmarkEnd w:id="1"/>
    </w:p>
    <w:p w:rsidR="004F6BA1" w:rsidRDefault="00697038">
      <w:pPr>
        <w:pStyle w:val="Titulektabulky0"/>
        <w:spacing w:line="266" w:lineRule="auto"/>
        <w:ind w:left="14"/>
      </w:pPr>
      <w:r>
        <w:rPr>
          <w:rStyle w:val="Titulektabulky"/>
          <w:i/>
          <w:iCs/>
        </w:rPr>
        <w:t>Prodávající:</w:t>
      </w:r>
    </w:p>
    <w:p w:rsidR="004F6BA1" w:rsidRDefault="00697038">
      <w:pPr>
        <w:pStyle w:val="Titulektabulky0"/>
        <w:spacing w:line="223" w:lineRule="auto"/>
        <w:ind w:left="14"/>
        <w:rPr>
          <w:sz w:val="24"/>
          <w:szCs w:val="24"/>
        </w:rPr>
      </w:pPr>
      <w:r>
        <w:rPr>
          <w:rStyle w:val="Titulektabulky"/>
          <w:b/>
          <w:bCs/>
          <w:sz w:val="24"/>
          <w:szCs w:val="24"/>
        </w:rPr>
        <w:t>KOBIT, spol. s r.o.</w:t>
      </w:r>
    </w:p>
    <w:p w:rsidR="004F6BA1" w:rsidRDefault="00697038">
      <w:pPr>
        <w:pStyle w:val="Titulektabulky0"/>
        <w:spacing w:line="266" w:lineRule="auto"/>
        <w:ind w:left="14"/>
      </w:pPr>
      <w:r>
        <w:rPr>
          <w:rStyle w:val="Titulektabulky"/>
        </w:rPr>
        <w:t xml:space="preserve">se sídlem Rozvojová 269, 165 00 Praha 6, provozovna </w:t>
      </w:r>
      <w:proofErr w:type="spellStart"/>
      <w:r>
        <w:rPr>
          <w:rStyle w:val="Titulektabulky"/>
        </w:rPr>
        <w:t>Konecchlumského</w:t>
      </w:r>
      <w:proofErr w:type="spellEnd"/>
      <w:r>
        <w:rPr>
          <w:rStyle w:val="Titulektabulky"/>
        </w:rPr>
        <w:t xml:space="preserve"> 1100, 506 01 Jičín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921"/>
      </w:tblGrid>
      <w:tr w:rsidR="004F6BA1" w:rsidTr="00CE433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410" w:type="dxa"/>
            <w:shd w:val="clear" w:color="auto" w:fill="auto"/>
          </w:tcPr>
          <w:p w:rsidR="004F6BA1" w:rsidRDefault="00697038">
            <w:pPr>
              <w:pStyle w:val="Jin0"/>
              <w:spacing w:after="0" w:line="262" w:lineRule="auto"/>
            </w:pPr>
            <w:r>
              <w:rPr>
                <w:rStyle w:val="Jin"/>
              </w:rPr>
              <w:t>ICO: DIČ:</w:t>
            </w:r>
          </w:p>
        </w:tc>
        <w:tc>
          <w:tcPr>
            <w:tcW w:w="6921" w:type="dxa"/>
            <w:shd w:val="clear" w:color="auto" w:fill="auto"/>
          </w:tcPr>
          <w:p w:rsidR="004F6BA1" w:rsidRDefault="00697038">
            <w:pPr>
              <w:pStyle w:val="Jin0"/>
              <w:spacing w:after="0" w:line="240" w:lineRule="auto"/>
            </w:pPr>
            <w:bookmarkStart w:id="2" w:name="_GoBack"/>
            <w:r>
              <w:rPr>
                <w:rStyle w:val="Jin"/>
              </w:rPr>
              <w:t>44792247</w:t>
            </w:r>
          </w:p>
          <w:bookmarkEnd w:id="2"/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CZ 44792247</w:t>
            </w:r>
          </w:p>
        </w:tc>
      </w:tr>
      <w:tr w:rsidR="004F6BA1" w:rsidTr="00CE433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10" w:type="dxa"/>
            <w:shd w:val="clear" w:color="auto" w:fill="auto"/>
            <w:vAlign w:val="bottom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Spisová značka:</w:t>
            </w:r>
          </w:p>
        </w:tc>
        <w:tc>
          <w:tcPr>
            <w:tcW w:w="6921" w:type="dxa"/>
            <w:shd w:val="clear" w:color="auto" w:fill="auto"/>
            <w:vAlign w:val="bottom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C 5528 vedená u Městského soudu v Praze</w:t>
            </w:r>
          </w:p>
        </w:tc>
      </w:tr>
      <w:tr w:rsidR="004F6BA1" w:rsidTr="00CE433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10" w:type="dxa"/>
            <w:shd w:val="clear" w:color="auto" w:fill="auto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Datová schránka:</w:t>
            </w:r>
          </w:p>
        </w:tc>
        <w:tc>
          <w:tcPr>
            <w:tcW w:w="6921" w:type="dxa"/>
            <w:shd w:val="clear" w:color="auto" w:fill="auto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khif4c2</w:t>
            </w:r>
          </w:p>
        </w:tc>
      </w:tr>
      <w:tr w:rsidR="004F6BA1" w:rsidTr="00CE433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10" w:type="dxa"/>
            <w:shd w:val="clear" w:color="auto" w:fill="auto"/>
            <w:vAlign w:val="bottom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6921" w:type="dxa"/>
            <w:shd w:val="clear" w:color="auto" w:fill="auto"/>
            <w:vAlign w:val="bottom"/>
          </w:tcPr>
          <w:p w:rsidR="004F6BA1" w:rsidRDefault="00697038" w:rsidP="001F7521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Raiffeisenbank</w:t>
            </w:r>
            <w:proofErr w:type="spellEnd"/>
            <w:r>
              <w:rPr>
                <w:rStyle w:val="Jin"/>
              </w:rPr>
              <w:t xml:space="preserve">, a.s.; č. účtu: </w:t>
            </w:r>
          </w:p>
        </w:tc>
      </w:tr>
      <w:tr w:rsidR="004F6BA1" w:rsidTr="00CE433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10" w:type="dxa"/>
            <w:shd w:val="clear" w:color="auto" w:fill="auto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údaje:</w:t>
            </w:r>
          </w:p>
        </w:tc>
        <w:tc>
          <w:tcPr>
            <w:tcW w:w="6921" w:type="dxa"/>
            <w:shd w:val="clear" w:color="auto" w:fill="auto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tel: 493 546 431, e-mail: </w:t>
            </w:r>
            <w:hyperlink r:id="rId9" w:history="1">
              <w:r>
                <w:rPr>
                  <w:rStyle w:val="Jin"/>
                  <w:lang w:val="en-US" w:eastAsia="en-US" w:bidi="en-US"/>
                </w:rPr>
                <w:t>kobit@kobit.cz</w:t>
              </w:r>
            </w:hyperlink>
          </w:p>
        </w:tc>
      </w:tr>
    </w:tbl>
    <w:p w:rsidR="004F6BA1" w:rsidRDefault="004F6BA1">
      <w:pPr>
        <w:spacing w:line="1" w:lineRule="exact"/>
      </w:pPr>
    </w:p>
    <w:p w:rsidR="004F6BA1" w:rsidRDefault="00697038">
      <w:pPr>
        <w:pStyle w:val="Titulektabulky0"/>
        <w:spacing w:line="240" w:lineRule="auto"/>
        <w:ind w:left="5"/>
      </w:pPr>
      <w:r>
        <w:rPr>
          <w:rStyle w:val="Titulektabulky"/>
        </w:rPr>
        <w:t>Zastoupený: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6979"/>
      </w:tblGrid>
      <w:tr w:rsidR="004F6BA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357" w:type="dxa"/>
            <w:shd w:val="clear" w:color="auto" w:fill="auto"/>
          </w:tcPr>
          <w:p w:rsidR="004F6BA1" w:rsidRDefault="00697038">
            <w:pPr>
              <w:pStyle w:val="Jin0"/>
              <w:spacing w:after="0" w:line="266" w:lineRule="auto"/>
            </w:pPr>
            <w:r>
              <w:rPr>
                <w:rStyle w:val="Jin"/>
              </w:rPr>
              <w:t>ve věcech smluvních ve věcech technických</w:t>
            </w:r>
          </w:p>
        </w:tc>
        <w:tc>
          <w:tcPr>
            <w:tcW w:w="6979" w:type="dxa"/>
            <w:shd w:val="clear" w:color="auto" w:fill="auto"/>
            <w:vAlign w:val="bottom"/>
          </w:tcPr>
          <w:p w:rsidR="004F6BA1" w:rsidRDefault="00697038">
            <w:pPr>
              <w:pStyle w:val="Jin0"/>
              <w:spacing w:after="0" w:line="266" w:lineRule="auto"/>
            </w:pPr>
            <w:r>
              <w:rPr>
                <w:rStyle w:val="Jin"/>
              </w:rPr>
              <w:t xml:space="preserve">Ing. Petrem Nožičkou - jednatelem </w:t>
            </w:r>
            <w:r>
              <w:rPr>
                <w:rStyle w:val="Jin"/>
              </w:rPr>
              <w:t>společnosti</w:t>
            </w:r>
          </w:p>
          <w:p w:rsidR="004F6BA1" w:rsidRDefault="004F6BA1">
            <w:pPr>
              <w:pStyle w:val="Jin0"/>
              <w:spacing w:after="0" w:line="266" w:lineRule="auto"/>
              <w:ind w:left="2640" w:hanging="2640"/>
            </w:pPr>
          </w:p>
        </w:tc>
      </w:tr>
    </w:tbl>
    <w:p w:rsidR="004F6BA1" w:rsidRDefault="00697038">
      <w:pPr>
        <w:pStyle w:val="Titulektabulky0"/>
        <w:spacing w:line="240" w:lineRule="auto"/>
        <w:rPr>
          <w:sz w:val="22"/>
          <w:szCs w:val="22"/>
        </w:rPr>
      </w:pPr>
      <w:r>
        <w:rPr>
          <w:rStyle w:val="Titulektabulky"/>
        </w:rPr>
        <w:t xml:space="preserve">dále jen „ </w:t>
      </w:r>
      <w:r>
        <w:rPr>
          <w:rStyle w:val="Titulektabulky"/>
          <w:b/>
          <w:bCs/>
          <w:sz w:val="22"/>
          <w:szCs w:val="22"/>
        </w:rPr>
        <w:t>prodávající"</w:t>
      </w:r>
    </w:p>
    <w:p w:rsidR="004F6BA1" w:rsidRDefault="004F6BA1">
      <w:pPr>
        <w:spacing w:after="499" w:line="1" w:lineRule="exact"/>
      </w:pPr>
    </w:p>
    <w:p w:rsidR="004F6BA1" w:rsidRDefault="00697038">
      <w:pPr>
        <w:pStyle w:val="Nadpis20"/>
        <w:keepNext/>
        <w:keepLines/>
        <w:spacing w:after="540"/>
      </w:pPr>
      <w:bookmarkStart w:id="3" w:name="bookmark4"/>
      <w:r>
        <w:rPr>
          <w:rStyle w:val="Nadpis2"/>
          <w:b/>
          <w:bCs/>
        </w:rPr>
        <w:t>a</w:t>
      </w:r>
      <w:bookmarkEnd w:id="3"/>
    </w:p>
    <w:p w:rsidR="004F6BA1" w:rsidRDefault="00697038">
      <w:pPr>
        <w:pStyle w:val="Zkladntext1"/>
        <w:spacing w:after="0" w:line="240" w:lineRule="auto"/>
      </w:pPr>
      <w:r>
        <w:rPr>
          <w:rStyle w:val="Zkladntext"/>
          <w:i/>
          <w:iCs/>
        </w:rPr>
        <w:t>Kupující:</w:t>
      </w:r>
    </w:p>
    <w:p w:rsidR="004F6BA1" w:rsidRDefault="00697038">
      <w:pPr>
        <w:pStyle w:val="Zkladntext30"/>
      </w:pPr>
      <w:r>
        <w:rPr>
          <w:rStyle w:val="Zkladntext3"/>
          <w:b/>
          <w:bCs/>
        </w:rPr>
        <w:t>Kroměřížské technické služby, s.r.o.</w:t>
      </w:r>
    </w:p>
    <w:p w:rsidR="004F6BA1" w:rsidRDefault="00697038">
      <w:pPr>
        <w:pStyle w:val="Zkladntext1"/>
        <w:spacing w:after="0" w:line="240" w:lineRule="auto"/>
      </w:pPr>
      <w:r>
        <w:rPr>
          <w:rStyle w:val="Zkladntext"/>
        </w:rPr>
        <w:t>se sídlem Kaplanova 2959/6, 767 01 Kroměříž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5136"/>
      </w:tblGrid>
      <w:tr w:rsidR="004F6BA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323" w:type="dxa"/>
            <w:shd w:val="clear" w:color="auto" w:fill="auto"/>
          </w:tcPr>
          <w:p w:rsidR="004F6BA1" w:rsidRDefault="00697038">
            <w:pPr>
              <w:pStyle w:val="Jin0"/>
              <w:spacing w:after="0" w:line="266" w:lineRule="auto"/>
            </w:pPr>
            <w:r>
              <w:rPr>
                <w:rStyle w:val="Jin"/>
              </w:rPr>
              <w:t>ICO: DIČ:</w:t>
            </w:r>
          </w:p>
        </w:tc>
        <w:tc>
          <w:tcPr>
            <w:tcW w:w="5136" w:type="dxa"/>
            <w:shd w:val="clear" w:color="auto" w:fill="auto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26276437</w:t>
            </w:r>
          </w:p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CZ26276437</w:t>
            </w:r>
          </w:p>
        </w:tc>
      </w:tr>
      <w:tr w:rsidR="004F6BA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23" w:type="dxa"/>
            <w:shd w:val="clear" w:color="auto" w:fill="auto"/>
            <w:vAlign w:val="bottom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Spisová značka:</w:t>
            </w:r>
          </w:p>
        </w:tc>
        <w:tc>
          <w:tcPr>
            <w:tcW w:w="5136" w:type="dxa"/>
            <w:shd w:val="clear" w:color="auto" w:fill="auto"/>
            <w:vAlign w:val="bottom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C 41059 vedená u</w:t>
            </w:r>
            <w:r>
              <w:rPr>
                <w:rStyle w:val="Jin"/>
              </w:rPr>
              <w:t xml:space="preserve"> Krajského soudu v Brně</w:t>
            </w:r>
          </w:p>
        </w:tc>
      </w:tr>
      <w:tr w:rsidR="004F6BA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23" w:type="dxa"/>
            <w:shd w:val="clear" w:color="auto" w:fill="auto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Datová schránka:</w:t>
            </w:r>
          </w:p>
        </w:tc>
        <w:tc>
          <w:tcPr>
            <w:tcW w:w="5136" w:type="dxa"/>
            <w:shd w:val="clear" w:color="auto" w:fill="auto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pu7gzuj</w:t>
            </w:r>
          </w:p>
        </w:tc>
      </w:tr>
      <w:tr w:rsidR="004F6BA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323" w:type="dxa"/>
            <w:shd w:val="clear" w:color="auto" w:fill="auto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5136" w:type="dxa"/>
            <w:shd w:val="clear" w:color="auto" w:fill="auto"/>
          </w:tcPr>
          <w:p w:rsidR="004F6BA1" w:rsidRDefault="00697038" w:rsidP="001F7521">
            <w:pPr>
              <w:pStyle w:val="Jin0"/>
              <w:spacing w:after="0" w:line="240" w:lineRule="auto"/>
            </w:pPr>
            <w:r>
              <w:rPr>
                <w:rStyle w:val="Jin"/>
              </w:rPr>
              <w:t>ČSOB, a. s., č. ú</w:t>
            </w:r>
          </w:p>
        </w:tc>
      </w:tr>
      <w:tr w:rsidR="004F6BA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23" w:type="dxa"/>
            <w:shd w:val="clear" w:color="auto" w:fill="auto"/>
            <w:vAlign w:val="bottom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údaje:</w:t>
            </w:r>
          </w:p>
        </w:tc>
        <w:tc>
          <w:tcPr>
            <w:tcW w:w="5136" w:type="dxa"/>
            <w:shd w:val="clear" w:color="auto" w:fill="auto"/>
            <w:vAlign w:val="bottom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tel: 571 130 161, e-mail: </w:t>
            </w:r>
            <w:hyperlink r:id="rId10" w:history="1">
              <w:r>
                <w:rPr>
                  <w:rStyle w:val="Jin"/>
                  <w:lang w:val="en-US" w:eastAsia="en-US" w:bidi="en-US"/>
                </w:rPr>
                <w:t>kmts@kmts.cz</w:t>
              </w:r>
            </w:hyperlink>
          </w:p>
        </w:tc>
      </w:tr>
      <w:tr w:rsidR="004F6BA1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323" w:type="dxa"/>
            <w:shd w:val="clear" w:color="auto" w:fill="auto"/>
          </w:tcPr>
          <w:p w:rsidR="004F6BA1" w:rsidRDefault="00697038">
            <w:pPr>
              <w:pStyle w:val="Jin0"/>
              <w:spacing w:after="0" w:line="240" w:lineRule="auto"/>
            </w:pPr>
            <w:r>
              <w:rPr>
                <w:rStyle w:val="Jin"/>
              </w:rPr>
              <w:t>zastoupený:</w:t>
            </w:r>
          </w:p>
        </w:tc>
        <w:tc>
          <w:tcPr>
            <w:tcW w:w="5136" w:type="dxa"/>
            <w:shd w:val="clear" w:color="auto" w:fill="auto"/>
            <w:vAlign w:val="bottom"/>
          </w:tcPr>
          <w:p w:rsidR="004F6BA1" w:rsidRDefault="00697038">
            <w:pPr>
              <w:pStyle w:val="Jin0"/>
              <w:spacing w:after="0" w:line="266" w:lineRule="auto"/>
            </w:pPr>
            <w:r>
              <w:rPr>
                <w:rStyle w:val="Jin"/>
              </w:rPr>
              <w:t>Mgr. Bc. Karlem Holíkem BA, MBA, jednatelem Mgr.</w:t>
            </w:r>
            <w:r>
              <w:rPr>
                <w:rStyle w:val="Jin"/>
              </w:rPr>
              <w:t xml:space="preserve"> Bc. Janem </w:t>
            </w:r>
            <w:proofErr w:type="spellStart"/>
            <w:r>
              <w:rPr>
                <w:rStyle w:val="Jin"/>
              </w:rPr>
              <w:t>Hebnarem</w:t>
            </w:r>
            <w:proofErr w:type="spellEnd"/>
            <w:r>
              <w:rPr>
                <w:rStyle w:val="Jin"/>
              </w:rPr>
              <w:t>, MBA, jednatelem</w:t>
            </w:r>
          </w:p>
        </w:tc>
      </w:tr>
      <w:tr w:rsidR="004F6BA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323" w:type="dxa"/>
            <w:shd w:val="clear" w:color="auto" w:fill="auto"/>
          </w:tcPr>
          <w:p w:rsidR="004F6BA1" w:rsidRDefault="00697038">
            <w:pPr>
              <w:pStyle w:val="Jin0"/>
              <w:spacing w:after="0" w:line="266" w:lineRule="auto"/>
            </w:pPr>
            <w:r>
              <w:rPr>
                <w:rStyle w:val="Jin"/>
              </w:rPr>
              <w:t>ve věcech technických ve věcech smluvních</w:t>
            </w:r>
          </w:p>
        </w:tc>
        <w:tc>
          <w:tcPr>
            <w:tcW w:w="5136" w:type="dxa"/>
            <w:shd w:val="clear" w:color="auto" w:fill="auto"/>
          </w:tcPr>
          <w:p w:rsidR="004F6BA1" w:rsidRDefault="004F6BA1" w:rsidP="001F7521">
            <w:pPr>
              <w:pStyle w:val="Jin0"/>
              <w:spacing w:after="0" w:line="266" w:lineRule="auto"/>
            </w:pPr>
          </w:p>
        </w:tc>
      </w:tr>
    </w:tbl>
    <w:p w:rsidR="004F6BA1" w:rsidRDefault="00697038">
      <w:pPr>
        <w:pStyle w:val="Titulektabulky0"/>
        <w:spacing w:line="240" w:lineRule="auto"/>
        <w:rPr>
          <w:sz w:val="22"/>
          <w:szCs w:val="22"/>
        </w:rPr>
      </w:pPr>
      <w:r>
        <w:rPr>
          <w:rStyle w:val="Titulektabulky"/>
        </w:rPr>
        <w:t xml:space="preserve">dále jen „ </w:t>
      </w:r>
      <w:r>
        <w:rPr>
          <w:rStyle w:val="Titulektabulky"/>
          <w:b/>
          <w:bCs/>
          <w:sz w:val="22"/>
          <w:szCs w:val="22"/>
        </w:rPr>
        <w:t>kupující"</w:t>
      </w:r>
    </w:p>
    <w:p w:rsidR="004F6BA1" w:rsidRDefault="004F6BA1">
      <w:pPr>
        <w:spacing w:after="159" w:line="1" w:lineRule="exact"/>
      </w:pPr>
    </w:p>
    <w:p w:rsidR="004F6BA1" w:rsidRDefault="00697038">
      <w:pPr>
        <w:pStyle w:val="Zkladntext1"/>
        <w:spacing w:after="220" w:line="254" w:lineRule="auto"/>
        <w:rPr>
          <w:sz w:val="22"/>
          <w:szCs w:val="22"/>
        </w:rPr>
      </w:pPr>
      <w:r>
        <w:rPr>
          <w:rStyle w:val="Zkladntext"/>
        </w:rPr>
        <w:t xml:space="preserve">(Prodávající a kupující budou dále také společně označováni jako </w:t>
      </w:r>
      <w:r>
        <w:rPr>
          <w:rStyle w:val="Zkladntext"/>
          <w:b/>
          <w:bCs/>
          <w:sz w:val="22"/>
          <w:szCs w:val="22"/>
        </w:rPr>
        <w:t xml:space="preserve">„smluvní strany" </w:t>
      </w:r>
      <w:r>
        <w:rPr>
          <w:rStyle w:val="Zkladntext"/>
        </w:rPr>
        <w:t xml:space="preserve">nebo každý samostatně jako </w:t>
      </w:r>
      <w:r>
        <w:rPr>
          <w:rStyle w:val="Zkladntext"/>
          <w:b/>
          <w:bCs/>
          <w:sz w:val="22"/>
          <w:szCs w:val="22"/>
        </w:rPr>
        <w:t>„smluvní strana")</w:t>
      </w:r>
    </w:p>
    <w:p w:rsidR="001F7521" w:rsidRDefault="001F7521">
      <w:pPr>
        <w:spacing w:after="2378" w:line="1" w:lineRule="exact"/>
      </w:pPr>
    </w:p>
    <w:p w:rsidR="004F6BA1" w:rsidRDefault="00697038">
      <w:pPr>
        <w:spacing w:after="2378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1110615</wp:posOffset>
                </wp:positionV>
                <wp:extent cx="1207135" cy="15557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6BA1" w:rsidRDefault="00697038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KUPNÍ SMLOUVA Č. _J24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62.4pt;margin-top:87.45pt;width:95.05pt;height:12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" filled="f" stroked="f">
                <v:textbox inset="0,0,0,0">
                  <w:txbxContent>
                    <w:p w:rsidR="004F6BA1" w:rsidRDefault="00697038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KUPNÍ SMLOUVA Č. _J24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F6BA1" w:rsidRDefault="00697038">
      <w:pPr>
        <w:pStyle w:val="Zkladntext1"/>
        <w:spacing w:after="0" w:line="240" w:lineRule="auto"/>
        <w:jc w:val="center"/>
        <w:rPr>
          <w:sz w:val="22"/>
          <w:szCs w:val="22"/>
        </w:rPr>
      </w:pPr>
      <w:r>
        <w:rPr>
          <w:rStyle w:val="Zkladntext"/>
          <w:b/>
          <w:bCs/>
          <w:i/>
          <w:iCs/>
          <w:sz w:val="22"/>
          <w:szCs w:val="22"/>
          <w:u w:val="single"/>
        </w:rPr>
        <w:lastRenderedPageBreak/>
        <w:t>Článek II.</w:t>
      </w:r>
    </w:p>
    <w:p w:rsidR="004F6BA1" w:rsidRDefault="00697038">
      <w:pPr>
        <w:pStyle w:val="Zkladntext1"/>
        <w:spacing w:line="240" w:lineRule="auto"/>
        <w:jc w:val="center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Předmět smlouvy</w:t>
      </w:r>
    </w:p>
    <w:p w:rsidR="004F6BA1" w:rsidRDefault="00697038">
      <w:pPr>
        <w:pStyle w:val="Zkladntext1"/>
        <w:numPr>
          <w:ilvl w:val="0"/>
          <w:numId w:val="1"/>
        </w:numPr>
        <w:tabs>
          <w:tab w:val="left" w:pos="343"/>
        </w:tabs>
        <w:spacing w:line="262" w:lineRule="auto"/>
        <w:ind w:left="360" w:hanging="360"/>
        <w:jc w:val="both"/>
      </w:pPr>
      <w:r>
        <w:rPr>
          <w:rStyle w:val="Zkladntext"/>
        </w:rPr>
        <w:t xml:space="preserve">Prodávající se zavazuje dodat kupujícímu zboží dále specifikované touto </w:t>
      </w:r>
      <w:r>
        <w:rPr>
          <w:rStyle w:val="Zkladntext"/>
        </w:rPr>
        <w:t>smlouvou a převést na něj vlastnické právo k dodanému zboží a kupující se zavazuje zboží dodávané prodávajícím odebrat a zaplatit mu dohodnutou kupní cenu v souladu s dodacími a platebními podmínkami, které jsou dále v této smlouvě specifikované.</w:t>
      </w:r>
    </w:p>
    <w:p w:rsidR="004F6BA1" w:rsidRDefault="00697038">
      <w:pPr>
        <w:pStyle w:val="Zkladntext1"/>
        <w:numPr>
          <w:ilvl w:val="0"/>
          <w:numId w:val="1"/>
        </w:numPr>
        <w:tabs>
          <w:tab w:val="left" w:pos="354"/>
        </w:tabs>
        <w:spacing w:line="262" w:lineRule="auto"/>
        <w:ind w:left="360" w:hanging="360"/>
        <w:jc w:val="both"/>
      </w:pPr>
      <w:r>
        <w:rPr>
          <w:rStyle w:val="Zkladntext"/>
        </w:rPr>
        <w:t>Zboží dod</w:t>
      </w:r>
      <w:r>
        <w:rPr>
          <w:rStyle w:val="Zkladntext"/>
        </w:rPr>
        <w:t>ané podle této smlouvy prodávající dodá kupujícímu v provedení, které je schváleno dle příslušných norem a včetně prohlášení o shodě.</w:t>
      </w:r>
    </w:p>
    <w:p w:rsidR="004F6BA1" w:rsidRDefault="00697038">
      <w:pPr>
        <w:pStyle w:val="Zkladntext1"/>
        <w:numPr>
          <w:ilvl w:val="0"/>
          <w:numId w:val="1"/>
        </w:numPr>
        <w:tabs>
          <w:tab w:val="left" w:pos="358"/>
        </w:tabs>
        <w:spacing w:line="262" w:lineRule="auto"/>
        <w:ind w:left="360" w:hanging="360"/>
        <w:jc w:val="both"/>
      </w:pPr>
      <w:r>
        <w:rPr>
          <w:rStyle w:val="Zkladntext"/>
        </w:rPr>
        <w:t xml:space="preserve">Smluvní strany pokládají zboží za dodané, jestliže dojde k jeho převzetí od odpovědného pracovníka kupujícího a podepsání </w:t>
      </w:r>
      <w:r>
        <w:rPr>
          <w:rStyle w:val="Zkladntext"/>
        </w:rPr>
        <w:t>předávacího protokolu.</w:t>
      </w:r>
    </w:p>
    <w:p w:rsidR="004F6BA1" w:rsidRDefault="00697038">
      <w:pPr>
        <w:pStyle w:val="Zkladntext1"/>
        <w:numPr>
          <w:ilvl w:val="0"/>
          <w:numId w:val="1"/>
        </w:numPr>
        <w:tabs>
          <w:tab w:val="left" w:pos="358"/>
        </w:tabs>
        <w:spacing w:line="262" w:lineRule="auto"/>
        <w:jc w:val="both"/>
      </w:pPr>
      <w:r>
        <w:rPr>
          <w:rStyle w:val="Zkladntext"/>
        </w:rPr>
        <w:t>Předmětem dodávky je toto zboží:</w:t>
      </w:r>
    </w:p>
    <w:p w:rsidR="004F6BA1" w:rsidRDefault="00697038">
      <w:pPr>
        <w:pStyle w:val="Zkladntext1"/>
        <w:numPr>
          <w:ilvl w:val="0"/>
          <w:numId w:val="2"/>
        </w:numPr>
        <w:tabs>
          <w:tab w:val="left" w:pos="666"/>
        </w:tabs>
        <w:spacing w:line="240" w:lineRule="auto"/>
        <w:ind w:firstLine="360"/>
        <w:jc w:val="both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 xml:space="preserve">ks svozové nástavby </w:t>
      </w:r>
      <w:proofErr w:type="spellStart"/>
      <w:r>
        <w:rPr>
          <w:rStyle w:val="Zkladntext"/>
          <w:b/>
          <w:bCs/>
          <w:sz w:val="22"/>
          <w:szCs w:val="22"/>
        </w:rPr>
        <w:t>Press</w:t>
      </w:r>
      <w:proofErr w:type="spellEnd"/>
      <w:r>
        <w:rPr>
          <w:rStyle w:val="Zkladntext"/>
          <w:b/>
          <w:bCs/>
          <w:sz w:val="22"/>
          <w:szCs w:val="22"/>
        </w:rPr>
        <w:t xml:space="preserve"> 8</w:t>
      </w:r>
    </w:p>
    <w:p w:rsidR="004F6BA1" w:rsidRDefault="00697038">
      <w:pPr>
        <w:pStyle w:val="Zkladntext1"/>
        <w:numPr>
          <w:ilvl w:val="0"/>
          <w:numId w:val="1"/>
        </w:numPr>
        <w:tabs>
          <w:tab w:val="left" w:pos="354"/>
        </w:tabs>
        <w:spacing w:after="780" w:line="262" w:lineRule="auto"/>
        <w:ind w:left="360" w:hanging="360"/>
        <w:jc w:val="both"/>
      </w:pPr>
      <w:r>
        <w:rPr>
          <w:rStyle w:val="Zkladntext"/>
        </w:rPr>
        <w:t xml:space="preserve">Zboží uvedené v článku II., odstavci 4 této smlouvy, bude prodávajícím vyrobeno na zakázku dle vlastností určených v technické </w:t>
      </w:r>
      <w:proofErr w:type="gramStart"/>
      <w:r>
        <w:rPr>
          <w:rStyle w:val="Zkladntext"/>
        </w:rPr>
        <w:t>specifikaci , která</w:t>
      </w:r>
      <w:proofErr w:type="gramEnd"/>
      <w:r>
        <w:rPr>
          <w:rStyle w:val="Zkladntext"/>
        </w:rPr>
        <w:t xml:space="preserve"> tvoří přílohu č. 1 této k</w:t>
      </w:r>
      <w:r>
        <w:rPr>
          <w:rStyle w:val="Zkladntext"/>
        </w:rPr>
        <w:t xml:space="preserve">upní smlouvy č. </w:t>
      </w:r>
      <w:r>
        <w:rPr>
          <w:rStyle w:val="Zkladntext"/>
          <w:i/>
          <w:iCs/>
        </w:rPr>
        <w:t>_J24.</w:t>
      </w:r>
    </w:p>
    <w:p w:rsidR="004F6BA1" w:rsidRDefault="00697038">
      <w:pPr>
        <w:pStyle w:val="Zkladntext1"/>
        <w:spacing w:after="0" w:line="240" w:lineRule="auto"/>
        <w:jc w:val="center"/>
        <w:rPr>
          <w:sz w:val="22"/>
          <w:szCs w:val="22"/>
        </w:rPr>
      </w:pPr>
      <w:r>
        <w:rPr>
          <w:rStyle w:val="Zkladntext"/>
          <w:b/>
          <w:bCs/>
          <w:i/>
          <w:iCs/>
          <w:sz w:val="22"/>
          <w:szCs w:val="22"/>
          <w:u w:val="single"/>
        </w:rPr>
        <w:t>Článek III.</w:t>
      </w:r>
    </w:p>
    <w:p w:rsidR="004F6BA1" w:rsidRDefault="00697038">
      <w:pPr>
        <w:pStyle w:val="Zkladntext1"/>
        <w:spacing w:line="240" w:lineRule="auto"/>
        <w:jc w:val="center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Kupní cena</w:t>
      </w:r>
    </w:p>
    <w:p w:rsidR="004F6BA1" w:rsidRDefault="00697038">
      <w:pPr>
        <w:pStyle w:val="Zkladntext1"/>
        <w:numPr>
          <w:ilvl w:val="0"/>
          <w:numId w:val="3"/>
        </w:numPr>
        <w:tabs>
          <w:tab w:val="left" w:pos="344"/>
        </w:tabs>
        <w:spacing w:after="40" w:line="266" w:lineRule="auto"/>
        <w:jc w:val="both"/>
      </w:pPr>
      <w:r>
        <w:rPr>
          <w:rStyle w:val="Zkladntext"/>
        </w:rPr>
        <w:t>Smluvní strany ujednaly, že kupní cena:</w:t>
      </w:r>
    </w:p>
    <w:p w:rsidR="004F6BA1" w:rsidRDefault="00697038">
      <w:pPr>
        <w:pStyle w:val="Zkladntext1"/>
        <w:numPr>
          <w:ilvl w:val="0"/>
          <w:numId w:val="4"/>
        </w:numPr>
        <w:tabs>
          <w:tab w:val="left" w:pos="798"/>
        </w:tabs>
        <w:spacing w:after="40" w:line="276" w:lineRule="auto"/>
        <w:ind w:left="740" w:hanging="320"/>
        <w:jc w:val="both"/>
      </w:pPr>
      <w:r>
        <w:rPr>
          <w:rStyle w:val="Zkladntext"/>
        </w:rPr>
        <w:t>se sjednává dohodou smluvních stran ve smyslu zákona č. 526/1990 Sb., o cenách, v aktuálním znění, ke dni podpisu kupní smlouvy,</w:t>
      </w:r>
    </w:p>
    <w:p w:rsidR="004F6BA1" w:rsidRDefault="00697038">
      <w:pPr>
        <w:pStyle w:val="Zkladntext1"/>
        <w:numPr>
          <w:ilvl w:val="0"/>
          <w:numId w:val="4"/>
        </w:numPr>
        <w:tabs>
          <w:tab w:val="left" w:pos="798"/>
        </w:tabs>
        <w:spacing w:after="40" w:line="286" w:lineRule="auto"/>
        <w:ind w:left="740" w:hanging="320"/>
        <w:jc w:val="both"/>
      </w:pPr>
      <w:r>
        <w:rPr>
          <w:rStyle w:val="Zkladntext"/>
        </w:rPr>
        <w:t xml:space="preserve">je stanovena podle pravidel </w:t>
      </w:r>
      <w:proofErr w:type="spellStart"/>
      <w:r>
        <w:rPr>
          <w:rStyle w:val="Zkladntext"/>
        </w:rPr>
        <w:t>Incoterms</w:t>
      </w:r>
      <w:proofErr w:type="spellEnd"/>
      <w:r>
        <w:rPr>
          <w:rStyle w:val="Zkladntext"/>
        </w:rPr>
        <w:t xml:space="preserve"> jako </w:t>
      </w:r>
      <w:r>
        <w:rPr>
          <w:rStyle w:val="Zkladntext"/>
          <w:b/>
          <w:bCs/>
          <w:sz w:val="22"/>
          <w:szCs w:val="22"/>
        </w:rPr>
        <w:t xml:space="preserve">Free </w:t>
      </w:r>
      <w:proofErr w:type="spellStart"/>
      <w:r>
        <w:rPr>
          <w:rStyle w:val="Zkladntext"/>
          <w:b/>
          <w:bCs/>
          <w:sz w:val="22"/>
          <w:szCs w:val="22"/>
        </w:rPr>
        <w:t>Carrier</w:t>
      </w:r>
      <w:proofErr w:type="spellEnd"/>
      <w:r>
        <w:rPr>
          <w:rStyle w:val="Zkladntext"/>
          <w:b/>
          <w:bCs/>
          <w:sz w:val="22"/>
          <w:szCs w:val="22"/>
        </w:rPr>
        <w:t xml:space="preserve"> </w:t>
      </w:r>
      <w:r>
        <w:rPr>
          <w:rStyle w:val="Zkladntext"/>
        </w:rPr>
        <w:t xml:space="preserve">(zkratka FCA), na adrese provozovny společnosti, tj. </w:t>
      </w:r>
      <w:proofErr w:type="spellStart"/>
      <w:r>
        <w:rPr>
          <w:rStyle w:val="Zkladntext"/>
        </w:rPr>
        <w:t>KOBrf</w:t>
      </w:r>
      <w:proofErr w:type="spellEnd"/>
      <w:r>
        <w:rPr>
          <w:rStyle w:val="Zkladntext"/>
        </w:rPr>
        <w:t xml:space="preserve">, spol. s r.o., </w:t>
      </w:r>
      <w:proofErr w:type="spellStart"/>
      <w:r>
        <w:rPr>
          <w:rStyle w:val="Zkladntext"/>
        </w:rPr>
        <w:t>Konecchlumského</w:t>
      </w:r>
      <w:proofErr w:type="spellEnd"/>
      <w:r>
        <w:rPr>
          <w:rStyle w:val="Zkladntext"/>
        </w:rPr>
        <w:t xml:space="preserve"> 1100, 506 01 Jičín,</w:t>
      </w:r>
    </w:p>
    <w:p w:rsidR="004F6BA1" w:rsidRDefault="00697038">
      <w:pPr>
        <w:pStyle w:val="Zkladntext1"/>
        <w:numPr>
          <w:ilvl w:val="0"/>
          <w:numId w:val="4"/>
        </w:numPr>
        <w:tabs>
          <w:tab w:val="left" w:pos="728"/>
        </w:tabs>
        <w:spacing w:line="266" w:lineRule="auto"/>
        <w:ind w:firstLine="360"/>
        <w:jc w:val="both"/>
      </w:pPr>
      <w:r>
        <w:rPr>
          <w:rStyle w:val="Zkladntext"/>
        </w:rPr>
        <w:t>odpovídá dodávanému zboží a je chápána jako cena smluvní a konečná.</w:t>
      </w:r>
    </w:p>
    <w:p w:rsidR="004F6BA1" w:rsidRDefault="00697038">
      <w:pPr>
        <w:pStyle w:val="Zkladntext1"/>
        <w:numPr>
          <w:ilvl w:val="0"/>
          <w:numId w:val="3"/>
        </w:numPr>
        <w:tabs>
          <w:tab w:val="left" w:pos="358"/>
        </w:tabs>
        <w:spacing w:line="262" w:lineRule="auto"/>
        <w:ind w:left="360" w:hanging="360"/>
        <w:jc w:val="both"/>
      </w:pPr>
      <w:r>
        <w:rPr>
          <w:rStyle w:val="Zkladntext"/>
        </w:rPr>
        <w:t>Prodávající jako plátc</w:t>
      </w:r>
      <w:r>
        <w:rPr>
          <w:rStyle w:val="Zkladntext"/>
        </w:rPr>
        <w:t>e daně z přidané hodnoty vždy k fakturované kupní ceně bez DPH připočítá daň z přidané hodnoty v sazbě odpovídající zákonné úpravě v době fakturace.</w:t>
      </w:r>
    </w:p>
    <w:p w:rsidR="004F6BA1" w:rsidRDefault="00697038">
      <w:pPr>
        <w:pStyle w:val="Zkladntext1"/>
        <w:numPr>
          <w:ilvl w:val="0"/>
          <w:numId w:val="3"/>
        </w:numPr>
        <w:tabs>
          <w:tab w:val="left" w:pos="358"/>
        </w:tabs>
        <w:spacing w:line="266" w:lineRule="auto"/>
        <w:ind w:left="360" w:hanging="360"/>
        <w:jc w:val="both"/>
      </w:pPr>
      <w:r>
        <w:rPr>
          <w:rStyle w:val="Zkladntext"/>
        </w:rPr>
        <w:t>Kupní cenu lze měnit pouze na základě zákonné změny sazeb DPH nebo dojde-li ke změně jiných daňových předpi</w:t>
      </w:r>
      <w:r>
        <w:rPr>
          <w:rStyle w:val="Zkladntext"/>
        </w:rPr>
        <w:t>sů, nebo na základě rozšíření předmětu smlouvy kupujícím. Každá změna musí být výlučně řešena číslovanými písemnými dodatky, které se dnem podpisu oběma smluvními stranami stanou nedílnou součástí této smlouvy.</w:t>
      </w:r>
    </w:p>
    <w:p w:rsidR="004F6BA1" w:rsidRDefault="00697038">
      <w:pPr>
        <w:pStyle w:val="Zkladntext1"/>
        <w:numPr>
          <w:ilvl w:val="0"/>
          <w:numId w:val="3"/>
        </w:numPr>
        <w:tabs>
          <w:tab w:val="left" w:pos="363"/>
        </w:tabs>
        <w:spacing w:after="380" w:line="266" w:lineRule="auto"/>
      </w:pPr>
      <w:r>
        <w:rPr>
          <w:rStyle w:val="Zkladntext"/>
        </w:rPr>
        <w:t>Kupní cena zboží specifikovaného v článku II.</w:t>
      </w:r>
      <w:r>
        <w:rPr>
          <w:rStyle w:val="Zkladntext"/>
        </w:rPr>
        <w:t>, odstavci 4 této smlouvy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3"/>
        <w:gridCol w:w="3077"/>
      </w:tblGrid>
      <w:tr w:rsidR="004F6BA1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563" w:type="dxa"/>
            <w:shd w:val="clear" w:color="auto" w:fill="auto"/>
          </w:tcPr>
          <w:p w:rsidR="004F6BA1" w:rsidRDefault="00697038">
            <w:pPr>
              <w:pStyle w:val="Jin0"/>
              <w:spacing w:after="0" w:line="240" w:lineRule="auto"/>
              <w:ind w:firstLine="36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i/>
                <w:iCs/>
                <w:sz w:val="22"/>
                <w:szCs w:val="22"/>
              </w:rPr>
              <w:t>Názvy položek tvořící kupní cenu zboží</w:t>
            </w:r>
          </w:p>
        </w:tc>
        <w:tc>
          <w:tcPr>
            <w:tcW w:w="3077" w:type="dxa"/>
            <w:shd w:val="clear" w:color="auto" w:fill="auto"/>
          </w:tcPr>
          <w:p w:rsidR="004F6BA1" w:rsidRDefault="00697038">
            <w:pPr>
              <w:pStyle w:val="Jin0"/>
              <w:spacing w:after="0" w:line="240" w:lineRule="auto"/>
              <w:ind w:left="1060"/>
              <w:jc w:val="both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i/>
                <w:iCs/>
                <w:sz w:val="22"/>
                <w:szCs w:val="22"/>
              </w:rPr>
              <w:t>Cena bez DPH</w:t>
            </w:r>
          </w:p>
        </w:tc>
      </w:tr>
      <w:tr w:rsidR="004F6BA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6BA1" w:rsidRDefault="00697038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 xml:space="preserve">Nástavba </w:t>
            </w:r>
            <w:proofErr w:type="spellStart"/>
            <w:r>
              <w:rPr>
                <w:rStyle w:val="Jin"/>
              </w:rPr>
              <w:t>Press</w:t>
            </w:r>
            <w:proofErr w:type="spellEnd"/>
            <w:r>
              <w:rPr>
                <w:rStyle w:val="Jin"/>
              </w:rPr>
              <w:t xml:space="preserve"> 8</w:t>
            </w:r>
          </w:p>
        </w:tc>
        <w:tc>
          <w:tcPr>
            <w:tcW w:w="3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6BA1" w:rsidRDefault="00697038">
            <w:pPr>
              <w:pStyle w:val="Jin0"/>
              <w:spacing w:after="0" w:line="240" w:lineRule="auto"/>
              <w:ind w:right="340"/>
              <w:jc w:val="right"/>
            </w:pPr>
            <w:r>
              <w:rPr>
                <w:rStyle w:val="Jin"/>
              </w:rPr>
              <w:t>1 718 700,00 Kč</w:t>
            </w:r>
          </w:p>
        </w:tc>
      </w:tr>
      <w:tr w:rsidR="004F6BA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6BA1" w:rsidRDefault="00697038">
            <w:pPr>
              <w:pStyle w:val="Jin0"/>
              <w:spacing w:after="0" w:line="240" w:lineRule="auto"/>
              <w:ind w:firstLine="36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Celkem bez DPH</w:t>
            </w:r>
          </w:p>
        </w:tc>
        <w:tc>
          <w:tcPr>
            <w:tcW w:w="30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6BA1" w:rsidRDefault="00697038">
            <w:pPr>
              <w:pStyle w:val="Jin0"/>
              <w:spacing w:after="0" w:line="240" w:lineRule="auto"/>
              <w:ind w:firstLine="84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1 718 700,00 Kč</w:t>
            </w:r>
          </w:p>
        </w:tc>
      </w:tr>
      <w:tr w:rsidR="004F6BA1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563" w:type="dxa"/>
            <w:shd w:val="clear" w:color="auto" w:fill="auto"/>
          </w:tcPr>
          <w:p w:rsidR="004F6BA1" w:rsidRDefault="00697038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DPH 21 %</w:t>
            </w:r>
          </w:p>
        </w:tc>
        <w:tc>
          <w:tcPr>
            <w:tcW w:w="3077" w:type="dxa"/>
            <w:shd w:val="clear" w:color="auto" w:fill="auto"/>
          </w:tcPr>
          <w:p w:rsidR="004F6BA1" w:rsidRDefault="00697038">
            <w:pPr>
              <w:pStyle w:val="Jin0"/>
              <w:spacing w:after="0" w:line="240" w:lineRule="auto"/>
              <w:ind w:right="340"/>
              <w:jc w:val="right"/>
            </w:pPr>
            <w:r>
              <w:rPr>
                <w:rStyle w:val="Jin"/>
              </w:rPr>
              <w:t>360 927,00 Kč</w:t>
            </w:r>
          </w:p>
        </w:tc>
      </w:tr>
      <w:tr w:rsidR="004F6BA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6BA1" w:rsidRDefault="00697038">
            <w:pPr>
              <w:pStyle w:val="Jin0"/>
              <w:spacing w:after="0" w:line="240" w:lineRule="auto"/>
              <w:ind w:firstLine="36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Kupní cena celkem vč. DPH</w:t>
            </w:r>
          </w:p>
        </w:tc>
        <w:tc>
          <w:tcPr>
            <w:tcW w:w="30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6BA1" w:rsidRDefault="00697038">
            <w:pPr>
              <w:pStyle w:val="Jin0"/>
              <w:spacing w:after="0" w:line="240" w:lineRule="auto"/>
              <w:ind w:firstLine="84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2 079 627,00 Kč</w:t>
            </w:r>
          </w:p>
        </w:tc>
      </w:tr>
    </w:tbl>
    <w:p w:rsidR="004F6BA1" w:rsidRDefault="004F6BA1">
      <w:pPr>
        <w:spacing w:after="239" w:line="1" w:lineRule="exact"/>
      </w:pPr>
    </w:p>
    <w:p w:rsidR="004F6BA1" w:rsidRDefault="00697038">
      <w:pPr>
        <w:pStyle w:val="Zkladntext1"/>
        <w:spacing w:line="240" w:lineRule="auto"/>
        <w:ind w:firstLine="280"/>
        <w:jc w:val="both"/>
      </w:pPr>
      <w:r>
        <w:rPr>
          <w:rStyle w:val="Zkladntext"/>
        </w:rPr>
        <w:t xml:space="preserve">(Slovy: </w:t>
      </w:r>
      <w:proofErr w:type="spellStart"/>
      <w:r>
        <w:rPr>
          <w:rStyle w:val="Zkladntext"/>
        </w:rPr>
        <w:t>dvamilionysedmdesátdevěttisícšestsetdvacetsedum</w:t>
      </w:r>
      <w:proofErr w:type="spellEnd"/>
      <w:r>
        <w:rPr>
          <w:rStyle w:val="Zkladntext"/>
        </w:rPr>
        <w:t xml:space="preserve"> korun českých vč. DPH 21 %)</w:t>
      </w:r>
    </w:p>
    <w:p w:rsidR="004F6BA1" w:rsidRDefault="00697038">
      <w:pPr>
        <w:pStyle w:val="Zkladntext1"/>
        <w:numPr>
          <w:ilvl w:val="0"/>
          <w:numId w:val="3"/>
        </w:numPr>
        <w:tabs>
          <w:tab w:val="left" w:pos="354"/>
        </w:tabs>
        <w:spacing w:line="240" w:lineRule="auto"/>
      </w:pPr>
      <w:r>
        <w:rPr>
          <w:rStyle w:val="Zkladntext"/>
        </w:rPr>
        <w:t>V kupní ceně zboží je obsaženo zaškolení obsluhy, tj. osob určených kupujícím.</w:t>
      </w:r>
    </w:p>
    <w:p w:rsidR="004F6BA1" w:rsidRDefault="00697038">
      <w:pPr>
        <w:pStyle w:val="Zkladntext1"/>
        <w:numPr>
          <w:ilvl w:val="0"/>
          <w:numId w:val="3"/>
        </w:numPr>
        <w:tabs>
          <w:tab w:val="left" w:pos="345"/>
        </w:tabs>
        <w:spacing w:after="760" w:line="240" w:lineRule="auto"/>
        <w:jc w:val="both"/>
      </w:pPr>
      <w:r>
        <w:rPr>
          <w:rStyle w:val="Zkladntext"/>
        </w:rPr>
        <w:t>Kupní cena neobsahuje cenu za dopravu od prodávajícího ke kupujícímu.</w:t>
      </w:r>
    </w:p>
    <w:p w:rsidR="004F6BA1" w:rsidRDefault="00697038">
      <w:pPr>
        <w:pStyle w:val="Zkladntext1"/>
        <w:spacing w:after="0" w:line="240" w:lineRule="auto"/>
        <w:jc w:val="center"/>
        <w:rPr>
          <w:sz w:val="22"/>
          <w:szCs w:val="22"/>
        </w:rPr>
      </w:pPr>
      <w:r>
        <w:rPr>
          <w:rStyle w:val="Zkladntext"/>
          <w:b/>
          <w:bCs/>
          <w:i/>
          <w:iCs/>
          <w:sz w:val="22"/>
          <w:szCs w:val="22"/>
          <w:u w:val="single"/>
        </w:rPr>
        <w:t>Článek IV</w:t>
      </w:r>
      <w:r>
        <w:rPr>
          <w:rStyle w:val="Zkladntext"/>
          <w:b/>
          <w:bCs/>
          <w:i/>
          <w:iCs/>
          <w:sz w:val="22"/>
          <w:szCs w:val="22"/>
        </w:rPr>
        <w:t>.</w:t>
      </w:r>
    </w:p>
    <w:p w:rsidR="004F6BA1" w:rsidRDefault="00697038">
      <w:pPr>
        <w:pStyle w:val="Nadpis20"/>
        <w:keepNext/>
        <w:keepLines/>
      </w:pPr>
      <w:bookmarkStart w:id="4" w:name="bookmark6"/>
      <w:r>
        <w:rPr>
          <w:rStyle w:val="Nadpis2"/>
          <w:b/>
          <w:bCs/>
        </w:rPr>
        <w:lastRenderedPageBreak/>
        <w:t>Platební podmínky</w:t>
      </w:r>
      <w:bookmarkEnd w:id="4"/>
    </w:p>
    <w:p w:rsidR="004F6BA1" w:rsidRDefault="00697038">
      <w:pPr>
        <w:pStyle w:val="Zkladntext1"/>
        <w:numPr>
          <w:ilvl w:val="0"/>
          <w:numId w:val="5"/>
        </w:numPr>
        <w:tabs>
          <w:tab w:val="left" w:pos="345"/>
        </w:tabs>
        <w:spacing w:after="40" w:line="266" w:lineRule="auto"/>
      </w:pPr>
      <w:r>
        <w:rPr>
          <w:rStyle w:val="Zkladntext"/>
        </w:rPr>
        <w:t>Smluvní strany ujednaly níže uvedený způsob zaplacení kupní ceny kupujícím:</w:t>
      </w:r>
    </w:p>
    <w:p w:rsidR="004F6BA1" w:rsidRDefault="00697038">
      <w:pPr>
        <w:pStyle w:val="Zkladntext1"/>
        <w:numPr>
          <w:ilvl w:val="0"/>
          <w:numId w:val="6"/>
        </w:numPr>
        <w:tabs>
          <w:tab w:val="left" w:pos="678"/>
        </w:tabs>
        <w:spacing w:after="40" w:line="276" w:lineRule="auto"/>
        <w:ind w:left="660" w:hanging="300"/>
        <w:jc w:val="both"/>
      </w:pPr>
      <w:r>
        <w:rPr>
          <w:rStyle w:val="Zkladntext"/>
        </w:rPr>
        <w:t xml:space="preserve">Záloha ve výši </w:t>
      </w:r>
      <w:r>
        <w:rPr>
          <w:rStyle w:val="Zkladntext"/>
          <w:b/>
          <w:bCs/>
          <w:sz w:val="22"/>
          <w:szCs w:val="22"/>
        </w:rPr>
        <w:t xml:space="preserve">1 000 000,00 Kč </w:t>
      </w:r>
      <w:r>
        <w:rPr>
          <w:rStyle w:val="Zkladntext"/>
        </w:rPr>
        <w:t xml:space="preserve">(slovy: </w:t>
      </w:r>
      <w:proofErr w:type="spellStart"/>
      <w:r>
        <w:rPr>
          <w:rStyle w:val="Zkladntext"/>
        </w:rPr>
        <w:t>jedenmilion</w:t>
      </w:r>
      <w:proofErr w:type="spellEnd"/>
      <w:r>
        <w:rPr>
          <w:rStyle w:val="Zkladntext"/>
        </w:rPr>
        <w:t xml:space="preserve"> korun českých) vč. DPH při podpisu smlouvy. Do doby zaplacení zálohy nebude započato s výrobou zboží. O dobu prodlení kupujícího </w:t>
      </w:r>
      <w:r>
        <w:rPr>
          <w:rStyle w:val="Zkladntext"/>
        </w:rPr>
        <w:t>se zaplacením zálohy na kupní cenu se prodlužuje doba plnění uvedená v článku V., odstavci 1. V případě prodlení kupujícího se zaplacením zálohy delším 10 dnů, bude doba plnění adekvátně prodloužena v závislosti na výrobní kapacitě Prodávajícího.</w:t>
      </w:r>
    </w:p>
    <w:p w:rsidR="004F6BA1" w:rsidRDefault="00697038">
      <w:pPr>
        <w:pStyle w:val="Zkladntext1"/>
        <w:numPr>
          <w:ilvl w:val="0"/>
          <w:numId w:val="6"/>
        </w:numPr>
        <w:tabs>
          <w:tab w:val="left" w:pos="682"/>
        </w:tabs>
        <w:spacing w:line="286" w:lineRule="auto"/>
        <w:ind w:left="660" w:hanging="300"/>
        <w:jc w:val="both"/>
      </w:pPr>
      <w:r>
        <w:rPr>
          <w:rStyle w:val="Zkladntext"/>
        </w:rPr>
        <w:t xml:space="preserve">Doplatek </w:t>
      </w:r>
      <w:r>
        <w:rPr>
          <w:rStyle w:val="Zkladntext"/>
        </w:rPr>
        <w:t xml:space="preserve">kupní ceny </w:t>
      </w:r>
      <w:r w:rsidRPr="001F7521">
        <w:rPr>
          <w:rStyle w:val="Zkladntext"/>
          <w:b/>
          <w:bCs/>
          <w:sz w:val="22"/>
          <w:szCs w:val="22"/>
        </w:rPr>
        <w:t>ve výši 1</w:t>
      </w:r>
      <w:r w:rsidR="001F7521">
        <w:rPr>
          <w:rStyle w:val="Zkladntext"/>
          <w:b/>
          <w:bCs/>
          <w:sz w:val="22"/>
          <w:szCs w:val="22"/>
        </w:rPr>
        <w:t xml:space="preserve"> </w:t>
      </w:r>
      <w:r>
        <w:rPr>
          <w:rStyle w:val="Zkladntext"/>
          <w:b/>
          <w:bCs/>
          <w:sz w:val="22"/>
          <w:szCs w:val="22"/>
        </w:rPr>
        <w:t>079</w:t>
      </w:r>
      <w:r>
        <w:rPr>
          <w:rStyle w:val="Zkladntext"/>
          <w:b/>
          <w:bCs/>
          <w:sz w:val="22"/>
          <w:szCs w:val="22"/>
        </w:rPr>
        <w:t xml:space="preserve"> 627</w:t>
      </w:r>
      <w:r>
        <w:rPr>
          <w:rStyle w:val="Zkladntext"/>
          <w:b/>
          <w:bCs/>
          <w:sz w:val="22"/>
          <w:szCs w:val="22"/>
        </w:rPr>
        <w:t xml:space="preserve">,00 Kč </w:t>
      </w:r>
      <w:r>
        <w:rPr>
          <w:rStyle w:val="Zkladntext"/>
        </w:rPr>
        <w:t xml:space="preserve">(slovy: </w:t>
      </w:r>
      <w:proofErr w:type="spellStart"/>
      <w:r>
        <w:rPr>
          <w:rStyle w:val="Zkladntext"/>
        </w:rPr>
        <w:t>jedenmilionsedmdesátdevěttisícšestsetdvacetsedm</w:t>
      </w:r>
      <w:proofErr w:type="spellEnd"/>
      <w:r>
        <w:rPr>
          <w:rStyle w:val="Zkladntext"/>
        </w:rPr>
        <w:t xml:space="preserve"> korun českých) vč. DPH před předáním zboží kupujícímu dle článku V., odstavce 1. Až na základě úplného zaplacení celé kupní ceny bude kupujícímu zboží předáno a vysta</w:t>
      </w:r>
      <w:r>
        <w:rPr>
          <w:rStyle w:val="Zkladntext"/>
        </w:rPr>
        <w:t>ven řádný daňový doklad - faktura obsahující náležitosti obchodní listiny a daňového dokladu. Za den uskutečnění zdanitelného plnění se považuje den protokolárního převzetí zboží kupujícím.</w:t>
      </w:r>
    </w:p>
    <w:p w:rsidR="004F6BA1" w:rsidRDefault="00697038">
      <w:pPr>
        <w:pStyle w:val="Zkladntext1"/>
        <w:numPr>
          <w:ilvl w:val="0"/>
          <w:numId w:val="5"/>
        </w:numPr>
        <w:tabs>
          <w:tab w:val="left" w:pos="345"/>
        </w:tabs>
        <w:spacing w:line="262" w:lineRule="auto"/>
        <w:ind w:left="360" w:hanging="360"/>
        <w:jc w:val="both"/>
      </w:pPr>
      <w:r>
        <w:rPr>
          <w:rStyle w:val="Zkladntext"/>
        </w:rPr>
        <w:t xml:space="preserve">Splatnost zálohových faktur je stanovena na 14 dnů ode dne jejich </w:t>
      </w:r>
      <w:r>
        <w:rPr>
          <w:rStyle w:val="Zkladntext"/>
        </w:rPr>
        <w:t>vystavení prodávajícím. Dnem zaplacení se rozumí vždy den, kdy byla daná platba připsána na účet prodávajícího.</w:t>
      </w:r>
    </w:p>
    <w:p w:rsidR="004F6BA1" w:rsidRDefault="00697038">
      <w:pPr>
        <w:pStyle w:val="Zkladntext1"/>
        <w:numPr>
          <w:ilvl w:val="0"/>
          <w:numId w:val="5"/>
        </w:numPr>
        <w:tabs>
          <w:tab w:val="left" w:pos="345"/>
        </w:tabs>
        <w:ind w:left="360" w:hanging="360"/>
        <w:jc w:val="both"/>
      </w:pPr>
      <w:r>
        <w:rPr>
          <w:rStyle w:val="Zkladntext"/>
        </w:rPr>
        <w:t>Kupující se zavazuje zaplatit prodávajícímu celou kupní cenu za dodané zboží na základě zálohových faktur, které vedle náležitostí daňových dokl</w:t>
      </w:r>
      <w:r>
        <w:rPr>
          <w:rStyle w:val="Zkladntext"/>
        </w:rPr>
        <w:t xml:space="preserve">adů budou obsahovat identifikaci smlouvy a </w:t>
      </w:r>
      <w:proofErr w:type="spellStart"/>
      <w:r>
        <w:rPr>
          <w:rStyle w:val="Zkladntext"/>
        </w:rPr>
        <w:t>datumy</w:t>
      </w:r>
      <w:proofErr w:type="spellEnd"/>
      <w:r>
        <w:rPr>
          <w:rStyle w:val="Zkladntext"/>
        </w:rPr>
        <w:t xml:space="preserve"> splatnosti.</w:t>
      </w:r>
    </w:p>
    <w:p w:rsidR="004F6BA1" w:rsidRDefault="00697038">
      <w:pPr>
        <w:pStyle w:val="Zkladntext1"/>
        <w:numPr>
          <w:ilvl w:val="0"/>
          <w:numId w:val="5"/>
        </w:numPr>
        <w:tabs>
          <w:tab w:val="left" w:pos="345"/>
        </w:tabs>
        <w:spacing w:line="266" w:lineRule="auto"/>
        <w:ind w:left="360" w:hanging="360"/>
        <w:jc w:val="both"/>
      </w:pPr>
      <w:r>
        <w:rPr>
          <w:rStyle w:val="Zkladntext"/>
        </w:rPr>
        <w:t>Jestliže se celková dodávka skládá z jednotlivých dílčích dodávek a tyto jsou uvedeny v předmětu smlouvy a také v kupní ceně samostatně, lze jednotlivé položky dílčích dodávek fakturovat samosta</w:t>
      </w:r>
      <w:r>
        <w:rPr>
          <w:rStyle w:val="Zkladntext"/>
        </w:rPr>
        <w:t>tně.</w:t>
      </w:r>
    </w:p>
    <w:p w:rsidR="004F6BA1" w:rsidRDefault="00697038">
      <w:pPr>
        <w:pStyle w:val="Zkladntext1"/>
        <w:numPr>
          <w:ilvl w:val="0"/>
          <w:numId w:val="5"/>
        </w:numPr>
        <w:tabs>
          <w:tab w:val="left" w:pos="345"/>
        </w:tabs>
        <w:ind w:left="360" w:hanging="360"/>
        <w:jc w:val="both"/>
      </w:pPr>
      <w:r>
        <w:rPr>
          <w:rStyle w:val="Zkladntext"/>
        </w:rPr>
        <w:t xml:space="preserve">Faktura na nástavbu </w:t>
      </w:r>
      <w:proofErr w:type="spellStart"/>
      <w:r>
        <w:rPr>
          <w:rStyle w:val="Zkladntext"/>
        </w:rPr>
        <w:t>Press</w:t>
      </w:r>
      <w:proofErr w:type="spellEnd"/>
      <w:r>
        <w:rPr>
          <w:rStyle w:val="Zkladntext"/>
        </w:rPr>
        <w:t xml:space="preserve"> 8, zahrnující úpravy přistaveného podvozku vozidla a montáž výbavy dle článku II., odstavce 5. této smlouvy, bude zaplacena bezhotovostní platbou na účet prodávajícího č. účtu 5016230911/5500 vedeného u </w:t>
      </w:r>
      <w:proofErr w:type="spellStart"/>
      <w:r>
        <w:rPr>
          <w:rStyle w:val="Zkladntext"/>
        </w:rPr>
        <w:t>Raiffeisenbank</w:t>
      </w:r>
      <w:proofErr w:type="spellEnd"/>
      <w:r>
        <w:rPr>
          <w:rStyle w:val="Zkladntext"/>
        </w:rPr>
        <w:t>, a.s. P</w:t>
      </w:r>
      <w:r>
        <w:rPr>
          <w:rStyle w:val="Zkladntext"/>
        </w:rPr>
        <w:t>rodávající prohlašuje, že tento bankovní účet určený pro zaplacení kupní ceny (nebo její části), je zveřejněn způsobem umožňujícím dálkový přístup ve smyslu § 96 odstavce 2 zákona o DPH.</w:t>
      </w:r>
    </w:p>
    <w:p w:rsidR="004F6BA1" w:rsidRDefault="00697038">
      <w:pPr>
        <w:pStyle w:val="Zkladntext1"/>
        <w:numPr>
          <w:ilvl w:val="0"/>
          <w:numId w:val="5"/>
        </w:numPr>
        <w:tabs>
          <w:tab w:val="left" w:pos="345"/>
        </w:tabs>
        <w:spacing w:line="266" w:lineRule="auto"/>
        <w:ind w:left="360" w:hanging="360"/>
        <w:jc w:val="both"/>
      </w:pPr>
      <w:r>
        <w:rPr>
          <w:rStyle w:val="Zkladntext"/>
        </w:rPr>
        <w:t>Při prodlení prodávajícího u splatnosti faktury bude postupováno podl</w:t>
      </w:r>
      <w:r>
        <w:rPr>
          <w:rStyle w:val="Zkladntext"/>
        </w:rPr>
        <w:t>e ujednání o smluvních pokutách.</w:t>
      </w:r>
    </w:p>
    <w:p w:rsidR="001F7521" w:rsidRDefault="00697038">
      <w:pPr>
        <w:pStyle w:val="Zkladntext1"/>
        <w:numPr>
          <w:ilvl w:val="0"/>
          <w:numId w:val="5"/>
        </w:numPr>
        <w:tabs>
          <w:tab w:val="left" w:pos="345"/>
        </w:tabs>
        <w:spacing w:after="1840" w:line="266" w:lineRule="auto"/>
        <w:ind w:left="360" w:hanging="360"/>
        <w:jc w:val="both"/>
        <w:rPr>
          <w:rStyle w:val="Zkladntext"/>
        </w:rPr>
      </w:pPr>
      <w:r>
        <w:rPr>
          <w:rStyle w:val="Zkladntext"/>
        </w:rPr>
        <w:t>Pokud nezaplatí kupující prodávajícímu dohodnutou a fakturovanou cenu včetně daně z přidané hodnoty, nestává se vlastníkem dodávaného zboží a tímto vlastníkem zůstává až do zaplacení celé kupní ceny prodávající. Kupující se</w:t>
      </w:r>
      <w:r>
        <w:rPr>
          <w:rStyle w:val="Zkladntext"/>
        </w:rPr>
        <w:t xml:space="preserve"> také zavazuje, že každé další třetí straně (osobě, podnikateli), která by od něj nezaplacené zboží dodávané prodávajícím koupila, písemně oznámí, ž</w:t>
      </w:r>
      <w:r>
        <w:rPr>
          <w:rStyle w:val="Zkladntext"/>
        </w:rPr>
        <w:t>e uzavřel s prodávajícím tuto do</w:t>
      </w:r>
      <w:r>
        <w:rPr>
          <w:rStyle w:val="Zkladntext"/>
        </w:rPr>
        <w:t>ložku o výhradě vlastnictví. Pokud tak k</w:t>
      </w:r>
    </w:p>
    <w:p w:rsidR="004F6BA1" w:rsidRDefault="001F7521">
      <w:pPr>
        <w:pStyle w:val="Zkladntext1"/>
        <w:numPr>
          <w:ilvl w:val="0"/>
          <w:numId w:val="5"/>
        </w:numPr>
        <w:tabs>
          <w:tab w:val="left" w:pos="345"/>
        </w:tabs>
        <w:spacing w:after="1840" w:line="266" w:lineRule="auto"/>
        <w:ind w:left="360" w:hanging="360"/>
        <w:jc w:val="both"/>
        <w:rPr>
          <w:rStyle w:val="Zkladntext"/>
        </w:rPr>
      </w:pPr>
      <w:r>
        <w:rPr>
          <w:rStyle w:val="Zkladntext"/>
        </w:rPr>
        <w:t>Ku</w:t>
      </w:r>
      <w:r w:rsidR="00697038">
        <w:rPr>
          <w:rStyle w:val="Zkladntext"/>
        </w:rPr>
        <w:t>pující neučiní, odpovídá prodávajíc</w:t>
      </w:r>
      <w:r w:rsidR="00697038">
        <w:rPr>
          <w:rStyle w:val="Zkladntext"/>
        </w:rPr>
        <w:t>ímu za vzniklou škodu.</w:t>
      </w:r>
    </w:p>
    <w:p w:rsidR="001F7521" w:rsidRDefault="001F7521" w:rsidP="001F7521">
      <w:pPr>
        <w:pStyle w:val="Zkladntext1"/>
        <w:tabs>
          <w:tab w:val="left" w:pos="345"/>
        </w:tabs>
        <w:spacing w:after="1840" w:line="266" w:lineRule="auto"/>
        <w:ind w:left="360"/>
        <w:jc w:val="both"/>
      </w:pPr>
    </w:p>
    <w:p w:rsidR="004F6BA1" w:rsidRDefault="00697038">
      <w:pPr>
        <w:pStyle w:val="Zkladntext1"/>
        <w:spacing w:after="520" w:line="240" w:lineRule="auto"/>
        <w:jc w:val="center"/>
        <w:rPr>
          <w:sz w:val="22"/>
          <w:szCs w:val="22"/>
        </w:rPr>
      </w:pPr>
      <w:r>
        <w:rPr>
          <w:rStyle w:val="Zkladntext"/>
          <w:b/>
          <w:bCs/>
          <w:i/>
          <w:iCs/>
          <w:sz w:val="22"/>
          <w:szCs w:val="22"/>
          <w:u w:val="single"/>
        </w:rPr>
        <w:lastRenderedPageBreak/>
        <w:t>Článek V.</w:t>
      </w:r>
    </w:p>
    <w:p w:rsidR="004F6BA1" w:rsidRDefault="00697038">
      <w:pPr>
        <w:pStyle w:val="Nadpis20"/>
        <w:keepNext/>
        <w:keepLines/>
      </w:pPr>
      <w:bookmarkStart w:id="5" w:name="bookmark8"/>
      <w:r>
        <w:rPr>
          <w:rStyle w:val="Nadpis2"/>
          <w:b/>
          <w:bCs/>
        </w:rPr>
        <w:t>Doba plnění a dodací podmínky</w:t>
      </w:r>
      <w:bookmarkEnd w:id="5"/>
    </w:p>
    <w:p w:rsidR="004F6BA1" w:rsidRDefault="00697038">
      <w:pPr>
        <w:pStyle w:val="Zkladntext1"/>
        <w:numPr>
          <w:ilvl w:val="0"/>
          <w:numId w:val="7"/>
        </w:numPr>
        <w:tabs>
          <w:tab w:val="left" w:pos="400"/>
        </w:tabs>
        <w:spacing w:after="40" w:line="240" w:lineRule="auto"/>
        <w:ind w:left="440" w:hanging="440"/>
        <w:jc w:val="both"/>
      </w:pPr>
      <w:r>
        <w:rPr>
          <w:rStyle w:val="Zkladntext"/>
        </w:rPr>
        <w:t xml:space="preserve">Smluvní strany ujednaly, že prodávající je povinen dodat zboží uvedené v článku I. této smlouvy nejpozději do </w:t>
      </w:r>
      <w:r>
        <w:rPr>
          <w:rStyle w:val="Zkladntext"/>
          <w:b/>
          <w:bCs/>
          <w:sz w:val="22"/>
          <w:szCs w:val="22"/>
        </w:rPr>
        <w:t xml:space="preserve">30. 6. 2024 </w:t>
      </w:r>
      <w:r>
        <w:rPr>
          <w:rStyle w:val="Zkladntext"/>
        </w:rPr>
        <w:t>za podmínek, že:</w:t>
      </w:r>
    </w:p>
    <w:p w:rsidR="004F6BA1" w:rsidRDefault="00697038">
      <w:pPr>
        <w:pStyle w:val="Zkladntext1"/>
        <w:numPr>
          <w:ilvl w:val="0"/>
          <w:numId w:val="8"/>
        </w:numPr>
        <w:tabs>
          <w:tab w:val="left" w:pos="762"/>
        </w:tabs>
        <w:spacing w:after="40"/>
        <w:ind w:firstLine="440"/>
        <w:jc w:val="both"/>
      </w:pPr>
      <w:r>
        <w:rPr>
          <w:rStyle w:val="Zkladntext"/>
        </w:rPr>
        <w:t>kupní smlouva bude podepsána</w:t>
      </w:r>
      <w:r>
        <w:rPr>
          <w:rStyle w:val="Zkladntext"/>
        </w:rPr>
        <w:t xml:space="preserve"> (uzavřena) nejpozději do 20. 12. 2023,</w:t>
      </w:r>
    </w:p>
    <w:p w:rsidR="004F6BA1" w:rsidRDefault="00697038">
      <w:pPr>
        <w:pStyle w:val="Zkladntext1"/>
        <w:numPr>
          <w:ilvl w:val="0"/>
          <w:numId w:val="8"/>
        </w:numPr>
        <w:tabs>
          <w:tab w:val="left" w:pos="778"/>
        </w:tabs>
        <w:spacing w:after="40"/>
        <w:ind w:left="760" w:hanging="300"/>
        <w:jc w:val="both"/>
      </w:pPr>
      <w:r>
        <w:rPr>
          <w:rStyle w:val="Zkladntext"/>
        </w:rPr>
        <w:t>vystavená zálohová faktura dle článku IV., odstavce 1. této smlouvy bude zaplacena včas (v termínu splatnosti), přičemž dnem zaplacení se rozumí den, kdy platba byla připsána na účet prodávajícího. O dobu prodlení ku</w:t>
      </w:r>
      <w:r>
        <w:rPr>
          <w:rStyle w:val="Zkladntext"/>
        </w:rPr>
        <w:t>pujícího se zaplacením zálohy na kupní cenu se prodlužuje doba plnění uvedená v článku V., odstavci 1. V případě prodlení kupujícího se zaplacením zálohy delším 10 dnů, bude doba plnění adekvátně prodloužena v závislosti na výrobní kapacitě Prodávajícího,</w:t>
      </w:r>
    </w:p>
    <w:p w:rsidR="004F6BA1" w:rsidRDefault="00697038">
      <w:pPr>
        <w:pStyle w:val="Zkladntext1"/>
        <w:numPr>
          <w:ilvl w:val="0"/>
          <w:numId w:val="8"/>
        </w:numPr>
        <w:tabs>
          <w:tab w:val="left" w:pos="763"/>
        </w:tabs>
        <w:ind w:left="760" w:hanging="300"/>
        <w:jc w:val="both"/>
      </w:pPr>
      <w:r>
        <w:rPr>
          <w:rStyle w:val="Zkladntext"/>
        </w:rPr>
        <w:t xml:space="preserve">podvozek MAN TGL D0834LFLAH, rozvor 3 600 mm, typ NKH8T-375 bude kupujícím přistaven do provozovny prodávajícího nejpozději 8 týdnů před sjednaným termínem dodání zboží. O dobu prodlení kupujícího s přistavením podvozku vozidla do provozovny prodávajícího </w:t>
      </w:r>
      <w:r>
        <w:rPr>
          <w:rStyle w:val="Zkladntext"/>
        </w:rPr>
        <w:t>se prodlužuje doba plnění uvedená v článku V., odstavci 1. V případě prodlení kupujícího s přistavením podvozku vozidla delším 10 dnů, bude doba plnění adekvátně prodloužena v závislosti na výrobní kapacitě Prodávajícího.</w:t>
      </w:r>
    </w:p>
    <w:p w:rsidR="004F6BA1" w:rsidRDefault="00697038">
      <w:pPr>
        <w:pStyle w:val="Zkladntext1"/>
        <w:numPr>
          <w:ilvl w:val="0"/>
          <w:numId w:val="7"/>
        </w:numPr>
        <w:tabs>
          <w:tab w:val="left" w:pos="400"/>
        </w:tabs>
        <w:spacing w:line="266" w:lineRule="auto"/>
        <w:ind w:left="440" w:hanging="440"/>
        <w:jc w:val="both"/>
      </w:pPr>
      <w:r>
        <w:rPr>
          <w:rStyle w:val="Zkladntext"/>
        </w:rPr>
        <w:t>Náklady na přistavení podvozku voz</w:t>
      </w:r>
      <w:r>
        <w:rPr>
          <w:rStyle w:val="Zkladntext"/>
        </w:rPr>
        <w:t>idla k úpravě a následné montáži nástavby do provozovny prodávajícího jdou k tíži prodávajícího.</w:t>
      </w:r>
    </w:p>
    <w:p w:rsidR="004F6BA1" w:rsidRDefault="00697038">
      <w:pPr>
        <w:pStyle w:val="Zkladntext1"/>
        <w:numPr>
          <w:ilvl w:val="0"/>
          <w:numId w:val="7"/>
        </w:numPr>
        <w:tabs>
          <w:tab w:val="left" w:pos="400"/>
        </w:tabs>
        <w:spacing w:line="266" w:lineRule="auto"/>
        <w:ind w:left="440" w:hanging="440"/>
        <w:jc w:val="both"/>
      </w:pPr>
      <w:r>
        <w:rPr>
          <w:rStyle w:val="Zkladntext"/>
        </w:rPr>
        <w:t>Předání zboží a zaškolení obsluhy (osob určených kupujícím) se uskuteční v místě provozovny kupujícího.</w:t>
      </w:r>
    </w:p>
    <w:p w:rsidR="004F6BA1" w:rsidRDefault="00697038">
      <w:pPr>
        <w:pStyle w:val="Zkladntext1"/>
        <w:numPr>
          <w:ilvl w:val="0"/>
          <w:numId w:val="7"/>
        </w:numPr>
        <w:tabs>
          <w:tab w:val="left" w:pos="400"/>
        </w:tabs>
        <w:spacing w:line="262" w:lineRule="auto"/>
        <w:ind w:left="440" w:hanging="440"/>
        <w:jc w:val="both"/>
      </w:pPr>
      <w:r>
        <w:rPr>
          <w:rStyle w:val="Zkladntext"/>
        </w:rPr>
        <w:t>Prodávající dále zaručuje, že na dodávaném zboží nevážn</w:t>
      </w:r>
      <w:r>
        <w:rPr>
          <w:rStyle w:val="Zkladntext"/>
        </w:rPr>
        <w:t>ou práva třetích osob, zejména práva vyplývající z průmyslového vlastnictví.</w:t>
      </w:r>
    </w:p>
    <w:p w:rsidR="004F6BA1" w:rsidRDefault="00697038">
      <w:pPr>
        <w:pStyle w:val="Zkladntext1"/>
        <w:numPr>
          <w:ilvl w:val="0"/>
          <w:numId w:val="7"/>
        </w:numPr>
        <w:tabs>
          <w:tab w:val="left" w:pos="400"/>
        </w:tabs>
        <w:spacing w:line="262" w:lineRule="auto"/>
        <w:ind w:left="440" w:hanging="440"/>
        <w:jc w:val="both"/>
      </w:pPr>
      <w:r>
        <w:rPr>
          <w:rStyle w:val="Zkladntext"/>
        </w:rPr>
        <w:t>Prodávající se zavazuje vyzvat kupujícího písemně k předání a převzetí zboží v dostatečném předstihu.</w:t>
      </w:r>
    </w:p>
    <w:p w:rsidR="004F6BA1" w:rsidRDefault="00697038">
      <w:pPr>
        <w:pStyle w:val="Zkladntext1"/>
        <w:numPr>
          <w:ilvl w:val="0"/>
          <w:numId w:val="7"/>
        </w:numPr>
        <w:tabs>
          <w:tab w:val="left" w:pos="400"/>
        </w:tabs>
        <w:spacing w:line="266" w:lineRule="auto"/>
        <w:ind w:left="440" w:hanging="440"/>
        <w:jc w:val="both"/>
      </w:pPr>
      <w:r>
        <w:rPr>
          <w:rStyle w:val="Zkladntext"/>
        </w:rPr>
        <w:t>Kupující nemá právo dodané zboží v dohodnutém termínu odmítnout. Pokud kupují</w:t>
      </w:r>
      <w:r>
        <w:rPr>
          <w:rStyle w:val="Zkladntext"/>
        </w:rPr>
        <w:t>cí odmítne bezdůvodně zboží převzít či se nedostaví k převzetí zboží v sjednaném termínu, ani k převzetí zboží nezmocní jinou osobu, smluvní strany ujednaly, že prodávající v souladu s § 562 občanského zákoníku e-mailem písemně vyrozumí kupujícího o náhrad</w:t>
      </w:r>
      <w:r>
        <w:rPr>
          <w:rStyle w:val="Zkladntext"/>
        </w:rPr>
        <w:t xml:space="preserve">ním termínu převzetí zboží a marným uplynutím </w:t>
      </w:r>
      <w:proofErr w:type="gramStart"/>
      <w:r>
        <w:rPr>
          <w:rStyle w:val="Zkladntext"/>
        </w:rPr>
        <w:t>této 5-ti</w:t>
      </w:r>
      <w:proofErr w:type="gramEnd"/>
      <w:r>
        <w:rPr>
          <w:rStyle w:val="Zkladntext"/>
        </w:rPr>
        <w:t xml:space="preserve"> denní lhůty, je prodávající oprávněn zboží nechat uskladnit u třetí osoby na náklad kupujícího a písemně kupujícímu tuto skutečnost oznámit. Doručením písemného oznámení o uskladnění nepřevzatého zbož</w:t>
      </w:r>
      <w:r>
        <w:rPr>
          <w:rStyle w:val="Zkladntext"/>
        </w:rPr>
        <w:t>í je splněn závazek prodávajícího zboží dodat.</w:t>
      </w:r>
    </w:p>
    <w:p w:rsidR="004F6BA1" w:rsidRDefault="00697038">
      <w:pPr>
        <w:pStyle w:val="Zkladntext1"/>
        <w:numPr>
          <w:ilvl w:val="0"/>
          <w:numId w:val="7"/>
        </w:numPr>
        <w:tabs>
          <w:tab w:val="left" w:pos="400"/>
        </w:tabs>
        <w:spacing w:line="266" w:lineRule="auto"/>
        <w:ind w:left="440" w:hanging="440"/>
        <w:jc w:val="both"/>
      </w:pPr>
      <w:r>
        <w:rPr>
          <w:rStyle w:val="Zkladntext"/>
        </w:rPr>
        <w:t>Kupující není oprávněn bez písemného souhlasu prodávajícího pozměňovat dodané zboží dle této smlouvy nebo jeho identifikaci (konstrukci, výrobní štítek apod.).</w:t>
      </w:r>
    </w:p>
    <w:p w:rsidR="004F6BA1" w:rsidRDefault="00697038">
      <w:pPr>
        <w:pStyle w:val="Zkladntext1"/>
        <w:numPr>
          <w:ilvl w:val="0"/>
          <w:numId w:val="7"/>
        </w:numPr>
        <w:tabs>
          <w:tab w:val="left" w:pos="400"/>
        </w:tabs>
        <w:spacing w:after="780"/>
        <w:ind w:left="440" w:hanging="440"/>
        <w:jc w:val="both"/>
      </w:pPr>
      <w:r>
        <w:rPr>
          <w:rStyle w:val="Zkladntext"/>
        </w:rPr>
        <w:t>Pokud prodávající nepřistaví podvozek k montáži n</w:t>
      </w:r>
      <w:r>
        <w:rPr>
          <w:rStyle w:val="Zkladntext"/>
        </w:rPr>
        <w:t>ástavby v požadovaném termínu, než je uvedeno v článku V., odstavci 1, písm. c), pak může prodávající navýšit kupní cenu, a to do max. výše stanovené oficiálním inflačním koeficientem, stanoveným MF ČR ke dni skutečného přistavení podvozku.</w:t>
      </w:r>
    </w:p>
    <w:p w:rsidR="004F6BA1" w:rsidRDefault="00697038">
      <w:pPr>
        <w:pStyle w:val="Zkladntext1"/>
        <w:spacing w:after="0" w:line="240" w:lineRule="auto"/>
        <w:jc w:val="center"/>
        <w:rPr>
          <w:sz w:val="22"/>
          <w:szCs w:val="22"/>
        </w:rPr>
      </w:pPr>
      <w:r>
        <w:rPr>
          <w:rStyle w:val="Zkladntext"/>
          <w:b/>
          <w:bCs/>
          <w:i/>
          <w:iCs/>
          <w:sz w:val="22"/>
          <w:szCs w:val="22"/>
          <w:u w:val="single"/>
        </w:rPr>
        <w:t>Článek VI.</w:t>
      </w:r>
    </w:p>
    <w:p w:rsidR="004F6BA1" w:rsidRDefault="00697038">
      <w:pPr>
        <w:pStyle w:val="Nadpis20"/>
        <w:keepNext/>
        <w:keepLines/>
      </w:pPr>
      <w:bookmarkStart w:id="6" w:name="bookmark10"/>
      <w:r>
        <w:rPr>
          <w:rStyle w:val="Nadpis2"/>
          <w:b/>
          <w:bCs/>
        </w:rPr>
        <w:t>Záruka a záruční podmínky</w:t>
      </w:r>
      <w:bookmarkEnd w:id="6"/>
    </w:p>
    <w:p w:rsidR="004F6BA1" w:rsidRDefault="00697038">
      <w:pPr>
        <w:pStyle w:val="Zkladntext1"/>
        <w:numPr>
          <w:ilvl w:val="0"/>
          <w:numId w:val="9"/>
        </w:numPr>
        <w:tabs>
          <w:tab w:val="left" w:pos="400"/>
        </w:tabs>
        <w:spacing w:line="262" w:lineRule="auto"/>
        <w:ind w:left="360" w:hanging="360"/>
        <w:jc w:val="both"/>
      </w:pPr>
      <w:r>
        <w:rPr>
          <w:rStyle w:val="Zkladntext"/>
        </w:rPr>
        <w:t xml:space="preserve">Prodávající poskytne kupujícímu na dodané zboží záruku </w:t>
      </w:r>
      <w:r>
        <w:rPr>
          <w:rStyle w:val="Zkladntext"/>
          <w:b/>
          <w:bCs/>
          <w:sz w:val="22"/>
          <w:szCs w:val="22"/>
        </w:rPr>
        <w:t xml:space="preserve">24 měsíců </w:t>
      </w:r>
      <w:r>
        <w:rPr>
          <w:rStyle w:val="Zkladntext"/>
        </w:rPr>
        <w:t xml:space="preserve">bez omezení počtem ujetých kilometrů nebo </w:t>
      </w:r>
      <w:proofErr w:type="spellStart"/>
      <w:r>
        <w:rPr>
          <w:rStyle w:val="Zkladntext"/>
        </w:rPr>
        <w:t>motohodin</w:t>
      </w:r>
      <w:proofErr w:type="spellEnd"/>
      <w:r>
        <w:rPr>
          <w:rStyle w:val="Zkladntext"/>
        </w:rPr>
        <w:t>.</w:t>
      </w:r>
    </w:p>
    <w:p w:rsidR="004F6BA1" w:rsidRDefault="00697038">
      <w:pPr>
        <w:pStyle w:val="Zkladntext1"/>
        <w:numPr>
          <w:ilvl w:val="0"/>
          <w:numId w:val="9"/>
        </w:numPr>
        <w:tabs>
          <w:tab w:val="left" w:pos="400"/>
        </w:tabs>
        <w:spacing w:after="780" w:line="262" w:lineRule="auto"/>
        <w:ind w:left="360" w:hanging="360"/>
        <w:jc w:val="both"/>
      </w:pPr>
      <w:r>
        <w:rPr>
          <w:rStyle w:val="Zkladntext"/>
        </w:rPr>
        <w:t>Záruční doba začíná plynout dnem převzetí zboží (předmětu smlouvy). Není-li den převzetí předmětu smlouvy totožn</w:t>
      </w:r>
      <w:r>
        <w:rPr>
          <w:rStyle w:val="Zkladntext"/>
        </w:rPr>
        <w:t>ý se dnem uvedení předmětu smlouvy do provozu (např.</w:t>
      </w:r>
    </w:p>
    <w:p w:rsidR="004F6BA1" w:rsidRDefault="004F6BA1">
      <w:pPr>
        <w:jc w:val="right"/>
        <w:rPr>
          <w:sz w:val="2"/>
          <w:szCs w:val="2"/>
        </w:rPr>
        <w:sectPr w:rsidR="004F6BA1">
          <w:pgSz w:w="11900" w:h="16840"/>
          <w:pgMar w:top="1485" w:right="1193" w:bottom="182" w:left="1231" w:header="0" w:footer="3" w:gutter="0"/>
          <w:cols w:space="720"/>
          <w:noEndnote/>
          <w:docGrid w:linePitch="360"/>
        </w:sectPr>
      </w:pPr>
    </w:p>
    <w:p w:rsidR="004F6BA1" w:rsidRDefault="00697038">
      <w:pPr>
        <w:pStyle w:val="Zkladntext1"/>
        <w:numPr>
          <w:ilvl w:val="0"/>
          <w:numId w:val="9"/>
        </w:numPr>
        <w:tabs>
          <w:tab w:val="left" w:pos="349"/>
        </w:tabs>
        <w:spacing w:line="262" w:lineRule="auto"/>
        <w:ind w:left="360" w:hanging="360"/>
        <w:jc w:val="both"/>
      </w:pPr>
      <w:r>
        <w:rPr>
          <w:rStyle w:val="Zkladntext"/>
        </w:rPr>
        <w:lastRenderedPageBreak/>
        <w:t>Záruční doba začíná plynout dnem převzetí zboží (předmětu smlouvy). Není-li den převzetí předmětu smlouvy totožný se dnem uvedení předmětu smlouvy do provozu (např. odzkoušením a</w:t>
      </w:r>
      <w:r>
        <w:rPr>
          <w:rStyle w:val="Zkladntext"/>
        </w:rPr>
        <w:t xml:space="preserve"> zaškolením obsluhy), začíná záruční doba plynout od data jeho uvedení do provozu.</w:t>
      </w:r>
    </w:p>
    <w:p w:rsidR="004F6BA1" w:rsidRDefault="00697038">
      <w:pPr>
        <w:pStyle w:val="Zkladntext1"/>
        <w:numPr>
          <w:ilvl w:val="0"/>
          <w:numId w:val="9"/>
        </w:numPr>
        <w:tabs>
          <w:tab w:val="left" w:pos="349"/>
        </w:tabs>
        <w:spacing w:line="262" w:lineRule="auto"/>
        <w:ind w:left="360" w:hanging="360"/>
        <w:jc w:val="both"/>
      </w:pPr>
      <w:r>
        <w:rPr>
          <w:rStyle w:val="Zkladntext"/>
        </w:rPr>
        <w:t>Zárukou není kryto zboží, na kterém byl změněn nebo odstraněn výrobní štítek společnosti KOBIT.</w:t>
      </w:r>
    </w:p>
    <w:p w:rsidR="004F6BA1" w:rsidRDefault="00697038">
      <w:pPr>
        <w:pStyle w:val="Zkladntext1"/>
        <w:numPr>
          <w:ilvl w:val="0"/>
          <w:numId w:val="9"/>
        </w:numPr>
        <w:tabs>
          <w:tab w:val="left" w:pos="349"/>
        </w:tabs>
        <w:spacing w:line="262" w:lineRule="auto"/>
        <w:ind w:left="360" w:hanging="360"/>
        <w:jc w:val="both"/>
      </w:pPr>
      <w:r>
        <w:rPr>
          <w:rStyle w:val="Zkladntext"/>
        </w:rPr>
        <w:t>Jestliže objeví kupující zjevně vážné vady při převzetí zboží, má nárok na je</w:t>
      </w:r>
      <w:r>
        <w:rPr>
          <w:rStyle w:val="Zkladntext"/>
        </w:rPr>
        <w:t>jich neprodlené odstranění. Kupující je povinen si při převzetí zboží od kupujícího zboží řádně prohlédnout a do předávacího protokolu zapsat zjištěné závady nebo připomínky.</w:t>
      </w:r>
    </w:p>
    <w:p w:rsidR="004F6BA1" w:rsidRDefault="00697038">
      <w:pPr>
        <w:pStyle w:val="Zkladntext1"/>
        <w:numPr>
          <w:ilvl w:val="0"/>
          <w:numId w:val="9"/>
        </w:numPr>
        <w:tabs>
          <w:tab w:val="left" w:pos="349"/>
        </w:tabs>
        <w:ind w:left="360" w:hanging="360"/>
        <w:jc w:val="both"/>
      </w:pPr>
      <w:r>
        <w:rPr>
          <w:rStyle w:val="Zkladntext"/>
        </w:rPr>
        <w:t>Záruční opravy se uskutečňují na základě splnění záručních podmínek, které projed</w:t>
      </w:r>
      <w:r>
        <w:rPr>
          <w:rStyle w:val="Zkladntext"/>
        </w:rPr>
        <w:t xml:space="preserve">nává prodávající s kupujícím (ke každému druhu zboží jsou příslušné záruční podmínky). Záruční závady a požadavek na opravu je povinen kupující písemně oznámit prodávajícímu. S požadavkem na opravu bude charakterizována závada, nefunkčnost činností, typ a </w:t>
      </w:r>
      <w:r>
        <w:rPr>
          <w:rStyle w:val="Zkladntext"/>
        </w:rPr>
        <w:t xml:space="preserve">výrobní číslo nebo jiná průkazná identifikace zboží. Prodávající se s kupujícím dohodne o neprodleném termínu opravy a o místě kde bude oprava provedena. Adresa prodávajícího pro oznámení závady: KOBIT, spol. s r.o., </w:t>
      </w:r>
      <w:proofErr w:type="spellStart"/>
      <w:r>
        <w:rPr>
          <w:rStyle w:val="Zkladntext"/>
        </w:rPr>
        <w:t>Konecchlumského</w:t>
      </w:r>
      <w:proofErr w:type="spellEnd"/>
      <w:r>
        <w:rPr>
          <w:rStyle w:val="Zkladntext"/>
        </w:rPr>
        <w:t xml:space="preserve"> 1100, 506 01 Jičín, (e-</w:t>
      </w:r>
      <w:r>
        <w:rPr>
          <w:rStyle w:val="Zkladntext"/>
        </w:rPr>
        <w:t xml:space="preserve">mail: </w:t>
      </w:r>
      <w:hyperlink r:id="rId11" w:history="1">
        <w:r>
          <w:rPr>
            <w:rStyle w:val="Zkladntext"/>
            <w:lang w:val="en-US" w:eastAsia="en-US" w:bidi="en-US"/>
          </w:rPr>
          <w:t>servis@kobit.cz</w:t>
        </w:r>
      </w:hyperlink>
      <w:r>
        <w:rPr>
          <w:rStyle w:val="Zkladntext"/>
          <w:lang w:val="en-US" w:eastAsia="en-US" w:bidi="en-US"/>
        </w:rPr>
        <w:t xml:space="preserve">, </w:t>
      </w:r>
      <w:r>
        <w:rPr>
          <w:rStyle w:val="Zkladntext"/>
        </w:rPr>
        <w:t>tel.: 737 218 034).</w:t>
      </w:r>
    </w:p>
    <w:p w:rsidR="004F6BA1" w:rsidRDefault="00697038">
      <w:pPr>
        <w:pStyle w:val="Zkladntext1"/>
        <w:numPr>
          <w:ilvl w:val="0"/>
          <w:numId w:val="9"/>
        </w:numPr>
        <w:tabs>
          <w:tab w:val="left" w:pos="349"/>
        </w:tabs>
        <w:ind w:left="360" w:hanging="360"/>
        <w:jc w:val="both"/>
      </w:pPr>
      <w:r>
        <w:rPr>
          <w:rStyle w:val="Zkladntext"/>
        </w:rPr>
        <w:t>Jestliže celková dodávka zboží obsahuje samotné funkční celky, jako například podvozek, zajistí prodávající zaškolení určených pracovníků kupujícího od autorizované osoby výrob</w:t>
      </w:r>
      <w:r>
        <w:rPr>
          <w:rStyle w:val="Zkladntext"/>
        </w:rPr>
        <w:t>ce podvozku a dále zajistí adresy servisních míst, kde může kupující uplatnit záruku.</w:t>
      </w:r>
    </w:p>
    <w:p w:rsidR="004F6BA1" w:rsidRDefault="00697038">
      <w:pPr>
        <w:pStyle w:val="Zkladntext1"/>
        <w:numPr>
          <w:ilvl w:val="0"/>
          <w:numId w:val="9"/>
        </w:numPr>
        <w:tabs>
          <w:tab w:val="left" w:pos="349"/>
        </w:tabs>
        <w:spacing w:line="262" w:lineRule="auto"/>
        <w:ind w:left="360" w:hanging="360"/>
        <w:jc w:val="both"/>
      </w:pPr>
      <w:r>
        <w:rPr>
          <w:rStyle w:val="Zkladntext"/>
        </w:rPr>
        <w:t>Prodávající za vady neodpovídá, jestliže byly při předání způsobeny kupujícím nebo vnějšími událostmi, za které prodávající neodpovídá.</w:t>
      </w:r>
    </w:p>
    <w:p w:rsidR="004F6BA1" w:rsidRDefault="00697038">
      <w:pPr>
        <w:pStyle w:val="Zkladntext1"/>
        <w:numPr>
          <w:ilvl w:val="0"/>
          <w:numId w:val="9"/>
        </w:numPr>
        <w:tabs>
          <w:tab w:val="left" w:pos="349"/>
        </w:tabs>
        <w:spacing w:line="262" w:lineRule="auto"/>
        <w:ind w:left="360" w:hanging="360"/>
        <w:jc w:val="both"/>
      </w:pPr>
      <w:r>
        <w:rPr>
          <w:rStyle w:val="Zkladntext"/>
        </w:rPr>
        <w:t>Prodávající se zavazuje zahájit zá</w:t>
      </w:r>
      <w:r>
        <w:rPr>
          <w:rStyle w:val="Zkladntext"/>
        </w:rPr>
        <w:t>ruční opravu do 48 hodin od nahlášení, pokud se smluvní strany nedohodnou jinak.</w:t>
      </w:r>
    </w:p>
    <w:p w:rsidR="004F6BA1" w:rsidRDefault="00697038">
      <w:pPr>
        <w:pStyle w:val="Zkladntext1"/>
        <w:numPr>
          <w:ilvl w:val="0"/>
          <w:numId w:val="9"/>
        </w:numPr>
        <w:tabs>
          <w:tab w:val="left" w:pos="349"/>
        </w:tabs>
        <w:spacing w:after="780" w:line="266" w:lineRule="auto"/>
        <w:ind w:left="360" w:hanging="360"/>
        <w:jc w:val="both"/>
      </w:pPr>
      <w:r>
        <w:rPr>
          <w:rStyle w:val="Zkladntext"/>
        </w:rPr>
        <w:t>Prodávající se zavazuje provádět na dodaném zboží záruční a pozáruční servis za podmínek stanovených v Servisním a záručním sešitu, který je nedílnou součástí dodání zboží.</w:t>
      </w:r>
    </w:p>
    <w:p w:rsidR="004F6BA1" w:rsidRDefault="00697038">
      <w:pPr>
        <w:pStyle w:val="Zkladntext1"/>
        <w:spacing w:after="0" w:line="240" w:lineRule="auto"/>
        <w:jc w:val="center"/>
        <w:rPr>
          <w:sz w:val="22"/>
          <w:szCs w:val="22"/>
        </w:rPr>
      </w:pPr>
      <w:r>
        <w:rPr>
          <w:rStyle w:val="Zkladntext"/>
          <w:b/>
          <w:bCs/>
          <w:i/>
          <w:iCs/>
          <w:sz w:val="22"/>
          <w:szCs w:val="22"/>
          <w:u w:val="single"/>
        </w:rPr>
        <w:t>Článek VIL</w:t>
      </w:r>
    </w:p>
    <w:p w:rsidR="004F6BA1" w:rsidRDefault="00697038">
      <w:pPr>
        <w:pStyle w:val="Nadpis20"/>
        <w:keepNext/>
        <w:keepLines/>
      </w:pPr>
      <w:bookmarkStart w:id="7" w:name="bookmark12"/>
      <w:r>
        <w:rPr>
          <w:rStyle w:val="Nadpis2"/>
          <w:b/>
          <w:bCs/>
        </w:rPr>
        <w:t>Nebezpečí škody na výrobku</w:t>
      </w:r>
      <w:bookmarkEnd w:id="7"/>
    </w:p>
    <w:p w:rsidR="004F6BA1" w:rsidRDefault="00697038">
      <w:pPr>
        <w:pStyle w:val="Zkladntext1"/>
        <w:spacing w:after="780" w:line="262" w:lineRule="auto"/>
        <w:jc w:val="both"/>
      </w:pPr>
      <w:r>
        <w:rPr>
          <w:rStyle w:val="Zkladntext"/>
        </w:rPr>
        <w:t>Na kupujícího přechází veškeré nebezpečí škody okamžikem, kdy zboží převezme od prodávajícího nebo jestliže tak neučinil včas v době, kdy mu prodávající umožní nakládat se zbožím a kupující poruší smlouvu tím, že zboží</w:t>
      </w:r>
      <w:r>
        <w:rPr>
          <w:rStyle w:val="Zkladntext"/>
        </w:rPr>
        <w:t xml:space="preserve"> nepřevezme.</w:t>
      </w:r>
    </w:p>
    <w:p w:rsidR="004F6BA1" w:rsidRDefault="00697038">
      <w:pPr>
        <w:pStyle w:val="Zkladntext1"/>
        <w:spacing w:after="0" w:line="240" w:lineRule="auto"/>
        <w:jc w:val="center"/>
        <w:rPr>
          <w:sz w:val="22"/>
          <w:szCs w:val="22"/>
        </w:rPr>
      </w:pPr>
      <w:r>
        <w:rPr>
          <w:rStyle w:val="Zkladntext"/>
          <w:b/>
          <w:bCs/>
          <w:i/>
          <w:iCs/>
          <w:sz w:val="22"/>
          <w:szCs w:val="22"/>
          <w:u w:val="single"/>
        </w:rPr>
        <w:t>Článek VIII.</w:t>
      </w:r>
    </w:p>
    <w:p w:rsidR="004F6BA1" w:rsidRDefault="00697038">
      <w:pPr>
        <w:pStyle w:val="Nadpis20"/>
        <w:keepNext/>
        <w:keepLines/>
        <w:spacing w:line="233" w:lineRule="auto"/>
      </w:pPr>
      <w:bookmarkStart w:id="8" w:name="bookmark14"/>
      <w:r>
        <w:rPr>
          <w:rStyle w:val="Nadpis2"/>
          <w:b/>
          <w:bCs/>
        </w:rPr>
        <w:t>Smluvní pokuty</w:t>
      </w:r>
      <w:bookmarkEnd w:id="8"/>
    </w:p>
    <w:p w:rsidR="004F6BA1" w:rsidRDefault="00697038">
      <w:pPr>
        <w:pStyle w:val="Zkladntext1"/>
        <w:numPr>
          <w:ilvl w:val="0"/>
          <w:numId w:val="10"/>
        </w:numPr>
        <w:tabs>
          <w:tab w:val="left" w:pos="349"/>
        </w:tabs>
        <w:ind w:left="360" w:hanging="360"/>
        <w:jc w:val="both"/>
      </w:pPr>
      <w:r>
        <w:rPr>
          <w:rStyle w:val="Zkladntext"/>
        </w:rPr>
        <w:t>V případě prodlení s dodáním zboží oproti termínu dohodnutém v této smlouvě vzniká kupujícímu právo na uplatnění smluvní pokuty ve výši 0,02 % za každý započatý den prodlení z ceny zboží, které mělo být kupujícímu d</w:t>
      </w:r>
      <w:r>
        <w:rPr>
          <w:rStyle w:val="Zkladntext"/>
        </w:rPr>
        <w:t>odáno.</w:t>
      </w:r>
    </w:p>
    <w:p w:rsidR="004F6BA1" w:rsidRDefault="00697038">
      <w:pPr>
        <w:pStyle w:val="Zkladntext1"/>
        <w:numPr>
          <w:ilvl w:val="0"/>
          <w:numId w:val="10"/>
        </w:numPr>
        <w:tabs>
          <w:tab w:val="left" w:pos="349"/>
        </w:tabs>
        <w:spacing w:line="266" w:lineRule="auto"/>
        <w:ind w:left="360" w:hanging="360"/>
        <w:jc w:val="both"/>
      </w:pPr>
      <w:r>
        <w:rPr>
          <w:rStyle w:val="Zkladntext"/>
        </w:rPr>
        <w:t>V případě prodlení kupujícího se zaplacením kupní ceny vzniká prodávajícímu právo na uplatnění smluvní pokuty ve výši 0,02 % za každý započatý den prodlení z dlužné částky.</w:t>
      </w:r>
    </w:p>
    <w:p w:rsidR="004F6BA1" w:rsidRDefault="00697038">
      <w:pPr>
        <w:pStyle w:val="Zkladntext1"/>
        <w:numPr>
          <w:ilvl w:val="0"/>
          <w:numId w:val="10"/>
        </w:numPr>
        <w:tabs>
          <w:tab w:val="left" w:pos="349"/>
        </w:tabs>
        <w:spacing w:after="360" w:line="266" w:lineRule="auto"/>
        <w:ind w:left="360" w:hanging="360"/>
        <w:jc w:val="both"/>
      </w:pPr>
      <w:r>
        <w:rPr>
          <w:rStyle w:val="Zkladntext"/>
        </w:rPr>
        <w:t>Smluvní strany ujednaly, že v případě porušení ustanovení článku V., odstavc</w:t>
      </w:r>
      <w:r>
        <w:rPr>
          <w:rStyle w:val="Zkladntext"/>
        </w:rPr>
        <w:t>e 7., je kupující povinen zaplatit prodávajícímu smluvní pokutu ve výši 1 000 000,- Kč.</w:t>
      </w:r>
    </w:p>
    <w:p w:rsidR="004F6BA1" w:rsidRDefault="004F6BA1">
      <w:pPr>
        <w:jc w:val="center"/>
        <w:rPr>
          <w:sz w:val="2"/>
          <w:szCs w:val="2"/>
        </w:rPr>
        <w:sectPr w:rsidR="004F6BA1">
          <w:footerReference w:type="default" r:id="rId12"/>
          <w:pgSz w:w="11900" w:h="16840"/>
          <w:pgMar w:top="1375" w:right="1217" w:bottom="187" w:left="1165" w:header="947" w:footer="3" w:gutter="0"/>
          <w:cols w:space="720"/>
          <w:noEndnote/>
          <w:docGrid w:linePitch="360"/>
        </w:sectPr>
      </w:pPr>
    </w:p>
    <w:p w:rsidR="004F6BA1" w:rsidRDefault="00697038">
      <w:pPr>
        <w:pStyle w:val="Zkladntext1"/>
        <w:numPr>
          <w:ilvl w:val="0"/>
          <w:numId w:val="10"/>
        </w:numPr>
        <w:tabs>
          <w:tab w:val="left" w:pos="358"/>
        </w:tabs>
        <w:spacing w:line="257" w:lineRule="auto"/>
        <w:ind w:left="340" w:hanging="340"/>
        <w:jc w:val="both"/>
      </w:pPr>
      <w:r>
        <w:rPr>
          <w:rStyle w:val="Zkladntext"/>
        </w:rPr>
        <w:lastRenderedPageBreak/>
        <w:t xml:space="preserve">Sjednáním ani zaplacením smluvní pokuty není dotčeno právo na náhradu škody, která vznikla v příčinné souvislosti s </w:t>
      </w:r>
      <w:r>
        <w:rPr>
          <w:rStyle w:val="Zkladntext"/>
        </w:rPr>
        <w:t>důvodem, na jehož základě je smluvní pokuta účtována a vymáhána.</w:t>
      </w:r>
    </w:p>
    <w:p w:rsidR="004F6BA1" w:rsidRDefault="00697038">
      <w:pPr>
        <w:pStyle w:val="Zkladntext1"/>
        <w:numPr>
          <w:ilvl w:val="0"/>
          <w:numId w:val="10"/>
        </w:numPr>
        <w:tabs>
          <w:tab w:val="left" w:pos="348"/>
        </w:tabs>
        <w:spacing w:after="780" w:line="259" w:lineRule="auto"/>
        <w:ind w:left="340" w:hanging="340"/>
        <w:jc w:val="both"/>
      </w:pPr>
      <w:r>
        <w:rPr>
          <w:rStyle w:val="Zkladntext"/>
        </w:rPr>
        <w:t>Smluvní pokuta musí být druhé smluvní straně písemně vyúčtována a vyúčtování jí musí být doručeno. Na vyúčtování musí být uvedena výše smluvní pokuty a její důvod. Smluvní pokuta může být upl</w:t>
      </w:r>
      <w:r>
        <w:rPr>
          <w:rStyle w:val="Zkladntext"/>
        </w:rPr>
        <w:t>atněna formou slevy z ceny zboží.</w:t>
      </w:r>
    </w:p>
    <w:p w:rsidR="004F6BA1" w:rsidRDefault="00697038">
      <w:pPr>
        <w:pStyle w:val="Zkladntext1"/>
        <w:spacing w:after="0" w:line="240" w:lineRule="auto"/>
        <w:jc w:val="center"/>
        <w:rPr>
          <w:sz w:val="22"/>
          <w:szCs w:val="22"/>
        </w:rPr>
      </w:pPr>
      <w:r>
        <w:rPr>
          <w:rStyle w:val="Zkladntext"/>
          <w:b/>
          <w:bCs/>
          <w:i/>
          <w:iCs/>
          <w:sz w:val="22"/>
          <w:szCs w:val="22"/>
          <w:u w:val="single"/>
        </w:rPr>
        <w:t>Článek IX.</w:t>
      </w:r>
    </w:p>
    <w:p w:rsidR="004F6BA1" w:rsidRDefault="00697038">
      <w:pPr>
        <w:pStyle w:val="Nadpis20"/>
        <w:keepNext/>
        <w:keepLines/>
      </w:pPr>
      <w:bookmarkStart w:id="9" w:name="bookmark16"/>
      <w:r>
        <w:rPr>
          <w:rStyle w:val="Nadpis2"/>
          <w:b/>
          <w:bCs/>
        </w:rPr>
        <w:t>Rozhodné právo</w:t>
      </w:r>
      <w:bookmarkEnd w:id="9"/>
    </w:p>
    <w:p w:rsidR="004F6BA1" w:rsidRDefault="00697038">
      <w:pPr>
        <w:pStyle w:val="Zkladntext1"/>
        <w:spacing w:after="780" w:line="240" w:lineRule="auto"/>
      </w:pPr>
      <w:r>
        <w:rPr>
          <w:rStyle w:val="Zkladntext"/>
        </w:rPr>
        <w:t>Rozhodným právem, kterým se tato smlouva řídí, jsou zákony České republiky.</w:t>
      </w:r>
    </w:p>
    <w:p w:rsidR="004F6BA1" w:rsidRDefault="00697038">
      <w:pPr>
        <w:pStyle w:val="Zkladntext1"/>
        <w:spacing w:after="0" w:line="240" w:lineRule="auto"/>
        <w:jc w:val="center"/>
        <w:rPr>
          <w:sz w:val="22"/>
          <w:szCs w:val="22"/>
        </w:rPr>
      </w:pPr>
      <w:r>
        <w:rPr>
          <w:rStyle w:val="Zkladntext"/>
          <w:b/>
          <w:bCs/>
          <w:i/>
          <w:iCs/>
          <w:sz w:val="22"/>
          <w:szCs w:val="22"/>
          <w:u w:val="single"/>
        </w:rPr>
        <w:t>Článek X.</w:t>
      </w:r>
    </w:p>
    <w:p w:rsidR="004F6BA1" w:rsidRDefault="00697038">
      <w:pPr>
        <w:pStyle w:val="Nadpis20"/>
        <w:keepNext/>
        <w:keepLines/>
      </w:pPr>
      <w:bookmarkStart w:id="10" w:name="bookmark18"/>
      <w:r>
        <w:rPr>
          <w:rStyle w:val="Nadpis2"/>
          <w:b/>
          <w:bCs/>
        </w:rPr>
        <w:t>Vyšší moc</w:t>
      </w:r>
      <w:bookmarkEnd w:id="10"/>
    </w:p>
    <w:p w:rsidR="004F6BA1" w:rsidRDefault="00697038">
      <w:pPr>
        <w:pStyle w:val="Zkladntext1"/>
        <w:numPr>
          <w:ilvl w:val="0"/>
          <w:numId w:val="11"/>
        </w:numPr>
        <w:tabs>
          <w:tab w:val="left" w:pos="342"/>
        </w:tabs>
        <w:ind w:left="340" w:hanging="340"/>
        <w:jc w:val="both"/>
      </w:pPr>
      <w:r>
        <w:rPr>
          <w:rStyle w:val="Zkladntext"/>
        </w:rPr>
        <w:t>Smluvní strany se zprošťují veškeré odpovědnosti za nesplnění svých smluvních povinností z této smlo</w:t>
      </w:r>
      <w:r>
        <w:rPr>
          <w:rStyle w:val="Zkladntext"/>
        </w:rPr>
        <w:t>uvy po dobu trvání vyšší moci do té míry, pokud po nich nebylo možno požadovat, aby neplnění svých povinností z této smlouvy v důsledku vyšší moci předešly.</w:t>
      </w:r>
    </w:p>
    <w:p w:rsidR="004F6BA1" w:rsidRDefault="00697038">
      <w:pPr>
        <w:pStyle w:val="Zkladntext1"/>
        <w:numPr>
          <w:ilvl w:val="0"/>
          <w:numId w:val="11"/>
        </w:numPr>
        <w:tabs>
          <w:tab w:val="left" w:pos="353"/>
        </w:tabs>
        <w:ind w:left="340" w:hanging="340"/>
        <w:jc w:val="both"/>
      </w:pPr>
      <w:r>
        <w:rPr>
          <w:rStyle w:val="Zkladntext"/>
        </w:rPr>
        <w:t xml:space="preserve">Za vyšší moc je pro účely této smlouvy považována každá událost, která znemožňuje plnění smluvních </w:t>
      </w:r>
      <w:r>
        <w:rPr>
          <w:rStyle w:val="Zkladntext"/>
        </w:rPr>
        <w:t>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</w:t>
      </w:r>
      <w:r>
        <w:rPr>
          <w:rStyle w:val="Zkladntext"/>
        </w:rPr>
        <w:t>liv kontrolu smluvních stran.</w:t>
      </w:r>
    </w:p>
    <w:p w:rsidR="004F6BA1" w:rsidRDefault="00697038">
      <w:pPr>
        <w:pStyle w:val="Zkladntext1"/>
        <w:numPr>
          <w:ilvl w:val="0"/>
          <w:numId w:val="11"/>
        </w:numPr>
        <w:tabs>
          <w:tab w:val="left" w:pos="353"/>
        </w:tabs>
        <w:spacing w:after="780" w:line="262" w:lineRule="auto"/>
        <w:ind w:left="340" w:hanging="340"/>
        <w:jc w:val="both"/>
      </w:pPr>
      <w:r>
        <w:rPr>
          <w:rStyle w:val="Zkladntext"/>
        </w:rPr>
        <w:t>Po dobu trvání vyšší moci se plnění závazků podle této smlouvy pozastavuje do doby odstranění následků vyšší moci.</w:t>
      </w:r>
    </w:p>
    <w:p w:rsidR="004F6BA1" w:rsidRDefault="00697038">
      <w:pPr>
        <w:pStyle w:val="Zkladntext1"/>
        <w:spacing w:after="0" w:line="240" w:lineRule="auto"/>
        <w:jc w:val="center"/>
        <w:rPr>
          <w:sz w:val="22"/>
          <w:szCs w:val="22"/>
        </w:rPr>
      </w:pPr>
      <w:r>
        <w:rPr>
          <w:rStyle w:val="Zkladntext"/>
          <w:b/>
          <w:bCs/>
          <w:i/>
          <w:iCs/>
          <w:sz w:val="22"/>
          <w:szCs w:val="22"/>
          <w:u w:val="single"/>
        </w:rPr>
        <w:t>Článek XI.</w:t>
      </w:r>
    </w:p>
    <w:p w:rsidR="004F6BA1" w:rsidRDefault="00697038">
      <w:pPr>
        <w:pStyle w:val="Nadpis20"/>
        <w:keepNext/>
        <w:keepLines/>
      </w:pPr>
      <w:bookmarkStart w:id="11" w:name="bookmark20"/>
      <w:r>
        <w:rPr>
          <w:rStyle w:val="Nadpis2"/>
          <w:b/>
          <w:bCs/>
        </w:rPr>
        <w:t>Zvláštní ujednání</w:t>
      </w:r>
      <w:bookmarkEnd w:id="11"/>
    </w:p>
    <w:p w:rsidR="004F6BA1" w:rsidRDefault="00697038">
      <w:pPr>
        <w:pStyle w:val="Zkladntext1"/>
        <w:spacing w:after="780"/>
        <w:jc w:val="both"/>
      </w:pPr>
      <w:r>
        <w:rPr>
          <w:rStyle w:val="Zkladntext"/>
        </w:rPr>
        <w:t xml:space="preserve">Odpovědnost prodávajícího za prodlení při plnění závazků dle této smlouvy je </w:t>
      </w:r>
      <w:r>
        <w:rPr>
          <w:rStyle w:val="Zkladntext"/>
        </w:rPr>
        <w:t>vyloučena v případech, kdy je prodlení způsobeno karanténními nebo jinými opatřeními veřejné moci kvůli virové epidemii či pandemii nebo podobné výjimečné události ohrožující veřejné zdraví. Prodlení prodávajícího v takovém případě nepředstavuje porušení s</w:t>
      </w:r>
      <w:r>
        <w:rPr>
          <w:rStyle w:val="Zkladntext"/>
        </w:rPr>
        <w:t>mlouvy a kupujícímu nevzniká jakýkoliv nárok na náhradu újmy nebo jakoukoliv smluvní pokutu v důsledku tohoto prodlení.</w:t>
      </w:r>
    </w:p>
    <w:p w:rsidR="004F6BA1" w:rsidRDefault="00697038">
      <w:pPr>
        <w:pStyle w:val="Zkladntext1"/>
        <w:spacing w:after="0" w:line="240" w:lineRule="auto"/>
        <w:jc w:val="center"/>
        <w:rPr>
          <w:sz w:val="22"/>
          <w:szCs w:val="22"/>
        </w:rPr>
      </w:pPr>
      <w:r>
        <w:rPr>
          <w:rStyle w:val="Zkladntext"/>
          <w:b/>
          <w:bCs/>
          <w:i/>
          <w:iCs/>
          <w:sz w:val="22"/>
          <w:szCs w:val="22"/>
          <w:u w:val="single"/>
        </w:rPr>
        <w:t>Článek XII.</w:t>
      </w:r>
    </w:p>
    <w:p w:rsidR="004F6BA1" w:rsidRDefault="00697038">
      <w:pPr>
        <w:pStyle w:val="Nadpis20"/>
        <w:keepNext/>
        <w:keepLines/>
      </w:pPr>
      <w:bookmarkStart w:id="12" w:name="bookmark22"/>
      <w:r>
        <w:rPr>
          <w:rStyle w:val="Nadpis2"/>
          <w:b/>
          <w:bCs/>
        </w:rPr>
        <w:t>Závěrečná ustanovení</w:t>
      </w:r>
      <w:bookmarkEnd w:id="12"/>
    </w:p>
    <w:p w:rsidR="004F6BA1" w:rsidRDefault="00697038">
      <w:pPr>
        <w:pStyle w:val="Zkladntext1"/>
        <w:numPr>
          <w:ilvl w:val="0"/>
          <w:numId w:val="12"/>
        </w:numPr>
        <w:tabs>
          <w:tab w:val="left" w:pos="342"/>
        </w:tabs>
        <w:ind w:left="340" w:hanging="340"/>
      </w:pPr>
      <w:r>
        <w:rPr>
          <w:rStyle w:val="Zkladntext"/>
        </w:rPr>
        <w:t xml:space="preserve">Smluvní strany prohlašují, že tato kupní smlouva zahrnuje úplnou dohodu mezi smluvními stranami. Žádná </w:t>
      </w:r>
      <w:r>
        <w:rPr>
          <w:rStyle w:val="Zkladntext"/>
        </w:rPr>
        <w:t>jiná ujednání slovní či písemná, která by se týkala této smlouvy, mezi smluvními stranami neexistují.</w:t>
      </w:r>
    </w:p>
    <w:p w:rsidR="004F6BA1" w:rsidRDefault="00697038">
      <w:pPr>
        <w:pStyle w:val="Zkladntext1"/>
        <w:numPr>
          <w:ilvl w:val="0"/>
          <w:numId w:val="12"/>
        </w:numPr>
        <w:tabs>
          <w:tab w:val="left" w:pos="348"/>
        </w:tabs>
        <w:spacing w:after="840"/>
        <w:ind w:left="340" w:hanging="340"/>
      </w:pPr>
      <w:r>
        <w:rPr>
          <w:rStyle w:val="Zkladntext"/>
        </w:rPr>
        <w:t>Smluvní strany se výslovně dohodly, že forma smlouvy bude písemná. V této formě budou učiněny i veškeré její případné změny a dodatky, které se dnem podpi</w:t>
      </w:r>
      <w:r>
        <w:rPr>
          <w:rStyle w:val="Zkladntext"/>
        </w:rPr>
        <w:t>su oběma smluvními stranami stanou nedílnou součástí této smlouvy.</w:t>
      </w:r>
    </w:p>
    <w:p w:rsidR="004F6BA1" w:rsidRDefault="004F6BA1">
      <w:pPr>
        <w:jc w:val="center"/>
        <w:rPr>
          <w:sz w:val="2"/>
          <w:szCs w:val="2"/>
        </w:rPr>
        <w:sectPr w:rsidR="004F6BA1">
          <w:pgSz w:w="11900" w:h="16840"/>
          <w:pgMar w:top="786" w:right="1199" w:bottom="547" w:left="1183" w:header="358" w:footer="3" w:gutter="0"/>
          <w:cols w:space="720"/>
          <w:noEndnote/>
          <w:docGrid w:linePitch="360"/>
        </w:sectPr>
      </w:pPr>
    </w:p>
    <w:p w:rsidR="004F6BA1" w:rsidRDefault="00697038">
      <w:pPr>
        <w:pStyle w:val="Zkladntext1"/>
        <w:numPr>
          <w:ilvl w:val="0"/>
          <w:numId w:val="12"/>
        </w:numPr>
        <w:tabs>
          <w:tab w:val="left" w:pos="341"/>
        </w:tabs>
        <w:spacing w:after="100" w:line="257" w:lineRule="auto"/>
        <w:ind w:left="400" w:hanging="400"/>
        <w:jc w:val="both"/>
      </w:pPr>
      <w:r>
        <w:rPr>
          <w:rStyle w:val="Zkladntext"/>
        </w:rPr>
        <w:lastRenderedPageBreak/>
        <w:t>Tato smlouva je vyhotovena ve dvou stejnopisech, z nichž každý má platnost originálu a každá smluvní strana obdrží po jednom vyhotovení.</w:t>
      </w:r>
    </w:p>
    <w:p w:rsidR="004F6BA1" w:rsidRDefault="00697038">
      <w:pPr>
        <w:pStyle w:val="Zkladntext1"/>
        <w:numPr>
          <w:ilvl w:val="0"/>
          <w:numId w:val="12"/>
        </w:numPr>
        <w:tabs>
          <w:tab w:val="left" w:pos="342"/>
        </w:tabs>
        <w:spacing w:after="100" w:line="266" w:lineRule="auto"/>
        <w:jc w:val="both"/>
      </w:pPr>
      <w:r>
        <w:rPr>
          <w:rStyle w:val="Zkladntext"/>
        </w:rPr>
        <w:t>Tato smlouva nabývá platnos</w:t>
      </w:r>
      <w:r>
        <w:rPr>
          <w:rStyle w:val="Zkladntext"/>
        </w:rPr>
        <w:t>t a účinnost dnem podpisu obou smluvních stran.</w:t>
      </w:r>
    </w:p>
    <w:p w:rsidR="004F6BA1" w:rsidRDefault="00697038">
      <w:pPr>
        <w:pStyle w:val="Zkladntext1"/>
        <w:numPr>
          <w:ilvl w:val="0"/>
          <w:numId w:val="12"/>
        </w:numPr>
        <w:tabs>
          <w:tab w:val="left" w:pos="341"/>
        </w:tabs>
        <w:spacing w:after="100" w:line="266" w:lineRule="auto"/>
        <w:jc w:val="both"/>
      </w:pPr>
      <w:r>
        <w:rPr>
          <w:rStyle w:val="Zkladntext"/>
        </w:rPr>
        <w:t>Smluvní strany ujednaly, že od smlouvy nelze jednostranně odstoupit.</w:t>
      </w:r>
    </w:p>
    <w:p w:rsidR="004F6BA1" w:rsidRDefault="00697038">
      <w:pPr>
        <w:pStyle w:val="Zkladntext1"/>
        <w:numPr>
          <w:ilvl w:val="0"/>
          <w:numId w:val="12"/>
        </w:numPr>
        <w:tabs>
          <w:tab w:val="left" w:pos="341"/>
        </w:tabs>
        <w:spacing w:after="100" w:line="266" w:lineRule="auto"/>
        <w:ind w:left="400" w:hanging="400"/>
        <w:jc w:val="both"/>
      </w:pPr>
      <w:r>
        <w:rPr>
          <w:rStyle w:val="Zkladntext"/>
        </w:rPr>
        <w:t>Smluvní strany výslovně prohlašují, že si tuto kupní smlouvu pozorně přečetly a jejímu obsahu porozuměly. Současně prohlašují, že tato smlo</w:t>
      </w:r>
      <w:r>
        <w:rPr>
          <w:rStyle w:val="Zkladntext"/>
        </w:rPr>
        <w:t xml:space="preserve">uva byla sepsána dle jejich pravé vážné a svobodné vůle s tím, že ji neuzavírají v tísni ani za nápadně nevýhodných podmínek a že s obsahem smlouvy po vzájemné dohodě souhlasí tak, aby mezi nimi nedošlo k rozporům, a oběma stranám jsou zřejmá jejich práva </w:t>
      </w:r>
      <w:r>
        <w:rPr>
          <w:rStyle w:val="Zkladntext"/>
        </w:rPr>
        <w:t>a povinnosti z této smlouvy pro ně vyplývající. Na důkaz toho připojují vlastnoruční podpisy svých statutárních zástupců.</w:t>
      </w:r>
    </w:p>
    <w:p w:rsidR="004F6BA1" w:rsidRDefault="00697038">
      <w:pPr>
        <w:pStyle w:val="Zkladntext1"/>
        <w:numPr>
          <w:ilvl w:val="0"/>
          <w:numId w:val="12"/>
        </w:numPr>
        <w:tabs>
          <w:tab w:val="left" w:pos="342"/>
        </w:tabs>
        <w:spacing w:after="540" w:line="262" w:lineRule="auto"/>
        <w:ind w:left="400" w:hanging="400"/>
        <w:jc w:val="both"/>
      </w:pPr>
      <w:r>
        <w:rPr>
          <w:rStyle w:val="Zkladntext"/>
        </w:rPr>
        <w:t>Níže uvedení zástupci obou smluvních stran podpisující tuto smlouvu prohlašují, že podle stanov, společenské smlouvy nebo jiného obdob</w:t>
      </w:r>
      <w:r>
        <w:rPr>
          <w:rStyle w:val="Zkladntext"/>
        </w:rPr>
        <w:t>ného předpisu jsou oprávněni tuto smlouvu podepsat a k platnosti smlouvy není třeba podpisu jiné osoby.</w:t>
      </w:r>
    </w:p>
    <w:p w:rsidR="004F6BA1" w:rsidRDefault="001F7521">
      <w:pPr>
        <w:pStyle w:val="Zkladntext1"/>
        <w:tabs>
          <w:tab w:val="left" w:pos="4634"/>
        </w:tabs>
        <w:spacing w:after="240" w:line="266" w:lineRule="auto"/>
        <w:jc w:val="both"/>
      </w:pPr>
      <w:r>
        <w:rPr>
          <w:rStyle w:val="Zkladntext"/>
        </w:rPr>
        <w:t>V Jičíně dne</w:t>
      </w:r>
      <w:r w:rsidR="00697038">
        <w:rPr>
          <w:rStyle w:val="Zkladntext"/>
        </w:rPr>
        <w:tab/>
        <w:t>V Kroměříži dne</w:t>
      </w:r>
    </w:p>
    <w:p w:rsidR="004F6BA1" w:rsidRDefault="00697038">
      <w:pPr>
        <w:pStyle w:val="Nadpis20"/>
        <w:keepNext/>
        <w:keepLines/>
        <w:tabs>
          <w:tab w:val="left" w:pos="4634"/>
        </w:tabs>
        <w:spacing w:after="0"/>
        <w:jc w:val="both"/>
      </w:pPr>
      <w:bookmarkStart w:id="13" w:name="bookmark24"/>
      <w:r>
        <w:rPr>
          <w:rStyle w:val="Nadpis2"/>
          <w:b/>
          <w:bCs/>
        </w:rPr>
        <w:t>Za firmu KOBIT, spol. s r.o.</w:t>
      </w:r>
      <w:r>
        <w:rPr>
          <w:rStyle w:val="Nadpis2"/>
          <w:b/>
          <w:bCs/>
        </w:rPr>
        <w:tab/>
        <w:t>Za firmu Kroměřížské technické služby,</w:t>
      </w:r>
      <w:bookmarkEnd w:id="13"/>
    </w:p>
    <w:p w:rsidR="004F6BA1" w:rsidRDefault="00697038">
      <w:pPr>
        <w:pStyle w:val="Nadpis20"/>
        <w:keepNext/>
        <w:keepLines/>
        <w:spacing w:after="0"/>
        <w:sectPr w:rsidR="004F6BA1">
          <w:footerReference w:type="default" r:id="rId13"/>
          <w:pgSz w:w="11900" w:h="16840"/>
          <w:pgMar w:top="786" w:right="1199" w:bottom="547" w:left="1183" w:header="358" w:footer="3" w:gutter="0"/>
          <w:cols w:space="720"/>
          <w:noEndnote/>
          <w:docGrid w:linePitch="360"/>
        </w:sectPr>
      </w:pPr>
      <w:r>
        <w:rPr>
          <w:rStyle w:val="Nadpis2"/>
          <w:b/>
          <w:bCs/>
        </w:rPr>
        <w:t>s.r.o.</w:t>
      </w:r>
    </w:p>
    <w:p w:rsidR="004F6BA1" w:rsidRDefault="004F6BA1">
      <w:pPr>
        <w:spacing w:line="110" w:lineRule="exact"/>
        <w:rPr>
          <w:sz w:val="9"/>
          <w:szCs w:val="9"/>
        </w:rPr>
      </w:pPr>
    </w:p>
    <w:p w:rsidR="004F6BA1" w:rsidRDefault="004F6BA1">
      <w:pPr>
        <w:spacing w:line="1" w:lineRule="exact"/>
        <w:sectPr w:rsidR="004F6BA1">
          <w:type w:val="continuous"/>
          <w:pgSz w:w="11900" w:h="16840"/>
          <w:pgMar w:top="1368" w:right="0" w:bottom="1368" w:left="0" w:header="0" w:footer="3" w:gutter="0"/>
          <w:cols w:space="720"/>
          <w:noEndnote/>
          <w:docGrid w:linePitch="360"/>
        </w:sectPr>
      </w:pPr>
    </w:p>
    <w:p w:rsidR="004F6BA1" w:rsidRDefault="004F6BA1">
      <w:pPr>
        <w:spacing w:line="1" w:lineRule="exact"/>
      </w:pPr>
    </w:p>
    <w:p w:rsidR="004F6BA1" w:rsidRDefault="004F6BA1">
      <w:pPr>
        <w:spacing w:line="1" w:lineRule="exact"/>
      </w:pPr>
    </w:p>
    <w:sectPr w:rsidR="004F6BA1" w:rsidSect="001F7521">
      <w:pgSz w:w="11900" w:h="16840"/>
      <w:pgMar w:top="405" w:right="1393" w:bottom="4657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38" w:rsidRDefault="00697038">
      <w:r>
        <w:separator/>
      </w:r>
    </w:p>
  </w:endnote>
  <w:endnote w:type="continuationSeparator" w:id="0">
    <w:p w:rsidR="00697038" w:rsidRDefault="0069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A1" w:rsidRDefault="006970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807720</wp:posOffset>
              </wp:positionH>
              <wp:positionV relativeFrom="page">
                <wp:posOffset>10412730</wp:posOffset>
              </wp:positionV>
              <wp:extent cx="116713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1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6BA1" w:rsidRDefault="00697038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KUPNÍ SMLOUVA Č. _J24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63.6pt;margin-top:819.9pt;width:91.9pt;height:9.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" filled="f" stroked="f">
              <v:textbox style="mso-fit-shape-to-text:t" inset="0,0,0,0">
                <w:txbxContent>
                  <w:p w:rsidR="004F6BA1" w:rsidRDefault="00697038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>KUPNÍ SMLOUVA Č. _J24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A1" w:rsidRDefault="004F6BA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A1" w:rsidRDefault="006970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755015</wp:posOffset>
              </wp:positionH>
              <wp:positionV relativeFrom="page">
                <wp:posOffset>10245725</wp:posOffset>
              </wp:positionV>
              <wp:extent cx="1167130" cy="11874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1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6BA1" w:rsidRDefault="00697038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KUPNÍ SMLOUVA č. _J24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8" type="#_x0000_t202" style="position:absolute;margin-left:59.45pt;margin-top:806.75pt;width:91.9pt;height:9.3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" filled="f" stroked="f">
              <v:textbox style="mso-fit-shape-to-text:t" inset="0,0,0,0">
                <w:txbxContent>
                  <w:p w:rsidR="004F6BA1" w:rsidRDefault="00697038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>KUPNÍ SMLOUVA č. _J24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A1" w:rsidRDefault="006970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807720</wp:posOffset>
              </wp:positionH>
              <wp:positionV relativeFrom="page">
                <wp:posOffset>10412730</wp:posOffset>
              </wp:positionV>
              <wp:extent cx="1167130" cy="11557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1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6BA1" w:rsidRDefault="00697038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KUPNÍ SMLOUVA Č. _J24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9" type="#_x0000_t202" style="position:absolute;margin-left:63.6pt;margin-top:819.9pt;width:91.9pt;height:9.1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" filled="f" stroked="f">
              <v:textbox style="mso-fit-shape-to-text:t" inset="0,0,0,0">
                <w:txbxContent>
                  <w:p w:rsidR="004F6BA1" w:rsidRDefault="00697038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>KUPNÍ SMLOUVA Č. _J24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38" w:rsidRDefault="00697038"/>
  </w:footnote>
  <w:footnote w:type="continuationSeparator" w:id="0">
    <w:p w:rsidR="00697038" w:rsidRDefault="006970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2B98"/>
    <w:multiLevelType w:val="multilevel"/>
    <w:tmpl w:val="544EBA24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E75B5"/>
    <w:multiLevelType w:val="multilevel"/>
    <w:tmpl w:val="F2B24A8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9410B"/>
    <w:multiLevelType w:val="multilevel"/>
    <w:tmpl w:val="0FD271D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5055AF"/>
    <w:multiLevelType w:val="multilevel"/>
    <w:tmpl w:val="D0562DD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63451E"/>
    <w:multiLevelType w:val="multilevel"/>
    <w:tmpl w:val="A3187000"/>
    <w:lvl w:ilvl="0">
      <w:start w:val="110"/>
      <w:numFmt w:val="decimal"/>
      <w:lvlText w:val="%1,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1813E2"/>
    <w:multiLevelType w:val="multilevel"/>
    <w:tmpl w:val="DF30C91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2919F1"/>
    <w:multiLevelType w:val="multilevel"/>
    <w:tmpl w:val="CEEE108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2F7EA1"/>
    <w:multiLevelType w:val="multilevel"/>
    <w:tmpl w:val="71E4A3BC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A5319C"/>
    <w:multiLevelType w:val="multilevel"/>
    <w:tmpl w:val="CE2E61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D410F6"/>
    <w:multiLevelType w:val="multilevel"/>
    <w:tmpl w:val="A760AD6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3C2FA5"/>
    <w:multiLevelType w:val="multilevel"/>
    <w:tmpl w:val="1836482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F2E88"/>
    <w:multiLevelType w:val="multilevel"/>
    <w:tmpl w:val="C6A2DF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AB614E"/>
    <w:multiLevelType w:val="multilevel"/>
    <w:tmpl w:val="93B04F3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4311D1"/>
    <w:multiLevelType w:val="multilevel"/>
    <w:tmpl w:val="59EAE8A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232E16"/>
    <w:multiLevelType w:val="multilevel"/>
    <w:tmpl w:val="878EC8DA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0610EE"/>
    <w:multiLevelType w:val="multilevel"/>
    <w:tmpl w:val="61627F1E"/>
    <w:lvl w:ilvl="0">
      <w:start w:val="4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11"/>
  </w:num>
  <w:num w:numId="12">
    <w:abstractNumId w:val="13"/>
  </w:num>
  <w:num w:numId="13">
    <w:abstractNumId w:val="7"/>
  </w:num>
  <w:num w:numId="14">
    <w:abstractNumId w:val="15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A1"/>
    <w:rsid w:val="001F7521"/>
    <w:rsid w:val="004F6BA1"/>
    <w:rsid w:val="00697038"/>
    <w:rsid w:val="00C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B88719-B6E5-49E8-A928-7307EF87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after="120" w:line="264" w:lineRule="auto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20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pacing w:line="252" w:lineRule="auto"/>
    </w:pPr>
    <w:rPr>
      <w:rFonts w:ascii="Tahoma" w:eastAsia="Tahoma" w:hAnsi="Tahoma" w:cs="Tahoma"/>
      <w:sz w:val="20"/>
      <w:szCs w:val="20"/>
    </w:rPr>
  </w:style>
  <w:style w:type="paragraph" w:customStyle="1" w:styleId="Jin0">
    <w:name w:val="Jiné"/>
    <w:basedOn w:val="Normln"/>
    <w:link w:val="Jin"/>
    <w:pPr>
      <w:spacing w:after="120" w:line="264" w:lineRule="auto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Tahoma" w:eastAsia="Tahoma" w:hAnsi="Tahoma" w:cs="Tahoma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Arial" w:eastAsia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1F75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52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F75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52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s@kobi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mts@kmt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bit@kobi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2241</Words>
  <Characters>13225</Characters>
  <Application>Microsoft Office Word</Application>
  <DocSecurity>0</DocSecurity>
  <Lines>110</Lines>
  <Paragraphs>30</Paragraphs>
  <ScaleCrop>false</ScaleCrop>
  <Company/>
  <LinksUpToDate>false</LinksUpToDate>
  <CharactersWithSpaces>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4</cp:revision>
  <dcterms:created xsi:type="dcterms:W3CDTF">2024-05-03T09:50:00Z</dcterms:created>
  <dcterms:modified xsi:type="dcterms:W3CDTF">2024-05-03T09:56:00Z</dcterms:modified>
</cp:coreProperties>
</file>