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F3" w:rsidRDefault="004A2DE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NÁJEMNÍ SMLOUVA</w:t>
      </w:r>
      <w:bookmarkEnd w:id="0"/>
    </w:p>
    <w:p w:rsidR="00006BF3" w:rsidRDefault="004A2DE2">
      <w:pPr>
        <w:pStyle w:val="Zkladntext1"/>
        <w:spacing w:after="560"/>
        <w:jc w:val="center"/>
      </w:pPr>
      <w:r>
        <w:rPr>
          <w:rStyle w:val="Zkladntext"/>
        </w:rPr>
        <w:t>uzavřená ve smyslu § 2302 a násl. zákona č. 89/2012 Sb., občanský zákoník, ve znění</w:t>
      </w:r>
      <w:r>
        <w:rPr>
          <w:rStyle w:val="Zkladntext"/>
        </w:rPr>
        <w:br/>
        <w:t>pozdějších předpisů (dále jen „OZ“) mezi</w:t>
      </w:r>
    </w:p>
    <w:p w:rsidR="00006BF3" w:rsidRDefault="004A2DE2">
      <w:pPr>
        <w:pStyle w:val="Nadpis20"/>
        <w:keepNext/>
        <w:keepLines/>
        <w:jc w:val="left"/>
      </w:pPr>
      <w:bookmarkStart w:id="1" w:name="bookmark2"/>
      <w:r>
        <w:rPr>
          <w:rStyle w:val="Nadpis2"/>
          <w:b/>
          <w:bCs/>
        </w:rPr>
        <w:t>Město Kroměříž</w:t>
      </w:r>
      <w:bookmarkEnd w:id="1"/>
    </w:p>
    <w:p w:rsidR="00006BF3" w:rsidRDefault="004A2DE2">
      <w:pPr>
        <w:pStyle w:val="Zkladntext1"/>
        <w:spacing w:after="260"/>
      </w:pPr>
      <w:r>
        <w:rPr>
          <w:rStyle w:val="Zkladntext"/>
        </w:rPr>
        <w:t>se sídlem: Velké nám. 115, 767 01 Kroměříž</w:t>
      </w:r>
    </w:p>
    <w:p w:rsidR="00006BF3" w:rsidRDefault="004A2DE2">
      <w:pPr>
        <w:pStyle w:val="Zkladntext1"/>
        <w:spacing w:after="560"/>
      </w:pPr>
      <w:r>
        <w:rPr>
          <w:rStyle w:val="Zkladntext"/>
        </w:rPr>
        <w:t>jako vlastník nemovitosti zastoupen:</w:t>
      </w:r>
    </w:p>
    <w:p w:rsidR="00006BF3" w:rsidRDefault="004A2DE2">
      <w:pPr>
        <w:pStyle w:val="Nadpis20"/>
        <w:keepNext/>
        <w:keepLines/>
        <w:jc w:val="left"/>
      </w:pPr>
      <w:bookmarkStart w:id="2" w:name="bookmark4"/>
      <w:r>
        <w:rPr>
          <w:rStyle w:val="Nadpis2"/>
          <w:b/>
          <w:bCs/>
        </w:rPr>
        <w:t xml:space="preserve">Kroměřížské </w:t>
      </w:r>
      <w:r>
        <w:rPr>
          <w:rStyle w:val="Nadpis2"/>
          <w:b/>
          <w:bCs/>
        </w:rPr>
        <w:t>technické služby, s. r. o.</w:t>
      </w:r>
      <w:bookmarkEnd w:id="2"/>
    </w:p>
    <w:p w:rsidR="00006BF3" w:rsidRDefault="004A2DE2">
      <w:pPr>
        <w:pStyle w:val="Zkladntext1"/>
      </w:pPr>
      <w:r>
        <w:rPr>
          <w:rStyle w:val="Zkladntext"/>
        </w:rPr>
        <w:t>se sídlem Kaplanova 2959, PSČ 767 01 Kroměříž zastoupená panem Ing. Mariánem Vítkem, BA, ředitelem</w:t>
      </w:r>
    </w:p>
    <w:p w:rsidR="00006BF3" w:rsidRDefault="004A2DE2">
      <w:pPr>
        <w:pStyle w:val="Zkladntext1"/>
      </w:pPr>
      <w:r>
        <w:rPr>
          <w:rStyle w:val="Zkladntext"/>
        </w:rPr>
        <w:t xml:space="preserve">v pověření </w:t>
      </w:r>
    </w:p>
    <w:p w:rsidR="00006BF3" w:rsidRDefault="004A2DE2">
      <w:pPr>
        <w:pStyle w:val="Zkladntext1"/>
      </w:pPr>
      <w:r>
        <w:rPr>
          <w:rStyle w:val="Zkladntext"/>
        </w:rPr>
        <w:t>IČO: 26276437</w:t>
      </w:r>
    </w:p>
    <w:p w:rsidR="00006BF3" w:rsidRDefault="004A2DE2">
      <w:pPr>
        <w:pStyle w:val="Zkladntext1"/>
      </w:pPr>
      <w:r>
        <w:rPr>
          <w:rStyle w:val="Zkladntext"/>
        </w:rPr>
        <w:t>Sp. zn. C 41059 vedená u Krajského soudu v Bmě</w:t>
      </w:r>
    </w:p>
    <w:p w:rsidR="00006BF3" w:rsidRDefault="004A2DE2">
      <w:pPr>
        <w:pStyle w:val="Zkladntext1"/>
        <w:spacing w:after="260"/>
      </w:pPr>
      <w:r>
        <w:rPr>
          <w:rStyle w:val="Zkladntext"/>
        </w:rPr>
        <w:t>Bankovní spojení: Komerční banka Kroměří</w:t>
      </w:r>
      <w:r>
        <w:rPr>
          <w:rStyle w:val="Zkladntext"/>
        </w:rPr>
        <w:t xml:space="preserve">ž, a. s., číslo účtu: </w:t>
      </w:r>
    </w:p>
    <w:p w:rsidR="00006BF3" w:rsidRDefault="004A2DE2">
      <w:pPr>
        <w:pStyle w:val="Zkladntext1"/>
        <w:spacing w:after="82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„Pronajímatel“)</w:t>
      </w:r>
    </w:p>
    <w:p w:rsidR="00006BF3" w:rsidRDefault="004A2DE2">
      <w:pPr>
        <w:pStyle w:val="Nadpis20"/>
        <w:keepNext/>
        <w:keepLines/>
        <w:jc w:val="left"/>
      </w:pPr>
      <w:bookmarkStart w:id="3" w:name="bookmark6"/>
      <w:r>
        <w:rPr>
          <w:rStyle w:val="Nadpis2"/>
          <w:b/>
          <w:bCs/>
        </w:rPr>
        <w:t>KM AVION, s.r.o.</w:t>
      </w:r>
      <w:bookmarkEnd w:id="3"/>
    </w:p>
    <w:p w:rsidR="00006BF3" w:rsidRDefault="004A2DE2">
      <w:pPr>
        <w:pStyle w:val="Zkladntext1"/>
        <w:spacing w:after="260"/>
      </w:pPr>
      <w:r>
        <w:rPr>
          <w:rStyle w:val="Zkladntext"/>
        </w:rPr>
        <w:t xml:space="preserve">se sídlem Velké náměstí 111/59, 767 01 Kroměříž zastoupená </w:t>
      </w:r>
      <w:r>
        <w:rPr>
          <w:rStyle w:val="Zkladntext"/>
        </w:rPr>
        <w:t xml:space="preserve">jednatelem IČO: 07894830 (dále jen </w:t>
      </w:r>
      <w:r>
        <w:rPr>
          <w:rStyle w:val="Zkladntext"/>
          <w:b/>
          <w:bCs/>
        </w:rPr>
        <w:t>„Nájemce“)</w:t>
      </w:r>
    </w:p>
    <w:p w:rsidR="00006BF3" w:rsidRDefault="004A2DE2">
      <w:pPr>
        <w:pStyle w:val="Nadpis20"/>
        <w:keepNext/>
        <w:keepLines/>
        <w:numPr>
          <w:ilvl w:val="0"/>
          <w:numId w:val="1"/>
        </w:numPr>
        <w:tabs>
          <w:tab w:val="left" w:pos="339"/>
        </w:tabs>
        <w:spacing w:after="260"/>
      </w:pPr>
      <w:bookmarkStart w:id="4" w:name="bookmark8"/>
      <w:r>
        <w:rPr>
          <w:rStyle w:val="Nadpis2"/>
          <w:b/>
          <w:bCs/>
        </w:rPr>
        <w:t>Úvodní ustanovení</w:t>
      </w:r>
      <w:bookmarkEnd w:id="4"/>
    </w:p>
    <w:p w:rsidR="00006BF3" w:rsidRDefault="004A2DE2">
      <w:pPr>
        <w:pStyle w:val="Zkladntext1"/>
        <w:numPr>
          <w:ilvl w:val="0"/>
          <w:numId w:val="2"/>
        </w:numPr>
        <w:tabs>
          <w:tab w:val="left" w:pos="699"/>
        </w:tabs>
        <w:spacing w:after="260"/>
        <w:ind w:left="700" w:hanging="340"/>
      </w:pPr>
      <w:r>
        <w:rPr>
          <w:rStyle w:val="Zkladntext"/>
        </w:rPr>
        <w:t xml:space="preserve">Pronajímatel prohlašuje, že </w:t>
      </w:r>
      <w:r>
        <w:rPr>
          <w:rStyle w:val="Zkladntext"/>
        </w:rPr>
        <w:t>město Kroměříž je ke dni uzavření této smlouvy výlučným vlastníkem vitrín v Kroměříži, a to konkrétně na adrese:</w:t>
      </w:r>
    </w:p>
    <w:p w:rsidR="00006BF3" w:rsidRDefault="004A2DE2">
      <w:pPr>
        <w:pStyle w:val="Zkladntext1"/>
        <w:ind w:left="1060"/>
      </w:pPr>
      <w:r>
        <w:rPr>
          <w:rStyle w:val="Zkladntext"/>
        </w:rPr>
        <w:t>Oskol (naproti restauraci Kozlovna)</w:t>
      </w:r>
    </w:p>
    <w:p w:rsidR="00006BF3" w:rsidRDefault="004A2DE2">
      <w:pPr>
        <w:pStyle w:val="Zkladntext1"/>
        <w:ind w:left="1060"/>
      </w:pPr>
      <w:r>
        <w:rPr>
          <w:rStyle w:val="Zkladntext"/>
        </w:rPr>
        <w:t>Oskol (chodník směrem k Domu kultury)</w:t>
      </w:r>
    </w:p>
    <w:p w:rsidR="00006BF3" w:rsidRDefault="004A2DE2">
      <w:pPr>
        <w:pStyle w:val="Zkladntext1"/>
        <w:ind w:left="1060"/>
      </w:pPr>
      <w:r>
        <w:rPr>
          <w:rStyle w:val="Zkladntext"/>
        </w:rPr>
        <w:t>Slovanské náměstí</w:t>
      </w:r>
    </w:p>
    <w:p w:rsidR="00006BF3" w:rsidRDefault="004A2DE2">
      <w:pPr>
        <w:pStyle w:val="Zkladntext1"/>
        <w:ind w:left="1060"/>
      </w:pPr>
      <w:r>
        <w:rPr>
          <w:rStyle w:val="Zkladntext"/>
        </w:rPr>
        <w:t>Ul. Albertova (u obchodu Penny)</w:t>
      </w:r>
    </w:p>
    <w:p w:rsidR="00006BF3" w:rsidRDefault="004A2DE2">
      <w:pPr>
        <w:pStyle w:val="Zkladntext1"/>
        <w:ind w:left="1060"/>
      </w:pPr>
      <w:r>
        <w:rPr>
          <w:rStyle w:val="Zkladntext"/>
        </w:rPr>
        <w:t>Ul. Kollárova (u kř</w:t>
      </w:r>
      <w:r>
        <w:rPr>
          <w:rStyle w:val="Zkladntext"/>
        </w:rPr>
        <w:t>ižovatky s ul. Březinova)</w:t>
      </w:r>
    </w:p>
    <w:p w:rsidR="00006BF3" w:rsidRDefault="004A2DE2">
      <w:pPr>
        <w:pStyle w:val="Zkladntext1"/>
        <w:numPr>
          <w:ilvl w:val="0"/>
          <w:numId w:val="3"/>
        </w:numPr>
        <w:tabs>
          <w:tab w:val="left" w:pos="1065"/>
        </w:tabs>
        <w:ind w:firstLine="700"/>
      </w:pPr>
      <w:r>
        <w:rPr>
          <w:rStyle w:val="Zkladntext"/>
        </w:rPr>
        <w:t>Ul. Odboj ářů (Barbořina)</w:t>
      </w:r>
    </w:p>
    <w:p w:rsidR="00006BF3" w:rsidRDefault="004A2DE2">
      <w:pPr>
        <w:pStyle w:val="Zkladntext1"/>
        <w:numPr>
          <w:ilvl w:val="0"/>
          <w:numId w:val="3"/>
        </w:numPr>
        <w:tabs>
          <w:tab w:val="left" w:pos="1065"/>
        </w:tabs>
        <w:spacing w:after="260"/>
        <w:ind w:firstLine="700"/>
      </w:pPr>
      <w:r>
        <w:rPr>
          <w:rStyle w:val="Zkladntext"/>
        </w:rPr>
        <w:t>Ul. Spáčilova (u domu č. p. 3065)</w:t>
      </w:r>
    </w:p>
    <w:p w:rsidR="00006BF3" w:rsidRDefault="004A2DE2">
      <w:pPr>
        <w:pStyle w:val="Zkladntext1"/>
        <w:numPr>
          <w:ilvl w:val="0"/>
          <w:numId w:val="4"/>
        </w:numPr>
        <w:tabs>
          <w:tab w:val="left" w:pos="698"/>
        </w:tabs>
        <w:spacing w:after="260"/>
        <w:ind w:left="700" w:hanging="340"/>
      </w:pPr>
      <w:r>
        <w:rPr>
          <w:rStyle w:val="Zkladntext"/>
        </w:rPr>
        <w:t xml:space="preserve">Pronajímatel prohlašuje, že je právnickou osobou založenou jejím zakladatelem - městem Kroměříž na základě rozhodnutí Městského zastupitelstva Kroměříž č. XV. ze dne 6. </w:t>
      </w:r>
      <w:r>
        <w:rPr>
          <w:rStyle w:val="Zkladntext"/>
        </w:rPr>
        <w:t>9. 2001, která vystupuje v právních vztazích svým jménem a nese odpovědnost z těchto vztahů vyplývajících.</w:t>
      </w:r>
    </w:p>
    <w:p w:rsidR="00006BF3" w:rsidRDefault="004A2DE2">
      <w:pPr>
        <w:pStyle w:val="Zkladntext1"/>
        <w:numPr>
          <w:ilvl w:val="0"/>
          <w:numId w:val="4"/>
        </w:numPr>
        <w:tabs>
          <w:tab w:val="left" w:pos="350"/>
        </w:tabs>
        <w:spacing w:after="540"/>
        <w:ind w:left="380" w:hanging="380"/>
        <w:jc w:val="both"/>
      </w:pPr>
      <w:r>
        <w:rPr>
          <w:rStyle w:val="Zkladntext"/>
        </w:rPr>
        <w:t>Pronajímatel prohlašuje, že dne 3. 12. 2012 uzavřel s městem Kroměříž smlouvu o výpůjčce, na základě které město Kroměříž přenechalo pronajímateli do</w:t>
      </w:r>
      <w:r>
        <w:rPr>
          <w:rStyle w:val="Zkladntext"/>
        </w:rPr>
        <w:t xml:space="preserve"> výpůjčky dodatkem ke smlouvě o výpůjčce č. 16 ze dne 3. 7. 2020 mimo jiné výše určené nemovitosti, a že na základě usnesení Rady města Kroměříže je pronajímatel oprávněn přenechat vypůjčené </w:t>
      </w:r>
      <w:r>
        <w:rPr>
          <w:rStyle w:val="Zkladntext"/>
        </w:rPr>
        <w:lastRenderedPageBreak/>
        <w:t>nemovitosti nebo jejich části do užívání třetím osobám.</w:t>
      </w:r>
    </w:p>
    <w:p w:rsidR="00006BF3" w:rsidRDefault="004A2DE2">
      <w:pPr>
        <w:pStyle w:val="Nadpis20"/>
        <w:keepNext/>
        <w:keepLines/>
      </w:pPr>
      <w:bookmarkStart w:id="5" w:name="bookmark10"/>
      <w:r>
        <w:rPr>
          <w:rStyle w:val="Nadpis2"/>
          <w:b/>
          <w:bCs/>
        </w:rPr>
        <w:t>II. Předm</w:t>
      </w:r>
      <w:r>
        <w:rPr>
          <w:rStyle w:val="Nadpis2"/>
          <w:b/>
          <w:bCs/>
        </w:rPr>
        <w:t>ět smlouvy</w:t>
      </w:r>
      <w:bookmarkEnd w:id="5"/>
    </w:p>
    <w:p w:rsidR="00006BF3" w:rsidRDefault="004A2DE2">
      <w:pPr>
        <w:pStyle w:val="Zkladntext1"/>
        <w:numPr>
          <w:ilvl w:val="0"/>
          <w:numId w:val="5"/>
        </w:numPr>
        <w:tabs>
          <w:tab w:val="left" w:pos="350"/>
        </w:tabs>
        <w:spacing w:after="260"/>
        <w:ind w:left="380" w:hanging="380"/>
        <w:jc w:val="both"/>
      </w:pPr>
      <w:r>
        <w:rPr>
          <w:rStyle w:val="Zkladntext"/>
        </w:rPr>
        <w:t>Pronajímatel touto smlouvu přenechává nájemci za podmínek sjednaných v této smlouvě do nájmu následující prosklené vitríny (dále jen „vitrína“):</w:t>
      </w:r>
    </w:p>
    <w:p w:rsidR="00006BF3" w:rsidRDefault="004A2DE2">
      <w:pPr>
        <w:pStyle w:val="Zkladntext1"/>
        <w:ind w:firstLine="780"/>
        <w:jc w:val="both"/>
      </w:pPr>
      <w:r>
        <w:rPr>
          <w:rStyle w:val="Zkladntext"/>
        </w:rPr>
        <w:t>Oskol (naproti restauraci Kozlovna)- 2křídlá</w:t>
      </w:r>
    </w:p>
    <w:p w:rsidR="00006BF3" w:rsidRDefault="004A2DE2">
      <w:pPr>
        <w:pStyle w:val="Zkladntext1"/>
        <w:ind w:firstLine="780"/>
        <w:jc w:val="both"/>
      </w:pPr>
      <w:r>
        <w:rPr>
          <w:rStyle w:val="Zkladntext"/>
        </w:rPr>
        <w:t>Oskol (chodník směrem k Domu kultury) - Ikřídlá</w:t>
      </w:r>
    </w:p>
    <w:p w:rsidR="00006BF3" w:rsidRDefault="004A2DE2">
      <w:pPr>
        <w:pStyle w:val="Zkladntext1"/>
        <w:ind w:firstLine="780"/>
        <w:jc w:val="both"/>
      </w:pPr>
      <w:r>
        <w:rPr>
          <w:rStyle w:val="Zkladntext"/>
        </w:rPr>
        <w:t>Slovans</w:t>
      </w:r>
      <w:r>
        <w:rPr>
          <w:rStyle w:val="Zkladntext"/>
        </w:rPr>
        <w:t>ké náměstí - 2křídlá</w:t>
      </w:r>
    </w:p>
    <w:p w:rsidR="00006BF3" w:rsidRDefault="004A2DE2">
      <w:pPr>
        <w:pStyle w:val="Zkladntext1"/>
        <w:ind w:firstLine="780"/>
        <w:jc w:val="both"/>
      </w:pPr>
      <w:r>
        <w:rPr>
          <w:rStyle w:val="Zkladntext"/>
        </w:rPr>
        <w:t>Ul. Albertova (u obchodu Penny) - Ikřídlá</w:t>
      </w:r>
    </w:p>
    <w:p w:rsidR="00006BF3" w:rsidRDefault="004A2DE2">
      <w:pPr>
        <w:pStyle w:val="Zkladntext1"/>
        <w:numPr>
          <w:ilvl w:val="0"/>
          <w:numId w:val="6"/>
        </w:numPr>
        <w:tabs>
          <w:tab w:val="left" w:pos="721"/>
        </w:tabs>
        <w:ind w:firstLine="380"/>
        <w:jc w:val="both"/>
      </w:pPr>
      <w:r>
        <w:rPr>
          <w:rStyle w:val="Zkladntext"/>
        </w:rPr>
        <w:t>Ul. Kollárova (u křižovatky s ul. Březinova) - Ikřídlá</w:t>
      </w:r>
    </w:p>
    <w:p w:rsidR="00006BF3" w:rsidRDefault="004A2DE2">
      <w:pPr>
        <w:pStyle w:val="Zkladntext1"/>
        <w:numPr>
          <w:ilvl w:val="0"/>
          <w:numId w:val="6"/>
        </w:numPr>
        <w:tabs>
          <w:tab w:val="left" w:pos="721"/>
        </w:tabs>
        <w:ind w:firstLine="380"/>
        <w:jc w:val="both"/>
      </w:pPr>
      <w:r>
        <w:rPr>
          <w:rStyle w:val="Zkladntext"/>
        </w:rPr>
        <w:t>Ul. Odbojářů (Barbořina) - 2křídlá</w:t>
      </w:r>
    </w:p>
    <w:p w:rsidR="00006BF3" w:rsidRDefault="004A2DE2">
      <w:pPr>
        <w:pStyle w:val="Zkladntext1"/>
        <w:spacing w:after="260"/>
        <w:ind w:firstLine="780"/>
        <w:jc w:val="both"/>
      </w:pPr>
      <w:r>
        <w:rPr>
          <w:rStyle w:val="Zkladntext"/>
        </w:rPr>
        <w:t>Ul. Spáčilova (u domu č. p. 3065) - 2křídlá</w:t>
      </w:r>
    </w:p>
    <w:p w:rsidR="00006BF3" w:rsidRDefault="004A2DE2">
      <w:pPr>
        <w:pStyle w:val="Zkladntext1"/>
        <w:numPr>
          <w:ilvl w:val="0"/>
          <w:numId w:val="7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 xml:space="preserve">Pronajímatel se zavazuje zajistit nájemci plný a nerušený </w:t>
      </w:r>
      <w:r>
        <w:rPr>
          <w:rStyle w:val="Zkladntext"/>
        </w:rPr>
        <w:t>výkon práv nájemce spojených s užíváním předmětných vitrín.</w:t>
      </w:r>
    </w:p>
    <w:p w:rsidR="00006BF3" w:rsidRDefault="004A2DE2">
      <w:pPr>
        <w:pStyle w:val="Zkladntext1"/>
        <w:numPr>
          <w:ilvl w:val="0"/>
          <w:numId w:val="7"/>
        </w:numPr>
        <w:tabs>
          <w:tab w:val="left" w:pos="350"/>
        </w:tabs>
        <w:spacing w:after="540"/>
        <w:ind w:left="380" w:hanging="380"/>
        <w:jc w:val="both"/>
      </w:pPr>
      <w:r>
        <w:rPr>
          <w:rStyle w:val="Zkladntext"/>
        </w:rPr>
        <w:t>Nájemce vitríny určené v odst. 1 tohoto článku smlouvy do svého užívání přijímá za podmínek v této smlouvě sjednaných a zavazuje se tyto užívat výlučně v souladu s jejich stavebním určením, k účel</w:t>
      </w:r>
      <w:r>
        <w:rPr>
          <w:rStyle w:val="Zkladntext"/>
        </w:rPr>
        <w:t>u a v rozsahu sjednaném v této nájemní smlouvě.</w:t>
      </w:r>
    </w:p>
    <w:p w:rsidR="00006BF3" w:rsidRDefault="004A2DE2">
      <w:pPr>
        <w:pStyle w:val="Nadpis20"/>
        <w:keepNext/>
        <w:keepLines/>
        <w:numPr>
          <w:ilvl w:val="0"/>
          <w:numId w:val="8"/>
        </w:numPr>
        <w:tabs>
          <w:tab w:val="left" w:pos="487"/>
        </w:tabs>
      </w:pPr>
      <w:bookmarkStart w:id="6" w:name="bookmark12"/>
      <w:r>
        <w:rPr>
          <w:rStyle w:val="Nadpis2"/>
          <w:b/>
          <w:bCs/>
        </w:rPr>
        <w:t>Účel nájmu</w:t>
      </w:r>
      <w:bookmarkEnd w:id="6"/>
    </w:p>
    <w:p w:rsidR="00006BF3" w:rsidRDefault="004A2DE2">
      <w:pPr>
        <w:pStyle w:val="Zkladntext1"/>
        <w:numPr>
          <w:ilvl w:val="0"/>
          <w:numId w:val="9"/>
        </w:numPr>
        <w:tabs>
          <w:tab w:val="left" w:pos="350"/>
        </w:tabs>
        <w:jc w:val="both"/>
      </w:pPr>
      <w:r>
        <w:rPr>
          <w:rStyle w:val="Zkladntext"/>
        </w:rPr>
        <w:t>Vitrína bude nájemce užívána za účelem umístění reklamy.</w:t>
      </w:r>
    </w:p>
    <w:p w:rsidR="00006BF3" w:rsidRDefault="004A2DE2">
      <w:pPr>
        <w:pStyle w:val="Zkladntext1"/>
        <w:numPr>
          <w:ilvl w:val="0"/>
          <w:numId w:val="9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Obsah reklamních sdělení nesmí být v rozporu s dobrými mravy, zejména nesmí obsahovat jakoukoliv diskriminaci z důvodu rasy, pohlaví nebo ná</w:t>
      </w:r>
      <w:r>
        <w:rPr>
          <w:rStyle w:val="Zkladntext"/>
        </w:rPr>
        <w:t>rodnosti nebo napadat náboženské nebo národnostní cítění, ohrožovat obecně nepřijatelným způsobem mravnost, snižovat lidskou důstojnost, obsahovat prvky pornografie, násilí nebo prvky využívající motivy strachu. Obsah reklamního sdělení nesmí podporovat ch</w:t>
      </w:r>
      <w:r>
        <w:rPr>
          <w:rStyle w:val="Zkladntext"/>
        </w:rPr>
        <w:t>ování poškozující zdraví nebo ohrožující bezpečnost osob nebo majetku, jakož i jednání poškozující zájmy na ochranu životního prostředí.</w:t>
      </w:r>
    </w:p>
    <w:p w:rsidR="00006BF3" w:rsidRDefault="004A2DE2">
      <w:pPr>
        <w:pStyle w:val="Zkladntext1"/>
        <w:numPr>
          <w:ilvl w:val="0"/>
          <w:numId w:val="9"/>
        </w:numPr>
        <w:tabs>
          <w:tab w:val="left" w:pos="350"/>
        </w:tabs>
        <w:spacing w:after="540"/>
        <w:ind w:left="380" w:hanging="380"/>
        <w:jc w:val="both"/>
      </w:pPr>
      <w:r>
        <w:rPr>
          <w:rStyle w:val="Zkladntext"/>
        </w:rPr>
        <w:t>Pronajímatel a nájemce prohlašují, že předmětná vitrína je ke dni uzavření této smlouvy bez dalšího ve stavu způsobilém</w:t>
      </w:r>
      <w:r>
        <w:rPr>
          <w:rStyle w:val="Zkladntext"/>
        </w:rPr>
        <w:t xml:space="preserve"> ke smluvenému užívání.</w:t>
      </w:r>
    </w:p>
    <w:p w:rsidR="00006BF3" w:rsidRDefault="004A2DE2">
      <w:pPr>
        <w:pStyle w:val="Nadpis20"/>
        <w:keepNext/>
        <w:keepLines/>
        <w:numPr>
          <w:ilvl w:val="0"/>
          <w:numId w:val="8"/>
        </w:numPr>
        <w:tabs>
          <w:tab w:val="left" w:pos="482"/>
        </w:tabs>
      </w:pPr>
      <w:bookmarkStart w:id="7" w:name="bookmark14"/>
      <w:r>
        <w:rPr>
          <w:rStyle w:val="Nadpis2"/>
          <w:b/>
          <w:bCs/>
        </w:rPr>
        <w:t>Ochrana majetku, údržba a opravy předmětu nájmu</w:t>
      </w:r>
      <w:bookmarkEnd w:id="7"/>
    </w:p>
    <w:p w:rsidR="00006BF3" w:rsidRDefault="004A2DE2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 xml:space="preserve">Nájemce se zavazuje předmětnou vitrínu užívat s péčí řádného hospodáře, chránit ji před poškozením, zničením či jiným zneužíváním a udržovat ji po celou dobu nájmu ve stavu způsobilém </w:t>
      </w:r>
      <w:r>
        <w:rPr>
          <w:rStyle w:val="Zkladntext"/>
        </w:rPr>
        <w:t>bezvadného užívání.</w:t>
      </w:r>
    </w:p>
    <w:p w:rsidR="00006BF3" w:rsidRDefault="004A2DE2">
      <w:pPr>
        <w:pStyle w:val="Zkladntext1"/>
        <w:numPr>
          <w:ilvl w:val="0"/>
          <w:numId w:val="10"/>
        </w:numPr>
        <w:tabs>
          <w:tab w:val="left" w:pos="350"/>
        </w:tabs>
        <w:spacing w:after="400"/>
        <w:ind w:left="380" w:hanging="380"/>
        <w:jc w:val="both"/>
      </w:pPr>
      <w:r>
        <w:rPr>
          <w:rStyle w:val="Zkladntext"/>
        </w:rPr>
        <w:t>Nájemce je povinen bez zbytečného odkladu písemně oznámit pronajímateli potřebu těch oprav, které má nést pronajímatel a umožnit jejich provedení, jinak odpovídá za škodu, která porušením této povinnosti vznikla. Nesplní-li pronajímatel</w:t>
      </w:r>
      <w:r>
        <w:rPr>
          <w:rStyle w:val="Zkladntext"/>
        </w:rPr>
        <w:t xml:space="preserve"> svou povinnost odstranit závady bránící řádnému užívání nebytových prostor i přes písemnou výzvu nájemce, je nájemce oprávněn závady odstranit v nezbytné míře a požadovat od pronajímatele náhradu účelně vynaložených nákladů.</w:t>
      </w:r>
      <w:r>
        <w:br w:type="page"/>
      </w:r>
    </w:p>
    <w:p w:rsidR="00006BF3" w:rsidRDefault="004A2DE2">
      <w:pPr>
        <w:pStyle w:val="Zkladntext1"/>
        <w:numPr>
          <w:ilvl w:val="0"/>
          <w:numId w:val="10"/>
        </w:numPr>
        <w:tabs>
          <w:tab w:val="left" w:pos="683"/>
        </w:tabs>
        <w:ind w:left="680" w:hanging="340"/>
        <w:jc w:val="both"/>
      </w:pPr>
      <w:r>
        <w:rPr>
          <w:rStyle w:val="Zkladntext"/>
        </w:rPr>
        <w:lastRenderedPageBreak/>
        <w:t xml:space="preserve">Nájemce není oprávněn bez </w:t>
      </w:r>
      <w:r>
        <w:rPr>
          <w:rStyle w:val="Zkladntext"/>
        </w:rPr>
        <w:t>předchozího písemného souhlasu pronajímatele provádět na pronajatých vitrínách úpravy nebo změny, a to ani na své náklady. V případě porušení této povinnosti je pronajímatel oprávněn požadovat, aby nájemce provedené opravy, úpravy nebo změny na své náklady</w:t>
      </w:r>
      <w:r>
        <w:rPr>
          <w:rStyle w:val="Zkladntext"/>
        </w:rPr>
        <w:t xml:space="preserve"> bezodkladně odstranil, pokud nebude dohodnuto jinak.</w:t>
      </w:r>
    </w:p>
    <w:p w:rsidR="00006BF3" w:rsidRDefault="004A2DE2">
      <w:pPr>
        <w:pStyle w:val="Zkladntext1"/>
        <w:numPr>
          <w:ilvl w:val="0"/>
          <w:numId w:val="10"/>
        </w:numPr>
        <w:tabs>
          <w:tab w:val="left" w:pos="692"/>
        </w:tabs>
        <w:spacing w:after="540"/>
        <w:ind w:left="680" w:hanging="340"/>
        <w:jc w:val="both"/>
      </w:pPr>
      <w:r>
        <w:rPr>
          <w:rStyle w:val="Zkladntext"/>
        </w:rPr>
        <w:t>Nedohodnou-li se účastníci jinak, nemá nájemce právo na náhradu nákladů, které vynaložil na opravy a změny předmětných vitrín, provedené byť se souhlasem pronajímatele.</w:t>
      </w:r>
    </w:p>
    <w:p w:rsidR="00006BF3" w:rsidRDefault="004A2DE2">
      <w:pPr>
        <w:pStyle w:val="Nadpis20"/>
        <w:keepNext/>
        <w:keepLines/>
        <w:numPr>
          <w:ilvl w:val="0"/>
          <w:numId w:val="8"/>
        </w:numPr>
        <w:tabs>
          <w:tab w:val="left" w:pos="410"/>
        </w:tabs>
      </w:pPr>
      <w:bookmarkStart w:id="8" w:name="bookmark16"/>
      <w:r>
        <w:rPr>
          <w:rStyle w:val="Nadpis2"/>
          <w:b/>
          <w:bCs/>
        </w:rPr>
        <w:t>Nájemné</w:t>
      </w:r>
      <w:bookmarkEnd w:id="8"/>
    </w:p>
    <w:p w:rsidR="00006BF3" w:rsidRDefault="004A2DE2">
      <w:pPr>
        <w:pStyle w:val="Zkladntext1"/>
        <w:numPr>
          <w:ilvl w:val="0"/>
          <w:numId w:val="11"/>
        </w:numPr>
        <w:tabs>
          <w:tab w:val="left" w:pos="672"/>
        </w:tabs>
        <w:spacing w:after="260"/>
        <w:ind w:left="680" w:hanging="340"/>
        <w:jc w:val="both"/>
      </w:pPr>
      <w:r>
        <w:rPr>
          <w:rStyle w:val="Zkladntext"/>
        </w:rPr>
        <w:t xml:space="preserve">Nájemce se zavazuje </w:t>
      </w:r>
      <w:r>
        <w:rPr>
          <w:rStyle w:val="Zkladntext"/>
        </w:rPr>
        <w:t>hradit pronajímateli za pronájem shora určených vitrín nájemné. Výše nájemného byla stanovena Ceníkem za pronájem veřejných prosklených vitrín platný pro rok 2023, který je nedílnou součástí této smlouvy.</w:t>
      </w:r>
    </w:p>
    <w:p w:rsidR="00006BF3" w:rsidRDefault="004A2DE2">
      <w:pPr>
        <w:pStyle w:val="Zkladntext1"/>
        <w:ind w:left="10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5201920</wp:posOffset>
                </wp:positionH>
                <wp:positionV relativeFrom="paragraph">
                  <wp:posOffset>12700</wp:posOffset>
                </wp:positionV>
                <wp:extent cx="1256030" cy="12496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BF3" w:rsidRDefault="004A2DE2">
                            <w:pPr>
                              <w:pStyle w:val="Zkladntext1"/>
                              <w:ind w:firstLine="720"/>
                            </w:pPr>
                            <w:r>
                              <w:rPr>
                                <w:rStyle w:val="Zkladntext"/>
                              </w:rPr>
                              <w:t>777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538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777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538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  <w:ind w:firstLine="720"/>
                            </w:pPr>
                            <w:r>
                              <w:rPr>
                                <w:rStyle w:val="Zkladntext"/>
                              </w:rPr>
                              <w:t>538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777 Kč/měs.</w:t>
                            </w:r>
                          </w:p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777 Kč/měs.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9.60000000000002pt;margin-top:1.pt;width:98.900000000000006pt;height:98.400000000000006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rStyle w:val="CharStyle3"/>
                        </w:rPr>
                        <w:t>777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538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777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538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rStyle w:val="CharStyle3"/>
                        </w:rPr>
                        <w:t>538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777 Kč/měs.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777 Kč/měs.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Oskol (naproti restauraci Kozlovna)- 2křídlá</w:t>
      </w:r>
    </w:p>
    <w:p w:rsidR="00006BF3" w:rsidRDefault="004A2DE2">
      <w:pPr>
        <w:pStyle w:val="Zkladntext1"/>
        <w:ind w:left="1060"/>
        <w:jc w:val="both"/>
      </w:pPr>
      <w:r>
        <w:rPr>
          <w:rStyle w:val="Zkladntext"/>
        </w:rPr>
        <w:t>Oskol (chodník směrem k Domu kultury) - 1 křídlá</w:t>
      </w:r>
    </w:p>
    <w:p w:rsidR="00006BF3" w:rsidRDefault="004A2DE2">
      <w:pPr>
        <w:pStyle w:val="Zkladntext1"/>
        <w:ind w:left="1060"/>
        <w:jc w:val="both"/>
      </w:pPr>
      <w:r>
        <w:rPr>
          <w:rStyle w:val="Zkladntext"/>
        </w:rPr>
        <w:t>Slovanské náměstí - 2křídlá</w:t>
      </w:r>
    </w:p>
    <w:p w:rsidR="00006BF3" w:rsidRDefault="004A2DE2">
      <w:pPr>
        <w:pStyle w:val="Zkladntext1"/>
        <w:numPr>
          <w:ilvl w:val="0"/>
          <w:numId w:val="12"/>
        </w:numPr>
        <w:tabs>
          <w:tab w:val="left" w:pos="1045"/>
        </w:tabs>
        <w:ind w:firstLine="680"/>
        <w:jc w:val="both"/>
      </w:pPr>
      <w:r>
        <w:rPr>
          <w:rStyle w:val="Zkladntext"/>
        </w:rPr>
        <w:t>UL Albertova (u obchodu Penny) - 1 křídlá</w:t>
      </w:r>
    </w:p>
    <w:p w:rsidR="00006BF3" w:rsidRDefault="004A2DE2">
      <w:pPr>
        <w:pStyle w:val="Zkladntext1"/>
        <w:numPr>
          <w:ilvl w:val="0"/>
          <w:numId w:val="12"/>
        </w:numPr>
        <w:tabs>
          <w:tab w:val="left" w:pos="1045"/>
        </w:tabs>
        <w:ind w:firstLine="680"/>
        <w:jc w:val="both"/>
      </w:pPr>
      <w:r>
        <w:rPr>
          <w:rStyle w:val="Zkladntext"/>
        </w:rPr>
        <w:t>UL Kollárova (u křižovatky s ul. Březinova) - Ikřídlá</w:t>
      </w:r>
    </w:p>
    <w:p w:rsidR="00006BF3" w:rsidRDefault="004A2DE2">
      <w:pPr>
        <w:pStyle w:val="Zkladntext1"/>
        <w:numPr>
          <w:ilvl w:val="0"/>
          <w:numId w:val="12"/>
        </w:numPr>
        <w:tabs>
          <w:tab w:val="left" w:pos="1045"/>
        </w:tabs>
        <w:ind w:firstLine="680"/>
        <w:jc w:val="both"/>
      </w:pPr>
      <w:r>
        <w:rPr>
          <w:rStyle w:val="Zkladntext"/>
        </w:rPr>
        <w:t>Ul. Odbojářů (Barbořina) - 2křídlá</w:t>
      </w:r>
    </w:p>
    <w:p w:rsidR="00006BF3" w:rsidRDefault="004A2DE2">
      <w:pPr>
        <w:pStyle w:val="Zkladntext1"/>
        <w:spacing w:after="260"/>
        <w:ind w:left="1060"/>
        <w:jc w:val="both"/>
      </w:pPr>
      <w:r>
        <w:rPr>
          <w:rStyle w:val="Zkladntext"/>
        </w:rPr>
        <w:t>Ul. Spáčilova (u domu č. p. 3065) - 2křídlá</w:t>
      </w:r>
    </w:p>
    <w:p w:rsidR="00006BF3" w:rsidRDefault="004A2DE2">
      <w:pPr>
        <w:pStyle w:val="Nadpis20"/>
        <w:keepNext/>
        <w:keepLines/>
        <w:spacing w:after="260"/>
        <w:ind w:left="7120" w:hanging="17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12700</wp:posOffset>
                </wp:positionV>
                <wp:extent cx="542290" cy="189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BF3" w:rsidRDefault="004A2DE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Celkem: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5.75pt;margin-top:1.pt;width:42.700000000000003pt;height:14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Celkem: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" w:name="bookmark18"/>
      <w:r>
        <w:rPr>
          <w:rStyle w:val="Nadpis2"/>
          <w:b/>
          <w:bCs/>
        </w:rPr>
        <w:t>4 722 Kč/měs. bez DPH</w:t>
      </w:r>
      <w:bookmarkEnd w:id="9"/>
    </w:p>
    <w:p w:rsidR="00006BF3" w:rsidRDefault="004A2DE2">
      <w:pPr>
        <w:pStyle w:val="Zkladntext1"/>
        <w:numPr>
          <w:ilvl w:val="0"/>
          <w:numId w:val="13"/>
        </w:numPr>
        <w:tabs>
          <w:tab w:val="left" w:pos="672"/>
        </w:tabs>
        <w:ind w:left="680" w:hanging="340"/>
        <w:jc w:val="both"/>
      </w:pPr>
      <w:r>
        <w:rPr>
          <w:rStyle w:val="Zkladntext"/>
        </w:rPr>
        <w:t>Nájemné se hradí na účet pronajímatele uvedený v záhlaví této smlouvy, na základě daňového dokladu vystaveného pronajímatelem, a to vždy měsíčně</w:t>
      </w:r>
      <w:r>
        <w:rPr>
          <w:rStyle w:val="Zkladntext"/>
        </w:rPr>
        <w:t xml:space="preserve"> dopředu. Daňový doklad bude vystaven pronajímatelem k 1. dni daného kalendářního měsíce se splatností 14 dnů ode dne vystavení.</w:t>
      </w:r>
    </w:p>
    <w:p w:rsidR="00006BF3" w:rsidRDefault="004A2DE2">
      <w:pPr>
        <w:pStyle w:val="Zkladntext1"/>
        <w:numPr>
          <w:ilvl w:val="0"/>
          <w:numId w:val="13"/>
        </w:numPr>
        <w:tabs>
          <w:tab w:val="left" w:pos="692"/>
        </w:tabs>
        <w:ind w:left="680" w:hanging="340"/>
        <w:jc w:val="both"/>
      </w:pPr>
      <w:r>
        <w:rPr>
          <w:rStyle w:val="Zkladntext"/>
        </w:rPr>
        <w:t>V případě prodlení nájemce s úhradou nájemného je tento povinen hradit pronajímateli smluvní pokutu ve výši 0,05 % denně z dluž</w:t>
      </w:r>
      <w:r>
        <w:rPr>
          <w:rStyle w:val="Zkladntext"/>
        </w:rPr>
        <w:t>né částky.</w:t>
      </w:r>
    </w:p>
    <w:p w:rsidR="00006BF3" w:rsidRDefault="004A2DE2">
      <w:pPr>
        <w:pStyle w:val="Zkladntext1"/>
        <w:numPr>
          <w:ilvl w:val="0"/>
          <w:numId w:val="13"/>
        </w:numPr>
        <w:tabs>
          <w:tab w:val="left" w:pos="683"/>
        </w:tabs>
        <w:ind w:left="680" w:hanging="340"/>
        <w:jc w:val="both"/>
      </w:pPr>
      <w:r>
        <w:rPr>
          <w:rStyle w:val="Zkladntext"/>
        </w:rPr>
        <w:t>V případě, že nájemce bude přes písemnou výstrahu pronajímatele po dobu delší jak 2 měsíce v prodlení s úhradou kterékoliv splátky nájemného, je pronajímatel oprávněn od této smlouvy odstoupit bezodkladně bez výpovědní doby.</w:t>
      </w:r>
    </w:p>
    <w:p w:rsidR="00006BF3" w:rsidRDefault="004A2DE2">
      <w:pPr>
        <w:pStyle w:val="Zkladntext1"/>
        <w:numPr>
          <w:ilvl w:val="0"/>
          <w:numId w:val="13"/>
        </w:numPr>
        <w:tabs>
          <w:tab w:val="left" w:pos="692"/>
        </w:tabs>
        <w:spacing w:after="540"/>
        <w:ind w:left="680" w:hanging="340"/>
        <w:jc w:val="both"/>
      </w:pPr>
      <w:r>
        <w:rPr>
          <w:rStyle w:val="Zkladntext"/>
        </w:rPr>
        <w:t>Pronajímatel je oprá</w:t>
      </w:r>
      <w:r>
        <w:rPr>
          <w:rStyle w:val="Zkladntext"/>
        </w:rPr>
        <w:t>vněn zvyšovat výši nájemného o částku, která bude představovat míru inflace zjištěnou u Českého statistického úřadu dle podkladů vývoje indexu spotřebitelských cen na území České republiky z průběhu každého předcházejícího roku. Takto bude nájemné zvyšován</w:t>
      </w:r>
      <w:r>
        <w:rPr>
          <w:rStyle w:val="Zkladntext"/>
        </w:rPr>
        <w:t>o vždy od 1. 1. na příslušný kalendářní rok. Pronajímatel oznámí nájemci zvýšení písemně v co nejkratší lhůtě.</w:t>
      </w:r>
    </w:p>
    <w:p w:rsidR="00006BF3" w:rsidRDefault="004A2DE2">
      <w:pPr>
        <w:pStyle w:val="Nadpis20"/>
        <w:keepNext/>
        <w:keepLines/>
      </w:pPr>
      <w:bookmarkStart w:id="10" w:name="bookmark20"/>
      <w:r>
        <w:rPr>
          <w:rStyle w:val="Nadpis2"/>
          <w:b/>
          <w:bCs/>
        </w:rPr>
        <w:t>VI. Doba trvání smlouvy, skončení smlouvy</w:t>
      </w:r>
      <w:bookmarkEnd w:id="10"/>
    </w:p>
    <w:p w:rsidR="00006BF3" w:rsidRDefault="004A2DE2">
      <w:pPr>
        <w:pStyle w:val="Zkladntext1"/>
        <w:numPr>
          <w:ilvl w:val="0"/>
          <w:numId w:val="14"/>
        </w:numPr>
        <w:tabs>
          <w:tab w:val="left" w:pos="652"/>
        </w:tabs>
        <w:ind w:firstLine="300"/>
        <w:jc w:val="both"/>
      </w:pPr>
      <w:r>
        <w:rPr>
          <w:rStyle w:val="Zkladntext"/>
        </w:rPr>
        <w:t>Tato smlouva se sjednává na dobu určitou, a to od 1. 3. 2024 do 31. 12. 2025.</w:t>
      </w:r>
    </w:p>
    <w:p w:rsidR="00006BF3" w:rsidRDefault="004A2DE2">
      <w:pPr>
        <w:pStyle w:val="Zkladntext1"/>
        <w:numPr>
          <w:ilvl w:val="0"/>
          <w:numId w:val="14"/>
        </w:numPr>
        <w:tabs>
          <w:tab w:val="left" w:pos="652"/>
        </w:tabs>
        <w:ind w:firstLine="300"/>
        <w:jc w:val="both"/>
      </w:pPr>
      <w:r>
        <w:rPr>
          <w:rStyle w:val="Zkladntext"/>
        </w:rPr>
        <w:t xml:space="preserve">Nájem uzavřený touto </w:t>
      </w:r>
      <w:r>
        <w:rPr>
          <w:rStyle w:val="Zkladntext"/>
        </w:rPr>
        <w:t>smlouvou končí:</w:t>
      </w:r>
    </w:p>
    <w:p w:rsidR="00006BF3" w:rsidRDefault="004A2DE2">
      <w:pPr>
        <w:pStyle w:val="Zkladntext1"/>
        <w:numPr>
          <w:ilvl w:val="0"/>
          <w:numId w:val="15"/>
        </w:numPr>
        <w:tabs>
          <w:tab w:val="left" w:pos="662"/>
        </w:tabs>
        <w:ind w:firstLine="300"/>
        <w:jc w:val="both"/>
      </w:pPr>
      <w:r>
        <w:rPr>
          <w:rStyle w:val="Zkladntext"/>
        </w:rPr>
        <w:t>Uplynutím doby, na kterou byla smlouva sjednána,</w:t>
      </w:r>
    </w:p>
    <w:p w:rsidR="00006BF3" w:rsidRDefault="004A2DE2">
      <w:pPr>
        <w:pStyle w:val="Zkladntext1"/>
        <w:numPr>
          <w:ilvl w:val="0"/>
          <w:numId w:val="15"/>
        </w:numPr>
        <w:tabs>
          <w:tab w:val="left" w:pos="681"/>
        </w:tabs>
        <w:ind w:firstLine="300"/>
        <w:jc w:val="both"/>
      </w:pPr>
      <w:r>
        <w:rPr>
          <w:rStyle w:val="Zkladntext"/>
        </w:rPr>
        <w:t>Dohodou stran,</w:t>
      </w:r>
    </w:p>
    <w:p w:rsidR="00006BF3" w:rsidRDefault="004A2DE2">
      <w:pPr>
        <w:pStyle w:val="Zkladntext1"/>
        <w:numPr>
          <w:ilvl w:val="0"/>
          <w:numId w:val="15"/>
        </w:numPr>
        <w:tabs>
          <w:tab w:val="left" w:pos="667"/>
        </w:tabs>
        <w:ind w:firstLine="300"/>
        <w:jc w:val="both"/>
      </w:pPr>
      <w:r>
        <w:rPr>
          <w:rStyle w:val="Zkladntext"/>
        </w:rPr>
        <w:t>Výpovědí jedné ze stran.</w:t>
      </w:r>
    </w:p>
    <w:p w:rsidR="00006BF3" w:rsidRDefault="004A2DE2">
      <w:pPr>
        <w:pStyle w:val="Zkladntext1"/>
        <w:numPr>
          <w:ilvl w:val="0"/>
          <w:numId w:val="16"/>
        </w:numPr>
        <w:tabs>
          <w:tab w:val="left" w:pos="672"/>
        </w:tabs>
        <w:ind w:left="680" w:hanging="340"/>
        <w:jc w:val="both"/>
      </w:pPr>
      <w:r>
        <w:rPr>
          <w:rStyle w:val="Zkladntext"/>
        </w:rPr>
        <w:t>Tato smlouva může být kdykoliv ukončena písemnou výpovědí některé ze smluvních stran, a to i bez udání důvodu. V případě nájmu sjednaného na dobu 5 měs</w:t>
      </w:r>
      <w:r>
        <w:rPr>
          <w:rStyle w:val="Zkladntext"/>
        </w:rPr>
        <w:t>íců a delší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je výpovědní doba tříměsíční a začíná běžet od prvního dne kalendářního měsíce následujícího po měsíci, ve kterém byla výpověď doručena druhé smluvní straně.</w:t>
      </w:r>
    </w:p>
    <w:p w:rsidR="00006BF3" w:rsidRDefault="004A2DE2">
      <w:pPr>
        <w:pStyle w:val="Zkladntext1"/>
        <w:numPr>
          <w:ilvl w:val="0"/>
          <w:numId w:val="16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Nájemce je oprávněn vypovědět smlouvu bez výpovědní doby, stane-li se předmět nájmu ne</w:t>
      </w:r>
      <w:r>
        <w:rPr>
          <w:rStyle w:val="Zkladntext"/>
        </w:rPr>
        <w:t>použitelný ke sjednanému účelu nájmu, a to z důvod, které nejsou na straně nájemce.</w:t>
      </w:r>
    </w:p>
    <w:p w:rsidR="00006BF3" w:rsidRDefault="004A2DE2">
      <w:pPr>
        <w:pStyle w:val="Zkladntext1"/>
        <w:numPr>
          <w:ilvl w:val="0"/>
          <w:numId w:val="16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Pronajímatel je oprávněn vypovědět smlouvu bez výpovědní doby, porušuje-li nájemce prokazatelně zvlášť závažným způsobem své povinnosti z titulu této smlouvy, čímž působí z</w:t>
      </w:r>
      <w:r>
        <w:rPr>
          <w:rStyle w:val="Zkladntext"/>
        </w:rPr>
        <w:t>načnou újmu pronajímateli.</w:t>
      </w:r>
    </w:p>
    <w:p w:rsidR="00006BF3" w:rsidRDefault="004A2DE2">
      <w:pPr>
        <w:pStyle w:val="Zkladntext1"/>
        <w:numPr>
          <w:ilvl w:val="0"/>
          <w:numId w:val="16"/>
        </w:numPr>
        <w:tabs>
          <w:tab w:val="left" w:pos="714"/>
        </w:tabs>
        <w:spacing w:after="540"/>
        <w:ind w:left="720" w:hanging="340"/>
        <w:jc w:val="both"/>
      </w:pPr>
      <w:r>
        <w:rPr>
          <w:rStyle w:val="Zkladntext"/>
        </w:rPr>
        <w:t>Nájemce se zavazuje po ukončení nájemního vztahu vitríny vyklidit a vyklizené předat pronajímateli předávacím protokolem podepsaným oprávněnými zástupci obou smluvních stran.</w:t>
      </w:r>
    </w:p>
    <w:p w:rsidR="00006BF3" w:rsidRDefault="004A2DE2">
      <w:pPr>
        <w:pStyle w:val="Nadpis20"/>
        <w:keepNext/>
        <w:keepLines/>
      </w:pPr>
      <w:bookmarkStart w:id="11" w:name="bookmark22"/>
      <w:r>
        <w:rPr>
          <w:rStyle w:val="Nadpis2"/>
          <w:b/>
          <w:bCs/>
        </w:rPr>
        <w:t>VIL Další podnájem a změna v postavení smluvních stran</w:t>
      </w:r>
      <w:bookmarkEnd w:id="11"/>
    </w:p>
    <w:p w:rsidR="00006BF3" w:rsidRDefault="004A2DE2">
      <w:pPr>
        <w:pStyle w:val="Zkladntext1"/>
        <w:numPr>
          <w:ilvl w:val="0"/>
          <w:numId w:val="17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Nájemce není oprávněn přenechat předmět smlouvy jiné právnické nebo fyzické osobě do podnájmu bez předchozího písemného souhlasu pronajímatele.</w:t>
      </w:r>
    </w:p>
    <w:p w:rsidR="00006BF3" w:rsidRDefault="004A2DE2">
      <w:pPr>
        <w:pStyle w:val="Zkladntext1"/>
        <w:numPr>
          <w:ilvl w:val="0"/>
          <w:numId w:val="17"/>
        </w:numPr>
        <w:tabs>
          <w:tab w:val="left" w:pos="714"/>
        </w:tabs>
        <w:spacing w:after="540"/>
        <w:ind w:left="720" w:hanging="340"/>
        <w:jc w:val="both"/>
      </w:pPr>
      <w:r>
        <w:rPr>
          <w:rStyle w:val="Zkladntext"/>
        </w:rPr>
        <w:t xml:space="preserve">Nájemce bere na vědomí, že ke dni zániku nebo skončení této nájemní smlouvy zaniká nebo končí i podnájemní </w:t>
      </w:r>
      <w:r>
        <w:rPr>
          <w:rStyle w:val="Zkladntext"/>
        </w:rPr>
        <w:t>smlouva k předmětným vitrínám uzavřená v souladu s odst. 1 tohoto článku mezi nájemcem a třetí osobou.</w:t>
      </w:r>
    </w:p>
    <w:p w:rsidR="00006BF3" w:rsidRDefault="004A2DE2">
      <w:pPr>
        <w:pStyle w:val="Nadpis20"/>
        <w:keepNext/>
        <w:keepLines/>
      </w:pPr>
      <w:bookmarkStart w:id="12" w:name="bookmark24"/>
      <w:r>
        <w:rPr>
          <w:rStyle w:val="Nadpis2"/>
          <w:b/>
          <w:bCs/>
        </w:rPr>
        <w:t>VIII. Závěrečná ustanovení</w:t>
      </w:r>
      <w:bookmarkEnd w:id="12"/>
    </w:p>
    <w:p w:rsidR="00006BF3" w:rsidRDefault="004A2DE2">
      <w:pPr>
        <w:pStyle w:val="Zkladntext1"/>
        <w:numPr>
          <w:ilvl w:val="0"/>
          <w:numId w:val="18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Nájemce bere na vědomí, že tato smlouva může být poskytnuta a zveřejněna případným žadatelům podle zákona č. 106/1999 Sb., o s</w:t>
      </w:r>
      <w:r>
        <w:rPr>
          <w:rStyle w:val="Zkladntext"/>
        </w:rPr>
        <w:t>vobodném přístupu k informacím, ve znění pozdějších předpisů.</w:t>
      </w:r>
    </w:p>
    <w:p w:rsidR="00006BF3" w:rsidRDefault="004A2DE2">
      <w:pPr>
        <w:pStyle w:val="Zkladntext1"/>
        <w:numPr>
          <w:ilvl w:val="0"/>
          <w:numId w:val="18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Veškeré změny a doplňky této smlouvy musí mít písemnou formu a musí být podepsány oběma smluvními stranami, jinak jsou neplatné.</w:t>
      </w:r>
    </w:p>
    <w:p w:rsidR="00006BF3" w:rsidRDefault="004A2DE2">
      <w:pPr>
        <w:pStyle w:val="Zkladntext1"/>
        <w:numPr>
          <w:ilvl w:val="0"/>
          <w:numId w:val="18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Tato smlouva byla vyhotovena ve 2 stejnopisech, z nichž jeden ste</w:t>
      </w:r>
      <w:r>
        <w:rPr>
          <w:rStyle w:val="Zkladntext"/>
        </w:rPr>
        <w:t>jnopis obdrží nájemce a jeden pronajímatel.</w:t>
      </w:r>
    </w:p>
    <w:p w:rsidR="00006BF3" w:rsidRDefault="004A2DE2">
      <w:pPr>
        <w:pStyle w:val="Zkladntext1"/>
        <w:numPr>
          <w:ilvl w:val="0"/>
          <w:numId w:val="18"/>
        </w:numPr>
        <w:tabs>
          <w:tab w:val="left" w:pos="714"/>
        </w:tabs>
        <w:ind w:left="720" w:hanging="340"/>
        <w:jc w:val="both"/>
      </w:pPr>
      <w:r>
        <w:rPr>
          <w:rStyle w:val="Zkladntext"/>
        </w:rPr>
        <w:t>V ostatních právních vztazích v této smlouvě výslovně neupravených se smluvní strany řídí příslušnými ustanoveními OZ.</w:t>
      </w:r>
    </w:p>
    <w:p w:rsidR="00006BF3" w:rsidRDefault="004A2DE2">
      <w:pPr>
        <w:pStyle w:val="Zkladntext1"/>
        <w:numPr>
          <w:ilvl w:val="0"/>
          <w:numId w:val="18"/>
        </w:numPr>
        <w:tabs>
          <w:tab w:val="left" w:pos="714"/>
        </w:tabs>
        <w:spacing w:after="540"/>
        <w:ind w:left="720" w:hanging="340"/>
        <w:jc w:val="both"/>
      </w:pPr>
      <w:r>
        <w:rPr>
          <w:rStyle w:val="Zkladntext"/>
        </w:rPr>
        <w:t>Účastníci smlouvy shodně prohlašují, že tato smlouva byla sepsána na základě jejich pravé, sv</w:t>
      </w:r>
      <w:r>
        <w:rPr>
          <w:rStyle w:val="Zkladntext"/>
        </w:rPr>
        <w:t>obodné a vážně projevené vůle, a že jim nejsou známy okolnosti a překážky bránící uzavření této smlouvy.</w:t>
      </w:r>
    </w:p>
    <w:p w:rsidR="00006BF3" w:rsidRDefault="004A2DE2">
      <w:pPr>
        <w:pStyle w:val="Zkladntext1"/>
        <w:tabs>
          <w:tab w:val="left" w:leader="dot" w:pos="2059"/>
        </w:tabs>
        <w:sectPr w:rsidR="00006BF3">
          <w:pgSz w:w="11900" w:h="16840"/>
          <w:pgMar w:top="1381" w:right="1270" w:bottom="1373" w:left="1415" w:header="953" w:footer="945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Kroměříži dne</w:t>
      </w:r>
      <w:r w:rsidR="00A8453E">
        <w:rPr>
          <w:rStyle w:val="Zkladntext"/>
        </w:rPr>
        <w:t xml:space="preserve"> 29.2.2024</w:t>
      </w:r>
      <w:bookmarkStart w:id="13" w:name="_GoBack"/>
      <w:bookmarkEnd w:id="13"/>
    </w:p>
    <w:p w:rsidR="00006BF3" w:rsidRDefault="00006BF3">
      <w:pPr>
        <w:spacing w:line="360" w:lineRule="exact"/>
      </w:pPr>
    </w:p>
    <w:p w:rsidR="00006BF3" w:rsidRDefault="00006BF3">
      <w:pPr>
        <w:spacing w:after="397" w:line="1" w:lineRule="exact"/>
      </w:pPr>
    </w:p>
    <w:p w:rsidR="00006BF3" w:rsidRDefault="00006BF3">
      <w:pPr>
        <w:spacing w:line="1" w:lineRule="exact"/>
        <w:sectPr w:rsidR="00006BF3">
          <w:type w:val="continuous"/>
          <w:pgSz w:w="11900" w:h="16840"/>
          <w:pgMar w:top="1352" w:right="1409" w:bottom="1574" w:left="1270" w:header="0" w:footer="3" w:gutter="0"/>
          <w:cols w:space="720"/>
          <w:noEndnote/>
          <w:docGrid w:linePitch="360"/>
        </w:sectPr>
      </w:pPr>
    </w:p>
    <w:p w:rsidR="00006BF3" w:rsidRDefault="004A2DE2">
      <w:pPr>
        <w:pStyle w:val="Zkladntext1"/>
        <w:spacing w:after="540"/>
        <w:ind w:hanging="1180"/>
      </w:pPr>
      <w:r>
        <w:rPr>
          <w:rStyle w:val="Zkladntext"/>
        </w:rPr>
        <w:t>Za pronajímatele</w:t>
      </w:r>
    </w:p>
    <w:p w:rsidR="00006BF3" w:rsidRDefault="004A2DE2">
      <w:pPr>
        <w:pStyle w:val="Zkladntext1"/>
        <w:spacing w:after="300"/>
        <w:ind w:hanging="1180"/>
      </w:pPr>
      <w:r>
        <w:rPr>
          <w:rStyle w:val="Zkladntext"/>
        </w:rPr>
        <w:t>dne</w:t>
      </w:r>
    </w:p>
    <w:sectPr w:rsidR="00006BF3">
      <w:type w:val="continuous"/>
      <w:pgSz w:w="11900" w:h="16840"/>
      <w:pgMar w:top="1352" w:right="1409" w:bottom="1352" w:left="24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E2" w:rsidRDefault="004A2DE2">
      <w:r>
        <w:separator/>
      </w:r>
    </w:p>
  </w:endnote>
  <w:endnote w:type="continuationSeparator" w:id="0">
    <w:p w:rsidR="004A2DE2" w:rsidRDefault="004A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E2" w:rsidRDefault="004A2DE2"/>
  </w:footnote>
  <w:footnote w:type="continuationSeparator" w:id="0">
    <w:p w:rsidR="004A2DE2" w:rsidRDefault="004A2D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FD3"/>
    <w:multiLevelType w:val="multilevel"/>
    <w:tmpl w:val="8F9E1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23856"/>
    <w:multiLevelType w:val="multilevel"/>
    <w:tmpl w:val="FEE67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A669D"/>
    <w:multiLevelType w:val="multilevel"/>
    <w:tmpl w:val="E104D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01183"/>
    <w:multiLevelType w:val="multilevel"/>
    <w:tmpl w:val="025E1EB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423B9"/>
    <w:multiLevelType w:val="multilevel"/>
    <w:tmpl w:val="2FA67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803CE"/>
    <w:multiLevelType w:val="multilevel"/>
    <w:tmpl w:val="5120D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A1370"/>
    <w:multiLevelType w:val="multilevel"/>
    <w:tmpl w:val="BA865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60971"/>
    <w:multiLevelType w:val="multilevel"/>
    <w:tmpl w:val="DB748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75C6D"/>
    <w:multiLevelType w:val="multilevel"/>
    <w:tmpl w:val="138E84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DE2D8F"/>
    <w:multiLevelType w:val="multilevel"/>
    <w:tmpl w:val="1E52A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85774"/>
    <w:multiLevelType w:val="multilevel"/>
    <w:tmpl w:val="6C80F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26BB9"/>
    <w:multiLevelType w:val="multilevel"/>
    <w:tmpl w:val="C5CE1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B02CE9"/>
    <w:multiLevelType w:val="multilevel"/>
    <w:tmpl w:val="2C982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739C5"/>
    <w:multiLevelType w:val="multilevel"/>
    <w:tmpl w:val="181C6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2F6CB3"/>
    <w:multiLevelType w:val="multilevel"/>
    <w:tmpl w:val="C34E1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C5A02"/>
    <w:multiLevelType w:val="multilevel"/>
    <w:tmpl w:val="AE04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52411D"/>
    <w:multiLevelType w:val="multilevel"/>
    <w:tmpl w:val="88D62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43D96"/>
    <w:multiLevelType w:val="multilevel"/>
    <w:tmpl w:val="E2882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3"/>
    <w:rsid w:val="00006BF3"/>
    <w:rsid w:val="004A2DE2"/>
    <w:rsid w:val="00A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44EF4-2323-457E-A6AF-3EBA849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DA9AD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pacing w:line="259" w:lineRule="auto"/>
      <w:ind w:left="220"/>
    </w:pPr>
    <w:rPr>
      <w:rFonts w:ascii="Arial" w:eastAsia="Arial" w:hAnsi="Arial" w:cs="Arial"/>
      <w:color w:val="9DA9A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2024-05-03T09:46:00Z</dcterms:created>
  <dcterms:modified xsi:type="dcterms:W3CDTF">2024-05-03T09:48:00Z</dcterms:modified>
</cp:coreProperties>
</file>