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858C" w14:textId="497438AB" w:rsidR="000F24EF" w:rsidRDefault="000F24EF" w:rsidP="000F24E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Č.j. </w:t>
      </w:r>
      <w:r w:rsidR="009514CC" w:rsidRPr="009514CC">
        <w:rPr>
          <w:rFonts w:cs="Arial"/>
          <w:sz w:val="22"/>
          <w:szCs w:val="22"/>
        </w:rPr>
        <w:t>SPU 114529/2024</w:t>
      </w:r>
    </w:p>
    <w:p w14:paraId="1A2F1524" w14:textId="0B4CE36B" w:rsidR="000F24EF" w:rsidRDefault="000F24EF" w:rsidP="000F24EF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9514CC">
        <w:rPr>
          <w:rFonts w:cs="Arial"/>
          <w:sz w:val="22"/>
          <w:szCs w:val="22"/>
        </w:rPr>
        <w:t xml:space="preserve"> </w:t>
      </w:r>
      <w:r w:rsidR="009514CC" w:rsidRPr="009514CC">
        <w:rPr>
          <w:rFonts w:cs="Arial"/>
          <w:sz w:val="22"/>
          <w:szCs w:val="22"/>
        </w:rPr>
        <w:t>spuess9209c78c</w:t>
      </w:r>
    </w:p>
    <w:p w14:paraId="1B4AD248" w14:textId="77777777"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071E395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14:paraId="4C349349" w14:textId="77777777"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18032E4A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4D138D65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14:paraId="02244498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DIČ:  CZ</w:t>
      </w:r>
      <w:proofErr w:type="gramEnd"/>
      <w:r w:rsidRPr="00EE5EC9">
        <w:rPr>
          <w:rFonts w:ascii="Arial" w:hAnsi="Arial" w:cs="Arial"/>
          <w:sz w:val="22"/>
          <w:szCs w:val="22"/>
        </w:rPr>
        <w:t>01312774</w:t>
      </w:r>
    </w:p>
    <w:p w14:paraId="44683A15" w14:textId="77777777" w:rsidR="007E1622" w:rsidRDefault="007E1622" w:rsidP="007E1622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D8920AE" w14:textId="77777777"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40B79704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E294C31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715CE88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057060B" w14:textId="77777777" w:rsidR="00C73625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Český Těšín</w:t>
      </w:r>
    </w:p>
    <w:p w14:paraId="5395BA95" w14:textId="77777777" w:rsidR="00C73625" w:rsidRDefault="00C7362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nám. ČSA 1/1,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73701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Český</w:t>
      </w:r>
      <w:proofErr w:type="gramEnd"/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Těšín</w:t>
      </w:r>
    </w:p>
    <w:p w14:paraId="71C33029" w14:textId="77777777" w:rsidR="00C73625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 00297437</w:t>
      </w:r>
    </w:p>
    <w:p w14:paraId="1451CFD3" w14:textId="681B8C1A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 CZ00297437</w:t>
      </w:r>
    </w:p>
    <w:p w14:paraId="7A384F7E" w14:textId="77777777" w:rsidR="00C73625" w:rsidRDefault="00C7362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75D731C" w14:textId="2628EEDF" w:rsidR="00C73625" w:rsidRPr="00EE5EC9" w:rsidRDefault="00C7362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 Karel Kula, starosta města</w:t>
      </w:r>
    </w:p>
    <w:p w14:paraId="219E9577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EE5E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EE5EC9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5BD8B877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4299CF3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B76E972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BE6AC14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B646A3B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064C5A04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A25F33E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1002992470</w:t>
      </w:r>
    </w:p>
    <w:p w14:paraId="5CF1564E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188E4CC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BBE469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7DA7F370" w14:textId="289CCB60" w:rsidR="00273BF2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C73625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Moravskoslezský kraj, Katastrální pracoviště v Karviné na LV 10</w:t>
      </w:r>
      <w:r w:rsidR="00C73625">
        <w:rPr>
          <w:rFonts w:ascii="Arial" w:hAnsi="Arial" w:cs="Arial"/>
          <w:sz w:val="22"/>
          <w:szCs w:val="22"/>
        </w:rPr>
        <w:t> </w:t>
      </w:r>
      <w:r w:rsidR="00273BF2" w:rsidRPr="00EE5EC9">
        <w:rPr>
          <w:rFonts w:ascii="Arial" w:hAnsi="Arial" w:cs="Arial"/>
          <w:sz w:val="22"/>
          <w:szCs w:val="22"/>
        </w:rPr>
        <w:t>002:</w:t>
      </w:r>
    </w:p>
    <w:p w14:paraId="14A83E6E" w14:textId="77777777" w:rsidR="00C73625" w:rsidRPr="00EE5EC9" w:rsidRDefault="00C73625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F32FA03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1AE1556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1E7572B0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ABD99BD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6BFAC4B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Český Těšín</w:t>
      </w:r>
      <w:r w:rsidRPr="00EE5EC9">
        <w:rPr>
          <w:rFonts w:ascii="Arial" w:hAnsi="Arial" w:cs="Arial"/>
          <w:sz w:val="18"/>
          <w:szCs w:val="18"/>
        </w:rPr>
        <w:tab/>
        <w:t>Český Těšín</w:t>
      </w:r>
      <w:r w:rsidRPr="00EE5EC9">
        <w:rPr>
          <w:rFonts w:ascii="Arial" w:hAnsi="Arial" w:cs="Arial"/>
          <w:sz w:val="18"/>
          <w:szCs w:val="18"/>
        </w:rPr>
        <w:tab/>
        <w:t>3011/1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3241A1C6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AE7EB65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E3E3996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Český Těšín</w:t>
      </w:r>
      <w:r w:rsidRPr="00EE5EC9">
        <w:rPr>
          <w:rFonts w:ascii="Arial" w:hAnsi="Arial" w:cs="Arial"/>
          <w:sz w:val="18"/>
          <w:szCs w:val="18"/>
        </w:rPr>
        <w:tab/>
        <w:t>Český Těšín</w:t>
      </w:r>
      <w:r w:rsidRPr="00EE5EC9">
        <w:rPr>
          <w:rFonts w:ascii="Arial" w:hAnsi="Arial" w:cs="Arial"/>
          <w:sz w:val="18"/>
          <w:szCs w:val="18"/>
        </w:rPr>
        <w:tab/>
        <w:t>3036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44341CAA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E3C7230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0FF55968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273A693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39CA2D4B" w14:textId="156FB238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 a), b)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73625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1C38728F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C8FA966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14:paraId="6E627289" w14:textId="4499CE38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</w:t>
      </w:r>
      <w:r w:rsidR="00C7362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v čl. I. této smlouvy a ten je do svého vlastnictví, ve stavu</w:t>
      </w:r>
      <w:r w:rsidR="00C73625">
        <w:rPr>
          <w:rFonts w:ascii="Arial" w:hAnsi="Arial" w:cs="Arial"/>
          <w:sz w:val="22"/>
          <w:szCs w:val="22"/>
        </w:rPr>
        <w:t>,</w:t>
      </w:r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 xml:space="preserve">smlouvy, přejímá. Vlastnické právo k pozemkům přechází na nabyvatele vkladem </w:t>
      </w:r>
      <w:r w:rsidR="00C7362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do katastru nemovitostí na základě této smlouvy.</w:t>
      </w:r>
    </w:p>
    <w:p w14:paraId="51D0F2B8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7FC6DE9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14:paraId="0A116129" w14:textId="3708E538" w:rsidR="00273BF2" w:rsidRDefault="0079596E" w:rsidP="00C73625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</w:t>
      </w:r>
      <w:r w:rsidR="00C73625">
        <w:rPr>
          <w:rFonts w:ascii="Arial" w:hAnsi="Arial" w:cs="Arial"/>
          <w:sz w:val="22"/>
          <w:szCs w:val="22"/>
        </w:rPr>
        <w:t xml:space="preserve">ek </w:t>
      </w:r>
      <w:proofErr w:type="spellStart"/>
      <w:r w:rsidR="00C73625">
        <w:rPr>
          <w:rFonts w:ascii="Arial" w:hAnsi="Arial" w:cs="Arial"/>
          <w:sz w:val="22"/>
          <w:szCs w:val="22"/>
        </w:rPr>
        <w:t>p.č</w:t>
      </w:r>
      <w:proofErr w:type="spellEnd"/>
      <w:r w:rsidR="00C73625">
        <w:rPr>
          <w:rFonts w:ascii="Arial" w:hAnsi="Arial" w:cs="Arial"/>
          <w:sz w:val="22"/>
          <w:szCs w:val="22"/>
        </w:rPr>
        <w:t>. 3011/1</w:t>
      </w:r>
      <w:r w:rsidR="00062320" w:rsidRPr="00EE5EC9">
        <w:rPr>
          <w:rFonts w:ascii="Arial" w:hAnsi="Arial" w:cs="Arial"/>
          <w:sz w:val="22"/>
          <w:szCs w:val="22"/>
        </w:rPr>
        <w:t xml:space="preserve"> uveden</w:t>
      </w:r>
      <w:r w:rsidR="00C73625">
        <w:rPr>
          <w:rFonts w:ascii="Arial" w:hAnsi="Arial" w:cs="Arial"/>
          <w:sz w:val="22"/>
          <w:szCs w:val="22"/>
        </w:rPr>
        <w:t>ý</w:t>
      </w:r>
      <w:r w:rsidR="00062320" w:rsidRPr="00EE5EC9">
        <w:rPr>
          <w:rFonts w:ascii="Arial" w:hAnsi="Arial" w:cs="Arial"/>
          <w:sz w:val="22"/>
          <w:szCs w:val="22"/>
        </w:rPr>
        <w:t xml:space="preserve"> v čl. I. této smlouvy</w:t>
      </w:r>
      <w:r w:rsidR="00C73625">
        <w:rPr>
          <w:rFonts w:ascii="Arial" w:hAnsi="Arial" w:cs="Arial"/>
          <w:sz w:val="22"/>
          <w:szCs w:val="22"/>
        </w:rPr>
        <w:t xml:space="preserve"> je silniční </w:t>
      </w:r>
      <w:r w:rsidR="00C73625">
        <w:rPr>
          <w:rFonts w:ascii="Arial" w:hAnsi="Arial" w:cs="Arial"/>
          <w:sz w:val="22"/>
          <w:szCs w:val="22"/>
        </w:rPr>
        <w:br/>
        <w:t xml:space="preserve">a silniční pomocný a pozemek </w:t>
      </w:r>
      <w:proofErr w:type="spellStart"/>
      <w:r w:rsidR="00C73625">
        <w:rPr>
          <w:rFonts w:ascii="Arial" w:hAnsi="Arial" w:cs="Arial"/>
          <w:sz w:val="22"/>
          <w:szCs w:val="22"/>
        </w:rPr>
        <w:t>p.č</w:t>
      </w:r>
      <w:proofErr w:type="spellEnd"/>
      <w:r w:rsidR="00C73625">
        <w:rPr>
          <w:rFonts w:ascii="Arial" w:hAnsi="Arial" w:cs="Arial"/>
          <w:sz w:val="22"/>
          <w:szCs w:val="22"/>
        </w:rPr>
        <w:t xml:space="preserve">. 3036 je pozemek silniční pomocný.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p w14:paraId="39854156" w14:textId="77777777" w:rsidR="00C73625" w:rsidRPr="00EE5EC9" w:rsidRDefault="00C73625" w:rsidP="00C73625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2767BE04" w14:textId="77777777" w:rsidTr="00F44BD0">
        <w:tc>
          <w:tcPr>
            <w:tcW w:w="3261" w:type="dxa"/>
            <w:hideMark/>
          </w:tcPr>
          <w:p w14:paraId="57C90961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5679C3E0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185C48F6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14:paraId="17BB2B81" w14:textId="77777777" w:rsidTr="00F44BD0">
        <w:tc>
          <w:tcPr>
            <w:tcW w:w="3261" w:type="dxa"/>
            <w:hideMark/>
          </w:tcPr>
          <w:p w14:paraId="51F15F37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Český Těšín</w:t>
            </w:r>
          </w:p>
        </w:tc>
        <w:tc>
          <w:tcPr>
            <w:tcW w:w="2551" w:type="dxa"/>
            <w:hideMark/>
          </w:tcPr>
          <w:p w14:paraId="33DEB0ED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3011/1</w:t>
            </w:r>
          </w:p>
        </w:tc>
        <w:tc>
          <w:tcPr>
            <w:tcW w:w="3260" w:type="dxa"/>
            <w:hideMark/>
          </w:tcPr>
          <w:p w14:paraId="013635D0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6 795,36 Kč</w:t>
            </w:r>
          </w:p>
        </w:tc>
      </w:tr>
      <w:tr w:rsidR="00F44BD0" w14:paraId="5596C989" w14:textId="77777777" w:rsidTr="00F44BD0">
        <w:tc>
          <w:tcPr>
            <w:tcW w:w="3261" w:type="dxa"/>
            <w:hideMark/>
          </w:tcPr>
          <w:p w14:paraId="0280BD86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Český Těšín</w:t>
            </w:r>
          </w:p>
        </w:tc>
        <w:tc>
          <w:tcPr>
            <w:tcW w:w="2551" w:type="dxa"/>
            <w:hideMark/>
          </w:tcPr>
          <w:p w14:paraId="1FF36B80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3036</w:t>
            </w:r>
          </w:p>
        </w:tc>
        <w:tc>
          <w:tcPr>
            <w:tcW w:w="3260" w:type="dxa"/>
            <w:hideMark/>
          </w:tcPr>
          <w:p w14:paraId="586FD6F8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114,40 Kč</w:t>
            </w:r>
          </w:p>
        </w:tc>
      </w:tr>
    </w:tbl>
    <w:p w14:paraId="14BE8269" w14:textId="77777777"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14:paraId="1B83BECC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283B57E0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07A6F5F5" w14:textId="77777777"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2B3679B8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14:paraId="60F056AC" w14:textId="500E3FD1" w:rsidR="00273BF2" w:rsidRPr="00EE5EC9" w:rsidRDefault="00273BF2" w:rsidP="00C73625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3) Na převáděných pozemcích váznou tato práva třetích osob:</w:t>
      </w:r>
      <w:r w:rsidR="00C73625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 xml:space="preserve">věcné břemeno </w:t>
      </w:r>
      <w:r w:rsidR="00C73625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ve prospěch </w:t>
      </w:r>
      <w:proofErr w:type="spellStart"/>
      <w:r w:rsidRPr="00EE5EC9">
        <w:rPr>
          <w:rFonts w:ascii="Arial" w:hAnsi="Arial" w:cs="Arial"/>
          <w:sz w:val="22"/>
          <w:szCs w:val="22"/>
        </w:rPr>
        <w:t>itself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s.r.o., spočívající v právu zřizovat a provozovat podzemní vedení telekomunikační sítě, včetně jejich opěrných a vytyčovacích bodů a právo umísťovat v těchto pozemcích vedení telekomunikační sítě.</w:t>
      </w:r>
    </w:p>
    <w:p w14:paraId="7F39F386" w14:textId="77777777" w:rsidR="00273BF2" w:rsidRPr="00EE5EC9" w:rsidRDefault="002F715C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="00331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Nabyvatel nabývá pozemky ve smyslu § 1918 zákona č. 89/2012 Sb., </w:t>
      </w:r>
      <w:r w:rsidRPr="00AF08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>. V souladu s ustanovením § 1916 odst. 2 zákona č. 89/2012 Sb. Občanský zákoník se pak nabyvatel vzdává svého práva z vadného plnění a zavazuje se, že nebude po převádějícím uplatňovat jakákoliv práva z vad převáděných pozemků.</w:t>
      </w:r>
    </w:p>
    <w:p w14:paraId="6D406339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A2B722C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4FC7F48D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44FD94A6" w14:textId="77777777" w:rsidR="00916407" w:rsidRDefault="00916407" w:rsidP="00916407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bookmarkStart w:id="0" w:name="_Hlk152750585"/>
      <w:bookmarkStart w:id="1" w:name="_Hlk152751092"/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nabyvatele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4F3C6C76" w14:textId="77777777" w:rsidR="00916407" w:rsidRPr="0003365A" w:rsidRDefault="00916407" w:rsidP="00916407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Pro případ, že půjde o vady neodstranitelné a vklad vlastnického práva nebude realizován, bere nabyvatel na vědomí, že převádějící neodpovídá za případné škody, které by nabyvateli ze zmařeného převodu vznikly a nabyvatel prohlašuje, že nebude případnou škodu na převádějícím vymáhat.</w:t>
      </w:r>
      <w:bookmarkEnd w:id="0"/>
    </w:p>
    <w:bookmarkEnd w:id="1"/>
    <w:p w14:paraId="5C19C1A2" w14:textId="77777777" w:rsidR="00916407" w:rsidRPr="0003365A" w:rsidRDefault="00916407" w:rsidP="00916407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3365A">
        <w:rPr>
          <w:rFonts w:ascii="Arial" w:hAnsi="Arial" w:cs="Arial"/>
          <w:sz w:val="22"/>
          <w:szCs w:val="22"/>
        </w:rPr>
        <w:t xml:space="preserve">) Převádějící je ve smyslu zákona č. 634/2004 Sb., o správních poplatcích, ve znění pozdějších předpisů, osvobozen od správních poplatků. </w:t>
      </w:r>
    </w:p>
    <w:p w14:paraId="63264ABA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4F0DAA78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5A51A2D2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8E03B58" w14:textId="3C2404CA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EE5EC9">
        <w:rPr>
          <w:rFonts w:ascii="Arial" w:hAnsi="Arial" w:cs="Arial"/>
          <w:sz w:val="22"/>
          <w:szCs w:val="22"/>
        </w:rPr>
        <w:t>obdrží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1 stejnopis a ostatní jsou určeny pro převádějícího.</w:t>
      </w:r>
    </w:p>
    <w:p w14:paraId="1D514569" w14:textId="77777777"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F44648B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VIII.</w:t>
      </w:r>
    </w:p>
    <w:p w14:paraId="7DD2198F" w14:textId="4CD886DC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o Státním pozemkovém úřadu </w:t>
      </w:r>
      <w:r w:rsidR="00E842D1">
        <w:rPr>
          <w:rFonts w:ascii="Arial" w:hAnsi="Arial" w:cs="Arial"/>
          <w:sz w:val="22"/>
          <w:szCs w:val="22"/>
        </w:rPr>
        <w:br/>
      </w:r>
      <w:r w:rsidR="007C4BBA" w:rsidRPr="00EE5EC9">
        <w:rPr>
          <w:rFonts w:ascii="Arial" w:hAnsi="Arial" w:cs="Arial"/>
          <w:sz w:val="22"/>
          <w:szCs w:val="22"/>
        </w:rPr>
        <w:t>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002B86E7" w14:textId="29BA8FB9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a), b) zákona </w:t>
      </w:r>
      <w:r w:rsidR="00E842D1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20E2FA73" w14:textId="77777777" w:rsidR="00704443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>Nabyvatel prohlašuje, že nabytí pozemků odsouhlasilo zastupitelstvo města Český Těšín dne 19.6.2023 usnesením č. 139/5.ZM a 141/5.ZM.</w:t>
      </w:r>
    </w:p>
    <w:p w14:paraId="3EAEDFE7" w14:textId="752871F6" w:rsidR="004D5D53" w:rsidRPr="00EE5EC9" w:rsidRDefault="004D5D53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Nabyvatel prohlašuje, že při tomto právním jednání postupuje v souladu se zákonem </w:t>
      </w:r>
      <w:r w:rsidR="00E842D1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č. 128/2000 Sb., ve znění pozdějších předpisů.</w:t>
      </w:r>
    </w:p>
    <w:p w14:paraId="55D065C7" w14:textId="77777777" w:rsidR="006C1F15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36DD5A5C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64E057CE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14:paraId="0D95789E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3A4105C3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B86E4CD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10479F2" w14:textId="509DD7B0"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Ostravě dne </w:t>
      </w:r>
      <w:r w:rsidR="00360845">
        <w:rPr>
          <w:rFonts w:ascii="Arial" w:hAnsi="Arial" w:cs="Arial"/>
          <w:sz w:val="22"/>
          <w:szCs w:val="22"/>
        </w:rPr>
        <w:t>02. 05. 2024</w:t>
      </w:r>
      <w:r w:rsidRPr="00EE5EC9">
        <w:rPr>
          <w:rFonts w:ascii="Arial" w:hAnsi="Arial" w:cs="Arial"/>
          <w:sz w:val="22"/>
          <w:szCs w:val="22"/>
        </w:rPr>
        <w:tab/>
      </w:r>
      <w:r w:rsidR="00E842D1" w:rsidRPr="00EE5EC9">
        <w:rPr>
          <w:rFonts w:ascii="Arial" w:hAnsi="Arial" w:cs="Arial"/>
          <w:sz w:val="22"/>
          <w:szCs w:val="22"/>
        </w:rPr>
        <w:t>V</w:t>
      </w:r>
      <w:r w:rsidR="00360845">
        <w:rPr>
          <w:rFonts w:ascii="Arial" w:hAnsi="Arial" w:cs="Arial"/>
          <w:sz w:val="22"/>
          <w:szCs w:val="22"/>
        </w:rPr>
        <w:t xml:space="preserve"> Č. Těšíně </w:t>
      </w:r>
      <w:r w:rsidR="00DE225F">
        <w:rPr>
          <w:rFonts w:ascii="Arial" w:hAnsi="Arial" w:cs="Arial"/>
          <w:sz w:val="22"/>
          <w:szCs w:val="22"/>
        </w:rPr>
        <w:t>d</w:t>
      </w:r>
      <w:r w:rsidR="00E842D1" w:rsidRPr="00EE5EC9">
        <w:rPr>
          <w:rFonts w:ascii="Arial" w:hAnsi="Arial" w:cs="Arial"/>
          <w:sz w:val="22"/>
          <w:szCs w:val="22"/>
        </w:rPr>
        <w:t>ne</w:t>
      </w:r>
      <w:r w:rsidR="00360845">
        <w:rPr>
          <w:rFonts w:ascii="Arial" w:hAnsi="Arial" w:cs="Arial"/>
          <w:sz w:val="22"/>
          <w:szCs w:val="22"/>
        </w:rPr>
        <w:t xml:space="preserve"> 26.04.2024</w:t>
      </w:r>
    </w:p>
    <w:p w14:paraId="13C6FAEE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39530E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1D823A2E" w14:textId="77777777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75880737" w14:textId="77777777" w:rsidR="00E842D1" w:rsidRDefault="00E842D1">
      <w:pPr>
        <w:widowControl/>
        <w:rPr>
          <w:rFonts w:ascii="Arial" w:hAnsi="Arial" w:cs="Arial"/>
          <w:sz w:val="22"/>
          <w:szCs w:val="22"/>
        </w:rPr>
      </w:pPr>
    </w:p>
    <w:p w14:paraId="02D3319F" w14:textId="77777777" w:rsidR="00E842D1" w:rsidRDefault="00E842D1">
      <w:pPr>
        <w:widowControl/>
        <w:rPr>
          <w:rFonts w:ascii="Arial" w:hAnsi="Arial" w:cs="Arial"/>
          <w:sz w:val="22"/>
          <w:szCs w:val="22"/>
        </w:rPr>
      </w:pPr>
    </w:p>
    <w:p w14:paraId="1557FA5B" w14:textId="77777777" w:rsidR="00E842D1" w:rsidRPr="00EE5EC9" w:rsidRDefault="00E842D1">
      <w:pPr>
        <w:widowControl/>
        <w:rPr>
          <w:rFonts w:ascii="Arial" w:hAnsi="Arial" w:cs="Arial"/>
          <w:sz w:val="22"/>
          <w:szCs w:val="22"/>
        </w:rPr>
      </w:pPr>
    </w:p>
    <w:p w14:paraId="27FEC0E4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33ABDEC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F94F16F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Město Český Těšín</w:t>
      </w:r>
    </w:p>
    <w:p w14:paraId="7FFEFBF9" w14:textId="1D086382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ředitelka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r w:rsidR="00E842D1">
        <w:rPr>
          <w:rFonts w:ascii="Arial" w:hAnsi="Arial" w:cs="Arial"/>
          <w:sz w:val="22"/>
          <w:szCs w:val="22"/>
        </w:rPr>
        <w:t>starosta města</w:t>
      </w:r>
    </w:p>
    <w:p w14:paraId="741578B0" w14:textId="5DB7CC2F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Moravskoslezský kraj</w:t>
      </w:r>
      <w:r w:rsidRPr="00EE5EC9">
        <w:rPr>
          <w:rFonts w:ascii="Arial" w:hAnsi="Arial" w:cs="Arial"/>
          <w:sz w:val="22"/>
          <w:szCs w:val="22"/>
        </w:rPr>
        <w:tab/>
      </w:r>
      <w:r w:rsidR="00E842D1">
        <w:rPr>
          <w:rFonts w:ascii="Arial" w:hAnsi="Arial" w:cs="Arial"/>
          <w:sz w:val="22"/>
          <w:szCs w:val="22"/>
        </w:rPr>
        <w:t>Karel Kula</w:t>
      </w:r>
    </w:p>
    <w:p w14:paraId="76C3F43E" w14:textId="2906E86B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Mgr. Dana Lišková</w:t>
      </w:r>
      <w:r w:rsidRPr="00EE5EC9">
        <w:rPr>
          <w:rFonts w:ascii="Arial" w:hAnsi="Arial" w:cs="Arial"/>
          <w:sz w:val="22"/>
          <w:szCs w:val="22"/>
        </w:rPr>
        <w:tab/>
      </w:r>
      <w:r w:rsidR="00E842D1">
        <w:rPr>
          <w:rFonts w:ascii="Arial" w:hAnsi="Arial" w:cs="Arial"/>
          <w:sz w:val="22"/>
          <w:szCs w:val="22"/>
        </w:rPr>
        <w:t>nabyvatel</w:t>
      </w:r>
    </w:p>
    <w:p w14:paraId="567DD58C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14:paraId="347652C6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A523385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7E8F5AFE" w14:textId="090F082C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</w:t>
      </w:r>
      <w:r w:rsidR="00192582" w:rsidRPr="00486A24">
        <w:rPr>
          <w:rFonts w:ascii="Arial" w:hAnsi="Arial" w:cs="Arial"/>
          <w:sz w:val="22"/>
          <w:szCs w:val="22"/>
        </w:rPr>
        <w:t>nabízen</w:t>
      </w:r>
      <w:r w:rsidR="00192582">
        <w:rPr>
          <w:rFonts w:ascii="Arial" w:hAnsi="Arial" w:cs="Arial"/>
          <w:sz w:val="22"/>
          <w:szCs w:val="22"/>
        </w:rPr>
        <w:t>ých</w:t>
      </w:r>
      <w:r w:rsidR="00192582" w:rsidRPr="00486A24">
        <w:rPr>
          <w:rFonts w:ascii="Arial" w:hAnsi="Arial" w:cs="Arial"/>
          <w:sz w:val="22"/>
          <w:szCs w:val="22"/>
        </w:rPr>
        <w:t xml:space="preserve"> nemovitost</w:t>
      </w:r>
      <w:r w:rsidR="00192582">
        <w:rPr>
          <w:rFonts w:ascii="Arial" w:hAnsi="Arial" w:cs="Arial"/>
          <w:sz w:val="22"/>
          <w:szCs w:val="22"/>
        </w:rPr>
        <w:t>í</w:t>
      </w:r>
      <w:r w:rsidR="00192582"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 xml:space="preserve">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222070, 222570</w:t>
      </w:r>
      <w:r w:rsidRPr="00EE5EC9">
        <w:rPr>
          <w:rFonts w:ascii="Arial" w:hAnsi="Arial" w:cs="Arial"/>
          <w:sz w:val="22"/>
          <w:szCs w:val="22"/>
        </w:rPr>
        <w:br/>
      </w:r>
    </w:p>
    <w:p w14:paraId="637876DA" w14:textId="77777777" w:rsidR="00E842D1" w:rsidRDefault="00E842D1" w:rsidP="0055660D">
      <w:pPr>
        <w:widowControl/>
        <w:rPr>
          <w:rFonts w:ascii="Arial" w:hAnsi="Arial" w:cs="Arial"/>
          <w:sz w:val="22"/>
          <w:szCs w:val="22"/>
        </w:rPr>
      </w:pPr>
    </w:p>
    <w:p w14:paraId="5CA2AEC5" w14:textId="41548B80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14:paraId="68179601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6BE2876B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Zdeňka Fusková</w:t>
      </w:r>
    </w:p>
    <w:p w14:paraId="6C71F2A7" w14:textId="77777777" w:rsidR="0055660D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53C80B3C" w14:textId="77777777" w:rsidR="00E842D1" w:rsidRPr="00EE5EC9" w:rsidRDefault="00E842D1" w:rsidP="0055660D">
      <w:pPr>
        <w:widowControl/>
        <w:rPr>
          <w:rFonts w:ascii="Arial" w:hAnsi="Arial" w:cs="Arial"/>
          <w:sz w:val="22"/>
          <w:szCs w:val="22"/>
        </w:rPr>
      </w:pPr>
    </w:p>
    <w:p w14:paraId="6A76E854" w14:textId="77777777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6EBBBB80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3315074D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8C5DABB" w14:textId="77777777" w:rsidR="00273BF2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55B88B" w14:textId="77777777" w:rsidR="00E842D1" w:rsidRPr="00EE5EC9" w:rsidRDefault="00E842D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6515E4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Ing. Lada Vilčeková</w:t>
      </w:r>
    </w:p>
    <w:p w14:paraId="6605C37D" w14:textId="77777777" w:rsidR="00273BF2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6F2CE7" w14:textId="77777777" w:rsidR="00E56DC3" w:rsidRPr="00EE5EC9" w:rsidRDefault="00E56DC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296F53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7EA07F9E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56446B20" w14:textId="5572CE9E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</w:t>
      </w:r>
      <w:r w:rsidR="00E842D1">
        <w:rPr>
          <w:rFonts w:ascii="Arial" w:hAnsi="Arial" w:cs="Arial"/>
          <w:sz w:val="22"/>
          <w:szCs w:val="22"/>
        </w:rPr>
        <w:t> </w:t>
      </w:r>
      <w:r w:rsidR="00EC24AF" w:rsidRPr="00EE5EC9">
        <w:rPr>
          <w:rFonts w:ascii="Arial" w:hAnsi="Arial" w:cs="Arial"/>
          <w:sz w:val="22"/>
          <w:szCs w:val="22"/>
        </w:rPr>
        <w:t>Registru</w:t>
      </w:r>
      <w:r w:rsidR="00E842D1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19CE7F72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21FC0392" w14:textId="77777777" w:rsidR="006E4B7B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6E11E52B" w14:textId="77777777" w:rsidR="00E842D1" w:rsidRPr="00EE5EC9" w:rsidRDefault="00E842D1" w:rsidP="006E4B7B">
      <w:pPr>
        <w:jc w:val="both"/>
        <w:rPr>
          <w:rFonts w:ascii="Arial" w:hAnsi="Arial" w:cs="Arial"/>
          <w:sz w:val="22"/>
          <w:szCs w:val="22"/>
        </w:rPr>
      </w:pPr>
    </w:p>
    <w:p w14:paraId="5C21B2A2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13CECC58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7F81F720" w14:textId="77777777" w:rsidR="006E4B7B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4CD35BDB" w14:textId="77777777" w:rsidR="00E842D1" w:rsidRPr="00EE5EC9" w:rsidRDefault="00E842D1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37F27871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6C035D97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582A6230" w14:textId="77777777"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3F74411" w14:textId="77777777" w:rsidR="00E842D1" w:rsidRDefault="00E842D1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D05C0D9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0C436E0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279F488" w14:textId="77777777" w:rsidR="00AD73A5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182E8D2E" w14:textId="77777777" w:rsidR="00E842D1" w:rsidRPr="00EE5EC9" w:rsidRDefault="00E842D1" w:rsidP="00AD73A5">
      <w:pPr>
        <w:jc w:val="both"/>
        <w:rPr>
          <w:rFonts w:ascii="Arial" w:hAnsi="Arial" w:cs="Arial"/>
          <w:sz w:val="22"/>
          <w:szCs w:val="22"/>
        </w:rPr>
      </w:pPr>
    </w:p>
    <w:p w14:paraId="2BA6F859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3F923A3C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67D0E9B5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4A2C3C2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033CBEC0" w14:textId="55209083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</w:t>
      </w:r>
      <w:r w:rsidR="00E842D1">
        <w:rPr>
          <w:rFonts w:ascii="Arial" w:hAnsi="Arial" w:cs="Arial"/>
          <w:sz w:val="22"/>
          <w:szCs w:val="22"/>
        </w:rPr>
        <w:t> Ostravě dne ………………</w:t>
      </w:r>
      <w:proofErr w:type="gramStart"/>
      <w:r w:rsidR="00E842D1">
        <w:rPr>
          <w:rFonts w:ascii="Arial" w:hAnsi="Arial" w:cs="Arial"/>
          <w:sz w:val="22"/>
          <w:szCs w:val="22"/>
        </w:rPr>
        <w:t>…….</w:t>
      </w:r>
      <w:proofErr w:type="gramEnd"/>
      <w:r w:rsidR="00E842D1">
        <w:rPr>
          <w:rFonts w:ascii="Arial" w:hAnsi="Arial" w:cs="Arial"/>
          <w:sz w:val="22"/>
          <w:szCs w:val="22"/>
        </w:rPr>
        <w:t>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</w:r>
      <w:r w:rsidR="00E842D1">
        <w:rPr>
          <w:rFonts w:ascii="Arial" w:hAnsi="Arial" w:cs="Arial"/>
          <w:sz w:val="22"/>
          <w:szCs w:val="22"/>
        </w:rPr>
        <w:t xml:space="preserve">        </w:t>
      </w:r>
      <w:r w:rsidRPr="00EE5EC9">
        <w:rPr>
          <w:rFonts w:ascii="Arial" w:hAnsi="Arial" w:cs="Arial"/>
          <w:sz w:val="22"/>
          <w:szCs w:val="22"/>
        </w:rPr>
        <w:t>……………………………….</w:t>
      </w:r>
    </w:p>
    <w:p w14:paraId="4C6E73FC" w14:textId="5D54D1A5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E842D1">
        <w:rPr>
          <w:rFonts w:ascii="Arial" w:hAnsi="Arial" w:cs="Arial"/>
          <w:sz w:val="22"/>
          <w:szCs w:val="22"/>
        </w:rPr>
        <w:tab/>
      </w:r>
      <w:r w:rsidR="00E842D1">
        <w:rPr>
          <w:rFonts w:ascii="Arial" w:hAnsi="Arial" w:cs="Arial"/>
          <w:sz w:val="22"/>
          <w:szCs w:val="22"/>
        </w:rPr>
        <w:tab/>
      </w:r>
      <w:r w:rsidR="00E842D1">
        <w:rPr>
          <w:rFonts w:ascii="Arial" w:hAnsi="Arial" w:cs="Arial"/>
          <w:sz w:val="22"/>
          <w:szCs w:val="22"/>
        </w:rPr>
        <w:tab/>
        <w:t xml:space="preserve"> </w:t>
      </w:r>
      <w:r w:rsidRPr="00EE5EC9">
        <w:rPr>
          <w:rFonts w:ascii="Arial" w:hAnsi="Arial" w:cs="Arial"/>
          <w:sz w:val="22"/>
          <w:szCs w:val="22"/>
        </w:rPr>
        <w:t>podpis odpovědného</w:t>
      </w:r>
    </w:p>
    <w:p w14:paraId="44647925" w14:textId="30C06A5B"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E842D1">
        <w:rPr>
          <w:rFonts w:ascii="Arial" w:hAnsi="Arial" w:cs="Arial"/>
          <w:sz w:val="22"/>
          <w:szCs w:val="22"/>
        </w:rPr>
        <w:tab/>
      </w:r>
      <w:r w:rsidR="00E842D1">
        <w:rPr>
          <w:rFonts w:ascii="Arial" w:hAnsi="Arial" w:cs="Arial"/>
          <w:sz w:val="22"/>
          <w:szCs w:val="22"/>
        </w:rPr>
        <w:tab/>
      </w:r>
      <w:r w:rsidR="00E842D1">
        <w:rPr>
          <w:rFonts w:ascii="Arial" w:hAnsi="Arial" w:cs="Arial"/>
          <w:sz w:val="22"/>
          <w:szCs w:val="22"/>
        </w:rPr>
        <w:tab/>
        <w:t xml:space="preserve">        </w:t>
      </w:r>
      <w:r w:rsidRPr="00EE5EC9">
        <w:rPr>
          <w:rFonts w:ascii="Arial" w:hAnsi="Arial" w:cs="Arial"/>
          <w:sz w:val="22"/>
          <w:szCs w:val="22"/>
        </w:rPr>
        <w:t>zaměstnance</w:t>
      </w:r>
    </w:p>
    <w:p w14:paraId="5D884ED1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2508" w14:textId="77777777" w:rsidR="00D45949" w:rsidRDefault="00D45949">
      <w:r>
        <w:separator/>
      </w:r>
    </w:p>
  </w:endnote>
  <w:endnote w:type="continuationSeparator" w:id="0">
    <w:p w14:paraId="2B7FF41D" w14:textId="77777777" w:rsidR="00D45949" w:rsidRDefault="00D4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866269"/>
      <w:docPartObj>
        <w:docPartGallery w:val="Page Numbers (Bottom of Page)"/>
        <w:docPartUnique/>
      </w:docPartObj>
    </w:sdtPr>
    <w:sdtContent>
      <w:p w14:paraId="67CFAF54" w14:textId="22919C58" w:rsidR="009514CC" w:rsidRDefault="009514C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2D2CB" w14:textId="77777777" w:rsidR="009514CC" w:rsidRDefault="009514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F845" w14:textId="77777777" w:rsidR="00D45949" w:rsidRDefault="00D45949">
      <w:r>
        <w:separator/>
      </w:r>
    </w:p>
  </w:footnote>
  <w:footnote w:type="continuationSeparator" w:id="0">
    <w:p w14:paraId="49F3E748" w14:textId="77777777" w:rsidR="00D45949" w:rsidRDefault="00D4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4150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365A"/>
    <w:rsid w:val="000336E0"/>
    <w:rsid w:val="00035BE1"/>
    <w:rsid w:val="00062320"/>
    <w:rsid w:val="000729F0"/>
    <w:rsid w:val="00081110"/>
    <w:rsid w:val="000823B6"/>
    <w:rsid w:val="000E4024"/>
    <w:rsid w:val="000F24EF"/>
    <w:rsid w:val="001550B2"/>
    <w:rsid w:val="001723E1"/>
    <w:rsid w:val="00176135"/>
    <w:rsid w:val="00192582"/>
    <w:rsid w:val="001B3B31"/>
    <w:rsid w:val="001C6FC9"/>
    <w:rsid w:val="002579B5"/>
    <w:rsid w:val="00261220"/>
    <w:rsid w:val="00273BF2"/>
    <w:rsid w:val="00287139"/>
    <w:rsid w:val="002A6B0C"/>
    <w:rsid w:val="002B1FFD"/>
    <w:rsid w:val="002F715C"/>
    <w:rsid w:val="00331C6A"/>
    <w:rsid w:val="00357635"/>
    <w:rsid w:val="00360845"/>
    <w:rsid w:val="00365707"/>
    <w:rsid w:val="0039372D"/>
    <w:rsid w:val="003C3600"/>
    <w:rsid w:val="003D06D1"/>
    <w:rsid w:val="003F64D6"/>
    <w:rsid w:val="0042715C"/>
    <w:rsid w:val="00486A24"/>
    <w:rsid w:val="0049392F"/>
    <w:rsid w:val="004A6EA9"/>
    <w:rsid w:val="004B6821"/>
    <w:rsid w:val="004D5D53"/>
    <w:rsid w:val="0050563B"/>
    <w:rsid w:val="005123A9"/>
    <w:rsid w:val="00533D85"/>
    <w:rsid w:val="0055660D"/>
    <w:rsid w:val="00586E3E"/>
    <w:rsid w:val="005C4E5E"/>
    <w:rsid w:val="00605EDE"/>
    <w:rsid w:val="006704D9"/>
    <w:rsid w:val="006C072B"/>
    <w:rsid w:val="006C1195"/>
    <w:rsid w:val="006C1F15"/>
    <w:rsid w:val="006C5CD0"/>
    <w:rsid w:val="006D0CAA"/>
    <w:rsid w:val="006E4B7B"/>
    <w:rsid w:val="006E705B"/>
    <w:rsid w:val="00704443"/>
    <w:rsid w:val="0073552D"/>
    <w:rsid w:val="00794551"/>
    <w:rsid w:val="0079596E"/>
    <w:rsid w:val="007C4BBA"/>
    <w:rsid w:val="007E1622"/>
    <w:rsid w:val="00870E7E"/>
    <w:rsid w:val="00894B59"/>
    <w:rsid w:val="008B6A31"/>
    <w:rsid w:val="008C55DF"/>
    <w:rsid w:val="008C71FB"/>
    <w:rsid w:val="00916407"/>
    <w:rsid w:val="009514CC"/>
    <w:rsid w:val="0099306F"/>
    <w:rsid w:val="009B3F8B"/>
    <w:rsid w:val="00A31A8A"/>
    <w:rsid w:val="00A31C3B"/>
    <w:rsid w:val="00A81D1D"/>
    <w:rsid w:val="00AD73A5"/>
    <w:rsid w:val="00AE5523"/>
    <w:rsid w:val="00AE72EB"/>
    <w:rsid w:val="00AF080F"/>
    <w:rsid w:val="00B4235B"/>
    <w:rsid w:val="00BD629A"/>
    <w:rsid w:val="00BE3F7F"/>
    <w:rsid w:val="00C01211"/>
    <w:rsid w:val="00C50E1F"/>
    <w:rsid w:val="00C51253"/>
    <w:rsid w:val="00C73625"/>
    <w:rsid w:val="00C9419D"/>
    <w:rsid w:val="00CB60D8"/>
    <w:rsid w:val="00D45949"/>
    <w:rsid w:val="00D63EC6"/>
    <w:rsid w:val="00D72011"/>
    <w:rsid w:val="00D90C1B"/>
    <w:rsid w:val="00DA06D6"/>
    <w:rsid w:val="00DE225F"/>
    <w:rsid w:val="00DF2489"/>
    <w:rsid w:val="00E067E9"/>
    <w:rsid w:val="00E5301D"/>
    <w:rsid w:val="00E56DC3"/>
    <w:rsid w:val="00E842D1"/>
    <w:rsid w:val="00E95285"/>
    <w:rsid w:val="00EC24AF"/>
    <w:rsid w:val="00EE5EC9"/>
    <w:rsid w:val="00F44BD0"/>
    <w:rsid w:val="00F73393"/>
    <w:rsid w:val="00F81A68"/>
    <w:rsid w:val="00FA342D"/>
    <w:rsid w:val="00FA5FF0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38B2F"/>
  <w14:defaultImageDpi w14:val="0"/>
  <w15:docId w15:val="{03CE7DF4-F266-4278-846D-F209AA61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0F24EF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Vilčeková Lada Ing.</dc:creator>
  <cp:keywords/>
  <dc:description/>
  <cp:lastModifiedBy>Vilčeková Lada Ing.</cp:lastModifiedBy>
  <cp:revision>3</cp:revision>
  <cp:lastPrinted>2000-06-20T10:00:00Z</cp:lastPrinted>
  <dcterms:created xsi:type="dcterms:W3CDTF">2024-05-03T06:51:00Z</dcterms:created>
  <dcterms:modified xsi:type="dcterms:W3CDTF">2024-05-03T06:56:00Z</dcterms:modified>
</cp:coreProperties>
</file>