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5572760</wp:posOffset>
                </wp:positionH>
                <wp:positionV relativeFrom="paragraph">
                  <wp:posOffset>508000</wp:posOffset>
                </wp:positionV>
                <wp:extent cx="597535" cy="1282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2024003317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8.80000000000001pt;margin-top:40.pt;width:47.050000000000004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2024003317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CharStyle32"/>
        </w:rPr>
        <w:t>fflHlIIIIHI</w:t>
      </w:r>
      <w:bookmarkEnd w:id="0"/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r>
        <w:rPr>
          <w:rStyle w:val="CharStyle37"/>
          <w:b/>
          <w:bCs/>
        </w:rPr>
        <w:t>KUPNÍ SMLOUVA</w:t>
      </w:r>
      <w:bookmarkEnd w:id="2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rStyle w:val="CharStyle20"/>
        </w:rPr>
        <w:t>podle ustanovení § 2079 a násl. zákona č. 89/2012 Sb., občanský zákoník,</w:t>
        <w:br/>
        <w:t>uzavřená mezi</w:t>
      </w:r>
    </w:p>
    <w:tbl>
      <w:tblPr>
        <w:tblOverlap w:val="never"/>
        <w:jc w:val="center"/>
        <w:tblLayout w:type="fixed"/>
      </w:tblPr>
      <w:tblGrid>
        <w:gridCol w:w="2635"/>
        <w:gridCol w:w="5846"/>
      </w:tblGrid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MUDr. Hana Albrechtová, ředitelka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rStyle w:val="CharStyle42"/>
                <w:spacing w:val="1"/>
                <w:shd w:val="clear" w:color="auto" w:fill="000000"/>
              </w:rPr>
              <w:t>..</w:t>
            </w:r>
            <w:r>
              <w:rPr>
                <w:rStyle w:val="CharStyle42"/>
                <w:spacing w:val="2"/>
                <w:shd w:val="clear" w:color="auto" w:fill="000000"/>
              </w:rPr>
              <w:t>....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2"/>
                <w:shd w:val="clear" w:color="auto" w:fill="000000"/>
              </w:rPr>
              <w:t>........</w:t>
            </w:r>
            <w:r>
              <w:rPr>
                <w:rStyle w:val="CharStyle42"/>
                <w:spacing w:val="3"/>
                <w:shd w:val="clear" w:color="auto" w:fill="000000"/>
              </w:rPr>
              <w:t>......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2"/>
                <w:shd w:val="clear" w:color="auto" w:fill="000000"/>
              </w:rPr>
              <w:t>.</w:t>
            </w:r>
            <w:r>
              <w:rPr>
                <w:rStyle w:val="CharStyle42"/>
                <w:spacing w:val="3"/>
                <w:shd w:val="clear" w:color="auto" w:fill="000000"/>
              </w:rPr>
              <w:t>.............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4"/>
                <w:shd w:val="clear" w:color="auto" w:fill="000000"/>
              </w:rPr>
              <w:t>......</w:t>
            </w:r>
            <w:r>
              <w:rPr>
                <w:rStyle w:val="CharStyle42"/>
                <w:spacing w:val="5"/>
                <w:shd w:val="clear" w:color="auto" w:fill="000000"/>
              </w:rPr>
              <w:t>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3"/>
                <w:shd w:val="clear" w:color="auto" w:fill="000000"/>
              </w:rPr>
              <w:t>.</w:t>
            </w:r>
            <w:r>
              <w:rPr>
                <w:rStyle w:val="CharStyle42"/>
                <w:spacing w:val="4"/>
                <w:shd w:val="clear" w:color="auto" w:fill="000000"/>
              </w:rPr>
              <w:t>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3"/>
                <w:shd w:val="clear" w:color="auto" w:fill="000000"/>
              </w:rPr>
              <w:t>.</w:t>
            </w:r>
            <w:r>
              <w:rPr>
                <w:rStyle w:val="CharStyle42"/>
                <w:spacing w:val="4"/>
                <w:shd w:val="clear" w:color="auto" w:fill="000000"/>
              </w:rPr>
              <w:t>.......</w:t>
            </w:r>
            <w:r>
              <w:rPr>
                <w:rStyle w:val="CharStyle42"/>
                <w:u w:val="single"/>
                <w:shd w:val="clear" w:color="auto" w:fill="000000"/>
              </w:rPr>
              <w:t>​</w:t>
            </w:r>
            <w:r>
              <w:rPr>
                <w:rStyle w:val="CharStyle42"/>
                <w:spacing w:val="2"/>
                <w:u w:val="single"/>
                <w:shd w:val="clear" w:color="auto" w:fill="000000"/>
              </w:rPr>
              <w:t>......</w:t>
            </w:r>
            <w:r>
              <w:rPr>
                <w:rStyle w:val="CharStyle42"/>
                <w:spacing w:val="3"/>
                <w:u w:val="single"/>
                <w:shd w:val="clear" w:color="auto" w:fill="000000"/>
              </w:rPr>
              <w:t>.......</w:t>
            </w:r>
            <w:r>
              <w:rPr>
                <w:rStyle w:val="CharStyle42"/>
                <w:u w:val="single"/>
                <w:shd w:val="clear" w:color="auto" w:fill="000000"/>
              </w:rPr>
              <w:t>​</w:t>
            </w:r>
            <w:r>
              <w:rPr>
                <w:rStyle w:val="CharStyle42"/>
                <w:spacing w:val="5"/>
                <w:u w:val="single"/>
                <w:shd w:val="clear" w:color="auto" w:fill="000000"/>
              </w:rPr>
              <w:t>...</w:t>
            </w:r>
            <w:r>
              <w:rPr>
                <w:rStyle w:val="CharStyle42"/>
                <w:spacing w:val="6"/>
                <w:u w:val="single"/>
                <w:shd w:val="clear" w:color="auto" w:fill="000000"/>
              </w:rPr>
              <w:t>.</w:t>
            </w:r>
            <w:r>
              <w:rPr>
                <w:rStyle w:val="CharStyle42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CharStyle42"/>
                <w:spacing w:val="3"/>
                <w:u w:val="single"/>
                <w:shd w:val="clear" w:color="auto" w:fill="000000"/>
              </w:rPr>
              <w:t>..</w:t>
            </w:r>
            <w:r>
              <w:rPr>
                <w:rStyle w:val="CharStyle42"/>
                <w:shd w:val="clear" w:color="auto" w:fill="000000"/>
              </w:rPr>
              <w:t>..​</w:t>
            </w:r>
            <w:r>
              <w:rPr>
                <w:rStyle w:val="CharStyle42"/>
                <w:spacing w:val="6"/>
                <w:shd w:val="clear" w:color="auto" w:fill="000000"/>
              </w:rPr>
              <w:t>...</w:t>
            </w:r>
            <w:r>
              <w:rPr>
                <w:rStyle w:val="CharStyle42"/>
                <w:spacing w:val="7"/>
                <w:shd w:val="clear" w:color="auto" w:fill="000000"/>
              </w:rPr>
              <w:t>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1"/>
                <w:shd w:val="clear" w:color="auto" w:fill="000000"/>
              </w:rPr>
              <w:t>........</w:t>
            </w:r>
            <w:r>
              <w:rPr>
                <w:rStyle w:val="CharStyle42"/>
              </w:rPr>
              <w:t xml:space="preserve"> </w:t>
            </w:r>
            <w:r>
              <w:rPr>
                <w:rStyle w:val="CharStyle42"/>
                <w:shd w:val="clear" w:color="auto" w:fill="000000"/>
              </w:rPr>
              <w:t>​....</w:t>
            </w:r>
            <w:r>
              <w:rPr>
                <w:rStyle w:val="CharStyle42"/>
                <w:spacing w:val="1"/>
                <w:shd w:val="clear" w:color="auto" w:fill="000000"/>
              </w:rPr>
              <w:t>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6"/>
                <w:shd w:val="clear" w:color="auto" w:fill="000000"/>
              </w:rPr>
              <w:t>.....</w:t>
            </w:r>
            <w:r>
              <w:rPr>
                <w:rStyle w:val="CharStyle42"/>
                <w:spacing w:val="7"/>
                <w:shd w:val="clear" w:color="auto" w:fill="000000"/>
              </w:rPr>
              <w:t>.</w:t>
            </w:r>
            <w:r>
              <w:rPr>
                <w:rStyle w:val="CharStyle42"/>
                <w:shd w:val="clear" w:color="auto" w:fill="000000"/>
              </w:rPr>
              <w:t>​...</w:t>
            </w:r>
            <w:r>
              <w:rPr>
                <w:rStyle w:val="CharStyle42"/>
                <w:spacing w:val="1"/>
                <w:shd w:val="clear" w:color="auto" w:fill="000000"/>
              </w:rPr>
              <w:t>...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IČO: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DIČ: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Zápis v OR.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00346292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CZ00346292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Krajský soud v Brně sp. zn. Pr 1245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MONETA Money Bank, a.s., č. ú. 117203514/0600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39"/>
        </w:rPr>
        <w:t xml:space="preserve">(dále jen </w:t>
      </w:r>
      <w:r>
        <w:rPr>
          <w:rStyle w:val="CharStyle39"/>
          <w:b/>
          <w:bCs/>
          <w:i/>
          <w:iCs/>
        </w:rPr>
        <w:t>„kupující )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35"/>
        <w:gridCol w:w="5842"/>
      </w:tblGrid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čl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MEDIPRAX CB s.r.o.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Husova tř. 1858/43, 370 05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Ing. Jan Mach, jednatel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I</w:t>
            </w:r>
            <w:r>
              <w:rPr>
                <w:rStyle w:val="CharStyle42"/>
                <w:shd w:val="clear" w:color="auto" w:fill="000000"/>
              </w:rPr>
              <w:t>....</w:t>
            </w:r>
            <w:r>
              <w:rPr>
                <w:rStyle w:val="CharStyle42"/>
                <w:spacing w:val="1"/>
                <w:shd w:val="clear" w:color="auto" w:fill="000000"/>
              </w:rPr>
              <w:t>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6"/>
                <w:shd w:val="clear" w:color="auto" w:fill="000000"/>
              </w:rPr>
              <w:t>..</w:t>
            </w:r>
            <w:r>
              <w:rPr>
                <w:rStyle w:val="CharStyle42"/>
                <w:spacing w:val="7"/>
                <w:shd w:val="clear" w:color="auto" w:fill="000000"/>
              </w:rPr>
              <w:t>....</w:t>
            </w:r>
            <w:r>
              <w:rPr>
                <w:rStyle w:val="CharStyle42"/>
                <w:shd w:val="clear" w:color="auto" w:fill="000000"/>
              </w:rPr>
              <w:t>​</w:t>
            </w:r>
            <w:r>
              <w:rPr>
                <w:rStyle w:val="CharStyle42"/>
                <w:spacing w:val="5"/>
                <w:shd w:val="clear" w:color="auto" w:fill="000000"/>
              </w:rPr>
              <w:t>.......</w:t>
            </w:r>
            <w:r>
              <w:rPr>
                <w:rStyle w:val="CharStyle42"/>
                <w:spacing w:val="6"/>
                <w:shd w:val="clear" w:color="auto" w:fill="000000"/>
              </w:rPr>
              <w:t>.</w:t>
            </w:r>
          </w:p>
        </w:tc>
      </w:tr>
      <w:tr>
        <w:trPr>
          <w:trHeight w:val="7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IČO: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DIČ: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63886731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CZ63886731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Krajský soud v Českých Budějovicích sp. ze. C 5633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ČSOB České Budějovice, č. ú. 712046453/0300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39"/>
        </w:rPr>
        <w:t xml:space="preserve">(dále jen </w:t>
      </w:r>
      <w:r>
        <w:rPr>
          <w:rStyle w:val="CharStyle39"/>
          <w:b/>
          <w:bCs/>
          <w:i/>
          <w:iCs/>
        </w:rPr>
        <w:t>„prodávající )</w:t>
      </w:r>
    </w:p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40"/>
        <w:ind w:left="0" w:right="0" w:firstLine="0"/>
        <w:jc w:val="both"/>
      </w:pPr>
      <w:r>
        <w:rPr>
          <w:rStyle w:val="CharStyle3"/>
        </w:rPr>
        <w:t>Prodávající je oprávněn na základě svého vlastnického práva nakládat s tímto zbožím: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rStyle w:val="CharStyle3"/>
          <w:b/>
          <w:bCs/>
        </w:rPr>
        <w:t>4 ks přístroje pro umělou plicni ventilaci - lehký.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400"/>
        <w:jc w:val="both"/>
      </w:pPr>
      <w:r>
        <w:rPr>
          <w:rStyle w:val="CharStyle3"/>
        </w:rPr>
        <w:t>Bližší specifikace tohoto zboží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zboží podle čl. 1 této smlouvy je instalace zboží, jeho uvedení do provozu a zaškolení obsluhy v místě splnění tohoto závazku, kterým je sídlo kupujícího podle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307" w:lineRule="auto"/>
        <w:ind w:left="400" w:right="0" w:hanging="400"/>
        <w:jc w:val="both"/>
      </w:pPr>
      <w:r>
        <w:rPr>
          <w:rStyle w:val="CharStyle3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 shodě a návodu k obsluze, to vše v českém jazyce. Součástí dodávky zboží podle článku 1 této smlouvy je rovněž provádění bezpečnostně technických kontrol po dobu záruční lhůty dle čl. 8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314" w:lineRule="auto"/>
        <w:ind w:left="400" w:right="0" w:hanging="40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31. 10. 2024. </w:t>
      </w:r>
      <w:r>
        <w:rPr>
          <w:rStyle w:val="CharStyle3"/>
        </w:rPr>
        <w:t>Závazek prodávajícího k dodání zboží podle čl. 1 této smlouvy se pak považuje za splněný po instalaci zboží, jeho uvedení do provozu a zaškolení obsluhy dnem předání a převzetí tohoto zboží formou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line="314" w:lineRule="auto"/>
        <w:ind w:left="380" w:right="0" w:hanging="38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2" w:val="left"/>
        </w:tabs>
        <w:bidi w:val="0"/>
        <w:spacing w:before="0" w:after="100"/>
        <w:ind w:left="380" w:right="0" w:hanging="380"/>
        <w:jc w:val="both"/>
      </w:pPr>
      <w:r>
        <w:rPr>
          <w:rStyle w:val="CharStyle3"/>
        </w:rPr>
        <w:t>Kupující se zavazuje zaplatit prodávajícímu za předmět koupě a prodeje podle čl. 1 této smlouvy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14" w:lineRule="auto"/>
        <w:ind w:left="0" w:right="0" w:firstLine="0"/>
        <w:jc w:val="center"/>
      </w:pPr>
      <w:r>
        <w:rPr>
          <w:rStyle w:val="CharStyle3"/>
        </w:rPr>
        <w:t>370.220,- Kč bez DPH, tj. 447.966,20 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38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314" w:lineRule="auto"/>
        <w:ind w:left="380" w:right="0" w:hanging="380"/>
        <w:jc w:val="both"/>
      </w:pPr>
      <w:r>
        <w:rPr>
          <w:rStyle w:val="CharStyle3"/>
        </w:rPr>
        <w:t xml:space="preserve"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color w:val="29619E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P24V00001208 </w:t>
      </w:r>
      <w:r>
        <w:rPr>
          <w:rStyle w:val="CharStyle3"/>
        </w:rPr>
        <w:t xml:space="preserve">a název projektu </w:t>
      </w:r>
      <w:r>
        <w:rPr>
          <w:rStyle w:val="CharStyle3"/>
          <w:b/>
          <w:bCs/>
        </w:rPr>
        <w:t xml:space="preserve">„Přístroje pro umělou plicní ventilaci, 4 ks“.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 xml:space="preserve">S převodem zboží podle čl. 1 této smlouvy je spojena záruka za jeho jakost v trvání nejméně </w:t>
      </w:r>
      <w:r>
        <w:rPr>
          <w:rStyle w:val="CharStyle3"/>
          <w:b/>
          <w:bCs/>
        </w:rPr>
        <w:t xml:space="preserve">24 měsíců. </w:t>
      </w:r>
      <w:r>
        <w:rPr>
          <w:rStyle w:val="CharStyle3"/>
        </w:rPr>
        <w:t>V rámci této záruky se prodávající zavazuje odstraňovat vady na zboží podle čl. 1 této smlouvy ve lhůtě do 48 hodin od doručení příslušné reklamace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314" w:lineRule="auto"/>
        <w:ind w:left="380" w:right="0" w:hanging="38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obé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314" w:lineRule="auto"/>
        <w:ind w:left="380" w:right="0" w:hanging="380"/>
        <w:jc w:val="both"/>
      </w:pPr>
      <w:r>
        <w:rPr>
          <w:rStyle w:val="CharStyle3"/>
        </w:rPr>
        <w:t>Nepřikročí-li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314" w:lineRule="auto"/>
        <w:ind w:left="380" w:right="0" w:hanging="380"/>
        <w:jc w:val="both"/>
      </w:pPr>
      <w:r>
        <w:rPr>
          <w:rStyle w:val="CharStyle3"/>
        </w:rPr>
        <w:t>Pro případ prodlení prodávající se splněním jeho závazku k dodání zboží ve lhůtě podle čl. 4 této smlouvy, pro případ prodlení prodávajícího se splněním jeho závazku k provedení tzv. bezpečnostně-technické kontroly dle č. 3 této smlouvy ve lhůtě dle příslušného právního předpisu, a pro případ prodlení prodávajícího s odstraněním reklamované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2 týdny je kupující oprávněn odstoupit od této smlouvy s účinky ex tunc, přičemž nárok na zaplacení smluvní pokuty dle čl. 11. nezaniká. Stejné právo má kupující, vyskytne-li se v době záruky za jakost podle čl. 8 této smlouvy na zboží podle čl. 1 této smlouvy neodstranitelná vada nebo tři a více vad, a i to postupně.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319" w:lineRule="auto"/>
        <w:ind w:left="38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317" w:lineRule="auto"/>
        <w:ind w:left="38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ust. § 2079 a násl. občanského zákoníku. Obě strany přitom vylučují použití ust. §1917 až 1918, §1920 až 1922, §1924, § 2099 až 2101, § 2103 až 2105 občanského zákoníku a také obchodních zvyklostí, které jsou svým smyslem nebo účinky totožné nebo obdobné s uvedenými ustanoveními, na jejich právní vztah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20"/>
        <w:ind w:left="380" w:right="0" w:hanging="380"/>
        <w:jc w:val="left"/>
      </w:pPr>
      <w:r>
        <w:rPr>
          <w:rStyle w:val="CharStyle3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21 této smlouvy. Kupující přitom předem vylučuje přijetí tohoto návrhu s dodatkem nebo odchylkou ve smyslu ustanovení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20" w:line="307" w:lineRule="auto"/>
        <w:ind w:left="380" w:right="0" w:hanging="380"/>
        <w:jc w:val="left"/>
      </w:pPr>
      <w:r>
        <w:rPr>
          <w:rStyle w:val="CharStyle3"/>
        </w:rPr>
        <w:t>Jakékoliv pohledávky vzniklé z této smlouvy smí být postoupeny třetí straně jen s písemným souhlasem kupujícího.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20"/>
        <w:ind w:left="380" w:right="0" w:hanging="380"/>
        <w:jc w:val="left"/>
      </w:pPr>
      <w:r>
        <w:rPr>
          <w:rStyle w:val="CharStyle3"/>
        </w:rPr>
        <w:t>Tuto smlouvu lze změnit nebo zrušit pouze písemnými číslovanými dodatky podepsanými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20" w:line="310" w:lineRule="auto"/>
        <w:ind w:left="380" w:right="0" w:hanging="380"/>
        <w:jc w:val="left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20"/>
        <w:ind w:left="380" w:right="0" w:hanging="380"/>
        <w:jc w:val="left"/>
      </w:pPr>
      <w:r>
        <w:rPr>
          <w:rStyle w:val="CharStyle3"/>
        </w:rPr>
        <w:t>Tato smlouva nabývá platnosti okamžikem jejího podpisu oběma smluvními stranami a účinnosti dnem jejího uveřejnění v registru smluv dle čl. 19.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20"/>
        <w:ind w:left="380" w:right="0" w:hanging="380"/>
        <w:jc w:val="left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0" w:line="307" w:lineRule="auto"/>
        <w:ind w:left="380" w:right="0" w:hanging="38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722" w:right="1502" w:bottom="1546" w:left="1628" w:header="294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600710" distL="0" distR="0" simplePos="0" relativeHeight="125829380" behindDoc="0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444500</wp:posOffset>
                </wp:positionV>
                <wp:extent cx="1844040" cy="5607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404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144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4772CE"/>
                              </w:rPr>
                              <w:t>7ác</w:t>
                            </w:r>
                            <w:r>
                              <w:rPr>
                                <w:rStyle w:val="CharStyle3"/>
                                <w:color w:val="4772CE"/>
                                <w:vertAlign w:val="superscript"/>
                              </w:rPr>
                              <w:t>í,</w:t>
                            </w:r>
                            <w:r>
                              <w:rPr>
                                <w:rStyle w:val="CharStyle3"/>
                                <w:color w:val="4772CE"/>
                              </w:rPr>
                              <w:t>H</w:t>
                            </w:r>
                            <w:r>
                              <w:rPr>
                                <w:rStyle w:val="CharStyle3"/>
                                <w:color w:val="4772CE"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Style w:val="CharStyle3"/>
                                <w:color w:val="4772CE"/>
                              </w:rPr>
                              <w:t>i</w:t>
                            </w:r>
                            <w:r>
                              <w:rPr>
                                <w:rStyle w:val="CharStyle3"/>
                                <w:color w:val="4772CE"/>
                                <w:vertAlign w:val="superscript"/>
                              </w:rPr>
                              <w:t>niS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....................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both"/>
                            </w:pP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color w:val="4772CE"/>
                              </w:rPr>
                              <w:t>nice 798/lřd, 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6.350000000000009pt;margin-top:35.pt;width:145.20000000000002pt;height:44.149999999999999pt;z-index:-125829373;mso-wrap-distance-left:0;mso-wrap-distance-top:35.pt;mso-wrap-distance-right:0;mso-wrap-distance-bottom:47.3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1440" w:right="0" w:firstLine="0"/>
                        <w:jc w:val="left"/>
                      </w:pPr>
                      <w:r>
                        <w:rPr>
                          <w:rStyle w:val="CharStyle3"/>
                          <w:color w:val="4772CE"/>
                        </w:rPr>
                        <w:t>7ác</w:t>
                      </w:r>
                      <w:r>
                        <w:rPr>
                          <w:rStyle w:val="CharStyle3"/>
                          <w:color w:val="4772CE"/>
                          <w:vertAlign w:val="superscript"/>
                        </w:rPr>
                        <w:t>í,</w:t>
                      </w:r>
                      <w:r>
                        <w:rPr>
                          <w:rStyle w:val="CharStyle3"/>
                          <w:color w:val="4772CE"/>
                        </w:rPr>
                        <w:t>H</w:t>
                      </w:r>
                      <w:r>
                        <w:rPr>
                          <w:rStyle w:val="CharStyle3"/>
                          <w:color w:val="4772CE"/>
                          <w:vertAlign w:val="superscript"/>
                        </w:rPr>
                        <w:t>,</w:t>
                      </w:r>
                      <w:r>
                        <w:rPr>
                          <w:rStyle w:val="CharStyle3"/>
                          <w:color w:val="4772CE"/>
                        </w:rPr>
                        <w:t>i</w:t>
                      </w:r>
                      <w:r>
                        <w:rPr>
                          <w:rStyle w:val="CharStyle3"/>
                          <w:color w:val="4772CE"/>
                          <w:vertAlign w:val="superscript"/>
                        </w:rPr>
                        <w:t>niS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left"/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....................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both"/>
                      </w:pP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4772CE"/>
                        </w:rPr>
                        <w:t>nice 798/lřd, 625 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2915" distB="966470" distL="0" distR="0" simplePos="0" relativeHeight="125829382" behindDoc="0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462915</wp:posOffset>
                </wp:positionV>
                <wp:extent cx="1877695" cy="17653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Č. Budějovicích dne 25. 4. 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3.40000000000003pt;margin-top:36.450000000000003pt;width:147.84999999999999pt;height:13.9pt;z-index:-125829371;mso-wrap-distance-left:0;mso-wrap-distance-top:36.450000000000003pt;mso-wrap-distance-right:0;mso-wrap-distance-bottom:76.1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Č. Budějovicích dne 25. 4.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099820" distB="73025" distL="0" distR="0" simplePos="0" relativeHeight="125829384" behindDoc="0" locked="0" layoutInCell="1" allowOverlap="1">
            <wp:simplePos x="0" y="0"/>
            <wp:positionH relativeFrom="page">
              <wp:posOffset>1127125</wp:posOffset>
            </wp:positionH>
            <wp:positionV relativeFrom="paragraph">
              <wp:posOffset>1099820</wp:posOffset>
            </wp:positionV>
            <wp:extent cx="1694815" cy="43307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694815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09930" distB="5715" distL="0" distR="0" simplePos="0" relativeHeight="125829385" behindDoc="0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709930</wp:posOffset>
                </wp:positionV>
                <wp:extent cx="1182370" cy="8902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890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.......​</w:t>
                            </w:r>
                            <w:r>
                              <w:rPr>
                                <w:rStyle w:val="CharStyle13"/>
                                <w:spacing w:val="2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3"/>
                                <w:spacing w:val="2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</w:rPr>
                              <w:t xml:space="preserve"> </w:t>
                            </w:r>
                            <w:r>
                              <w:rPr>
                                <w:rStyle w:val="CharStyle1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spacing w:val="1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spacing w:val="14"/>
                                <w:shd w:val="clear" w:color="auto" w:fill="000000"/>
                              </w:rPr>
                              <w:t>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6.75pt;margin-top:55.899999999999999pt;width:93.100000000000009pt;height:70.100000000000009pt;z-index:-125829368;mso-wrap-distance-left:0;mso-wrap-distance-top:55.899999999999999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shd w:val="clear" w:color="auto" w:fill="000000"/>
                        </w:rPr>
                        <w:t>.......​</w:t>
                      </w:r>
                      <w:r>
                        <w:rPr>
                          <w:rStyle w:val="CharStyle13"/>
                          <w:spacing w:val="2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3"/>
                          <w:spacing w:val="2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</w:rPr>
                        <w:t xml:space="preserve"> </w:t>
                      </w:r>
                      <w:r>
                        <w:rPr>
                          <w:rStyle w:val="CharStyle1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spacing w:val="1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spacing w:val="14"/>
                          <w:shd w:val="clear" w:color="auto" w:fill="000000"/>
                        </w:rPr>
                        <w:t>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8340" distB="0" distL="0" distR="0" simplePos="0" relativeHeight="125829387" behindDoc="0" locked="0" layoutInCell="1" allowOverlap="1">
                <wp:simplePos x="0" y="0"/>
                <wp:positionH relativeFrom="page">
                  <wp:posOffset>5592445</wp:posOffset>
                </wp:positionH>
                <wp:positionV relativeFrom="paragraph">
                  <wp:posOffset>688340</wp:posOffset>
                </wp:positionV>
                <wp:extent cx="1155065" cy="91757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065" cy="917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0"/>
                                <w:spacing w:val="4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20"/>
                              </w:rPr>
                              <w:t xml:space="preserve"> 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20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​.......​</w:t>
                            </w:r>
                            <w:r>
                              <w:rPr>
                                <w:rStyle w:val="CharStyle20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0"/>
                                <w:spacing w:val="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0"/>
                              </w:rPr>
                              <w:t xml:space="preserve"> 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0"/>
                                <w:spacing w:val="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20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0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​..................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20"/>
                                <w:spacing w:val="4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20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20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0"/>
                                <w:spacing w:val="-1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0"/>
                                <w:spacing w:val="9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0.35000000000002pt;margin-top:54.200000000000003pt;width:90.950000000000003pt;height:72.25pt;z-index:-125829366;mso-wrap-distance-left:0;mso-wrap-distance-top:54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0"/>
                          <w:spacing w:val="4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20"/>
                        </w:rPr>
                        <w:t xml:space="preserve"> 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20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​.......​</w:t>
                      </w:r>
                      <w:r>
                        <w:rPr>
                          <w:rStyle w:val="CharStyle20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0"/>
                          <w:spacing w:val="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0"/>
                        </w:rPr>
                        <w:t xml:space="preserve"> 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0"/>
                          <w:spacing w:val="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20"/>
                          <w:spacing w:val="6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0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​..................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0"/>
                          <w:spacing w:val="4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20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20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0"/>
                          <w:spacing w:val="-1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0"/>
                          <w:spacing w:val="9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12700</wp:posOffset>
                </wp:positionV>
                <wp:extent cx="798830" cy="50609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Ing. Jan Mach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2.65000000000003pt;margin-top:1.pt;width:62.899999999999999pt;height:39.85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Jan Mach jednatel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/>
        <w:ind w:left="0" w:right="0" w:firstLine="140"/>
        <w:jc w:val="left"/>
      </w:pPr>
      <w:r>
        <w:rPr>
          <w:rStyle w:val="CharStyle3"/>
          <w:b/>
          <w:bCs/>
        </w:rPr>
        <w:t>Kupující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20"/>
        </w:rPr>
        <w:t>Příloha č. 1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4" w:name="bookmark4"/>
      <w:r>
        <w:rPr>
          <w:rStyle w:val="CharStyle37"/>
          <w:b/>
          <w:bCs/>
        </w:rPr>
        <w:t>SPECIFIKACE</w:t>
      </w:r>
      <w:bookmarkEnd w:id="4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20"/>
          <w:i/>
          <w:iCs/>
        </w:rPr>
        <w:t>Transportní ventilátor pro sanitní vozidla RLP, RZP a LZS a vrtulník ZS s požadovaným vybavením.</w:t>
      </w:r>
    </w:p>
    <w:tbl>
      <w:tblPr>
        <w:tblOverlap w:val="never"/>
        <w:jc w:val="center"/>
        <w:tblLayout w:type="fixed"/>
      </w:tblPr>
      <w:tblGrid>
        <w:gridCol w:w="3797"/>
        <w:gridCol w:w="4925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2"/>
                <w:sz w:val="19"/>
                <w:szCs w:val="19"/>
              </w:rPr>
              <w:t>MEDUMAT Easy CPR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2"/>
                <w:sz w:val="19"/>
                <w:szCs w:val="19"/>
              </w:rPr>
              <w:t>Weinmann EMT, Hamburk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61"/>
        <w:gridCol w:w="4843"/>
        <w:gridCol w:w="3432"/>
      </w:tblGrid>
      <w:tr>
        <w:trPr>
          <w:trHeight w:val="42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Účastníkem nabízená hodnota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Malý snadno ovladatelný transportní ventilátor zaručující bezpečnou ventilaci. Hlasové pokyny navádějí obsluhu krok za krokem během plicní ventilace či kardiopulmonální resuscitace. V režimu "Demand-flow" pro inhalaci kyslíku.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Přítomnost režimu CPR při poskytování kardiopulmonální resuscitace (KPR). Ventilátor hlasovými pokyny vyzývá ke stlačování hrudníku (správnou rychlost udává metronom) a k podání vdechů.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Bezpečný a snadno ovladatelný.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Malý a lehký.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Jasné, stručné a zřetelné hlasové pokyny dostupné v několika jazycích vedou během ventilace a KP.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Akustické a vizuální alarmy.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Vhodné pro použití při KPR.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V režimu CPR se lze rozhodnout, kdy bude pacient ventilován.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Intuitivní ovládání.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Možnost rozšíření pomocí modulového systému.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Metronom zajišťuje správnou frekvenci kompresí při KPR.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Maximální ventilační tlak lze nastavit na 20 nebo 45 mbar.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Bezpečné nastavení ventilačních parametrů.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Kruhová stupnice pro dechový objem a frekvenci.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</w:pPr>
            <w:r>
              <w:rPr>
                <w:rStyle w:val="CharStyle42"/>
                <w:rFonts w:ascii="Courier New" w:eastAsia="Courier New" w:hAnsi="Courier New" w:cs="Courier New"/>
                <w:smallCaps/>
                <w:sz w:val="28"/>
                <w:szCs w:val="28"/>
              </w:rPr>
              <w:t>Ano</w:t>
            </w:r>
            <w:r>
              <w:rPr>
                <w:rStyle w:val="CharStyle42"/>
              </w:rPr>
              <w:t xml:space="preserve"> r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Bezúdržbové lithiové baterie s minimální životností 2 roky (bez potřeby nabíjení).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Není poháněn kyslíkem (není spotřeba kyslíku).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Optimalizovaná spotřeba kyslíku v Demand-flow režimu: patient dostává kyslík během nádechu, při výdechu nedochází k úniku kyslíku.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Režim ventilace nebo inhalace.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Parametry řízené ventilace (IPPV) se snadno nastavují pomocí jednoho otočného knoflíku.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Možnost připojení PEEP ventilu.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Režimy: IPPV, inhalace kyslíku, podpora KPR.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Rozměr (Š x V x H): 100 x 145 x 90 mm.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Hmotnost: cca 0,6.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Provozní teplota: -18°C až +60°C.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Skladovací teplota: -40°C až -70°C.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Provozní tlak: 2,7 až 6 barů.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Dechová frekvence: 10 až 25 /min.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Maximální ventilační tlak (Pmax): 20 nebo 45 mbarů.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"/>
        <w:gridCol w:w="4848"/>
        <w:gridCol w:w="3418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[29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Stupeň vodní ochrany: IPS4.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*30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Třída produktu dle MDD: II b.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Režim inhalace - trigger: menší než 1 mbar.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32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42"/>
                <w:rFonts w:ascii="Times New Roman" w:eastAsia="Times New Roman" w:hAnsi="Times New Roman" w:cs="Times New Roman"/>
                <w:sz w:val="8"/>
                <w:szCs w:val="8"/>
              </w:rPr>
              <w:t>Ji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Režim inhalace - max. průtok: 47 až 52 l/min.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?</w:t>
            </w:r>
            <w:r>
              <w:rPr>
                <w:rStyle w:val="CharStyle42"/>
                <w:b/>
                <w:bCs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Režim inhalace - tlak pro odpojení: 3 mbary.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34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rStyle w:val="CharStyle42"/>
              </w:rPr>
              <w:t>Napájení: 3,6 V; 5,2 Ah, předpokládaná životnost větší než 2 roky.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Dechový objem: 65 až 950 ml.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í 36 'i!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Alarmy: akustické, vizuální, hlasové pokyny - stenóza, rozpojení/apnoe, pokles napájecího tlaku pod 2,7 barů, vybitá baterie/porucha.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|</w:t>
            </w:r>
            <w:r>
              <w:rPr>
                <w:rStyle w:val="CharStyle42"/>
                <w:b/>
                <w:bCs/>
                <w:vertAlign w:val="superscript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</w:rPr>
              <w:t>Možnosti nastavení: deaktivace hlasových pokynů, deaktivace metronomu v CPR režimu, více než 12 jazyků (v závislosti na verzi).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42"/>
                <w:rFonts w:ascii="Times New Roman" w:eastAsia="Times New Roman" w:hAnsi="Times New Roman" w:cs="Times New Roman"/>
                <w:sz w:val="8"/>
                <w:szCs w:val="8"/>
              </w:rPr>
              <w:t>b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38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42"/>
                <w:rFonts w:ascii="Times New Roman" w:eastAsia="Times New Roman" w:hAnsi="Times New Roman" w:cs="Times New Roman"/>
                <w:sz w:val="8"/>
                <w:szCs w:val="8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Potřebná kabeláž.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rFonts w:ascii="Times New Roman" w:eastAsia="Times New Roman" w:hAnsi="Times New Roman" w:cs="Times New Roman"/>
                <w:sz w:val="8"/>
                <w:szCs w:val="8"/>
              </w:rPr>
              <w:t xml:space="preserve">U </w:t>
            </w:r>
            <w:r>
              <w:rPr>
                <w:rStyle w:val="CharStyle42"/>
                <w:b/>
                <w:bCs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Přístroj musí mít schválení pro provoz v ČR.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2"/>
                <w:b/>
                <w:bCs/>
              </w:rPr>
              <w:t>40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Style w:val="CharStyle42"/>
                <w:rFonts w:ascii="Times New Roman" w:eastAsia="Times New Roman" w:hAnsi="Times New Roman" w:cs="Times New Roman"/>
                <w:sz w:val="8"/>
                <w:szCs w:val="8"/>
              </w:rPr>
              <w:t>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Nabídnutý přístroj musí být kompletní a funkční včetně příslušenství.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ANO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929" w:right="1575" w:bottom="1350" w:left="1589" w:header="50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10017125</wp:posOffset>
              </wp:positionV>
              <wp:extent cx="287401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740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34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19-24: Přístroje pro umělou plicni ventilaci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3.350000000000009pt;margin-top:788.75pt;width:226.3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34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19-24: Přístroje pro umělou plicni ventilaci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7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Nadpis #1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34">
    <w:name w:val="Záhlaví nebo zápatí (2)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">
    <w:name w:val="Nadpis #2_"/>
    <w:basedOn w:val="DefaultParagraphFont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39">
    <w:name w:val="Titulek tabulky_"/>
    <w:basedOn w:val="DefaultParagraphFont"/>
    <w:link w:val="Style38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42">
    <w:name w:val="Jiné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31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auto"/>
      <w:spacing w:after="90" w:line="30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1">
    <w:name w:val="Nadpis #1"/>
    <w:basedOn w:val="Normal"/>
    <w:link w:val="CharStyle32"/>
    <w:pPr>
      <w:widowControl w:val="0"/>
      <w:shd w:val="clear" w:color="auto" w:fill="auto"/>
      <w:spacing w:after="2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33">
    <w:name w:val="Záhlaví nebo zápatí (2)"/>
    <w:basedOn w:val="Normal"/>
    <w:link w:val="CharStyle3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6">
    <w:name w:val="Nadpis #2"/>
    <w:basedOn w:val="Normal"/>
    <w:link w:val="CharStyle37"/>
    <w:pPr>
      <w:widowControl w:val="0"/>
      <w:shd w:val="clear" w:color="auto" w:fill="auto"/>
      <w:spacing w:after="2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38">
    <w:name w:val="Titulek tabulky"/>
    <w:basedOn w:val="Normal"/>
    <w:link w:val="CharStyle39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Style41">
    <w:name w:val="Jiné"/>
    <w:basedOn w:val="Normal"/>
    <w:link w:val="CharStyle42"/>
    <w:pPr>
      <w:widowControl w:val="0"/>
      <w:shd w:val="clear" w:color="auto" w:fill="auto"/>
      <w:spacing w:after="200" w:line="31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