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B2B2" w14:textId="61565E85" w:rsidR="004B409A" w:rsidRPr="00AC562D" w:rsidRDefault="00DF19B2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E57965">
        <w:rPr>
          <w:b/>
          <w:snapToGrid w:val="0"/>
          <w:sz w:val="22"/>
          <w:szCs w:val="22"/>
        </w:rPr>
        <w:t>NABÍDKA</w:t>
      </w:r>
      <w:r w:rsidR="0046535F" w:rsidRPr="00E57965">
        <w:rPr>
          <w:b/>
          <w:snapToGrid w:val="0"/>
          <w:sz w:val="22"/>
          <w:szCs w:val="22"/>
        </w:rPr>
        <w:t xml:space="preserve"> NA REALIZACI ŽÁDOSTI</w:t>
      </w:r>
    </w:p>
    <w:p w14:paraId="6FFB187E" w14:textId="262DDF35" w:rsidR="00FF76CD" w:rsidRPr="00E57965" w:rsidRDefault="00FF76CD" w:rsidP="004B409A">
      <w:pPr>
        <w:spacing w:before="120"/>
        <w:jc w:val="center"/>
        <w:rPr>
          <w:b/>
          <w:snapToGrid w:val="0"/>
          <w:sz w:val="22"/>
          <w:szCs w:val="22"/>
        </w:rPr>
      </w:pPr>
      <w:r w:rsidRPr="005C4BEA">
        <w:rPr>
          <w:bCs/>
          <w:snapToGrid w:val="0"/>
          <w:sz w:val="22"/>
          <w:szCs w:val="22"/>
        </w:rPr>
        <w:t>(„</w:t>
      </w:r>
      <w:r w:rsidRPr="005C4BEA">
        <w:rPr>
          <w:b/>
          <w:snapToGrid w:val="0"/>
          <w:sz w:val="22"/>
          <w:szCs w:val="22"/>
        </w:rPr>
        <w:t>Nabídka</w:t>
      </w:r>
      <w:r w:rsidRPr="005C4BEA">
        <w:rPr>
          <w:bCs/>
          <w:snapToGrid w:val="0"/>
          <w:sz w:val="22"/>
          <w:szCs w:val="22"/>
        </w:rPr>
        <w:t>“)</w:t>
      </w:r>
    </w:p>
    <w:p w14:paraId="018E05B9" w14:textId="0A3DA47C" w:rsidR="004B409A" w:rsidRPr="00E57965" w:rsidRDefault="004B409A" w:rsidP="004B409A">
      <w:pPr>
        <w:spacing w:before="360" w:after="360"/>
        <w:jc w:val="center"/>
        <w:rPr>
          <w:bCs/>
          <w:i/>
          <w:sz w:val="22"/>
          <w:szCs w:val="22"/>
        </w:rPr>
      </w:pPr>
      <w:r w:rsidRPr="00E57965">
        <w:rPr>
          <w:bCs/>
          <w:i/>
          <w:sz w:val="22"/>
          <w:szCs w:val="22"/>
        </w:rPr>
        <w:t xml:space="preserve">Věc: </w:t>
      </w:r>
      <w:r w:rsidR="0046535F" w:rsidRPr="00E57965">
        <w:rPr>
          <w:bCs/>
          <w:i/>
          <w:sz w:val="22"/>
          <w:szCs w:val="22"/>
          <w:u w:val="single"/>
        </w:rPr>
        <w:t>Nabídka</w:t>
      </w:r>
      <w:r w:rsidRPr="00E57965">
        <w:rPr>
          <w:bCs/>
          <w:i/>
          <w:sz w:val="22"/>
          <w:szCs w:val="22"/>
          <w:u w:val="single"/>
        </w:rPr>
        <w:t xml:space="preserve"> </w:t>
      </w:r>
      <w:r w:rsidR="0038281F">
        <w:rPr>
          <w:bCs/>
          <w:i/>
          <w:sz w:val="22"/>
          <w:szCs w:val="22"/>
          <w:u w:val="single"/>
        </w:rPr>
        <w:t>DS_2024_0</w:t>
      </w:r>
      <w:r w:rsidR="00883C13">
        <w:rPr>
          <w:bCs/>
          <w:i/>
          <w:sz w:val="22"/>
          <w:szCs w:val="22"/>
          <w:u w:val="single"/>
        </w:rPr>
        <w:t>7</w:t>
      </w:r>
      <w:r w:rsidR="0038281F">
        <w:rPr>
          <w:bCs/>
          <w:i/>
          <w:sz w:val="22"/>
          <w:szCs w:val="22"/>
          <w:u w:val="single"/>
        </w:rPr>
        <w:t xml:space="preserve">_N </w:t>
      </w:r>
      <w:r w:rsidRPr="00E57965">
        <w:rPr>
          <w:i/>
          <w:sz w:val="22"/>
          <w:szCs w:val="22"/>
          <w:u w:val="single"/>
        </w:rPr>
        <w:t xml:space="preserve"> </w:t>
      </w:r>
      <w:r w:rsidRPr="00E57965">
        <w:rPr>
          <w:bCs/>
          <w:i/>
          <w:sz w:val="22"/>
          <w:szCs w:val="22"/>
          <w:u w:val="single"/>
        </w:rPr>
        <w:t xml:space="preserve">na základě </w:t>
      </w:r>
      <w:r w:rsidR="0050104B" w:rsidRPr="00E57965">
        <w:rPr>
          <w:bCs/>
          <w:i/>
          <w:sz w:val="22"/>
          <w:szCs w:val="22"/>
          <w:u w:val="single"/>
        </w:rPr>
        <w:t>Servisní smlouvy o podpoře, nutném rozvoji a</w:t>
      </w:r>
      <w:r w:rsidR="000707C8" w:rsidRPr="00E57965">
        <w:rPr>
          <w:bCs/>
          <w:i/>
          <w:sz w:val="22"/>
          <w:szCs w:val="22"/>
          <w:u w:val="single"/>
        </w:rPr>
        <w:t> </w:t>
      </w:r>
      <w:r w:rsidR="0050104B" w:rsidRPr="00E57965">
        <w:rPr>
          <w:bCs/>
          <w:i/>
          <w:sz w:val="22"/>
          <w:szCs w:val="22"/>
          <w:u w:val="single"/>
        </w:rPr>
        <w:t>ukončení Systému OKaplikace</w:t>
      </w:r>
      <w:r w:rsidR="0050104B" w:rsidRPr="00E57965" w:rsidDel="0050104B">
        <w:rPr>
          <w:bCs/>
          <w:i/>
          <w:sz w:val="22"/>
          <w:szCs w:val="22"/>
          <w:u w:val="single"/>
        </w:rPr>
        <w:t xml:space="preserve"> </w:t>
      </w:r>
    </w:p>
    <w:p w14:paraId="407E4061" w14:textId="77777777" w:rsidR="004B409A" w:rsidRPr="00E57965" w:rsidRDefault="004B409A" w:rsidP="00D42C43">
      <w:pPr>
        <w:tabs>
          <w:tab w:val="left" w:pos="5040"/>
        </w:tabs>
        <w:spacing w:before="240" w:after="240"/>
        <w:ind w:left="-284"/>
        <w:jc w:val="both"/>
        <w:rPr>
          <w:b/>
          <w:bCs/>
          <w:sz w:val="22"/>
          <w:szCs w:val="22"/>
        </w:rPr>
      </w:pPr>
      <w:r w:rsidRPr="00E57965">
        <w:rPr>
          <w:b/>
          <w:bCs/>
          <w:sz w:val="22"/>
          <w:szCs w:val="22"/>
        </w:rPr>
        <w:t>OBJEDNATEL: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4"/>
        <w:gridCol w:w="6493"/>
      </w:tblGrid>
      <w:tr w:rsidR="004B409A" w:rsidRPr="005C4BEA" w14:paraId="1EF51DCE" w14:textId="77777777" w:rsidTr="00665BD9">
        <w:trPr>
          <w:trHeight w:val="397"/>
        </w:trPr>
        <w:tc>
          <w:tcPr>
            <w:tcW w:w="8737" w:type="dxa"/>
            <w:gridSpan w:val="2"/>
            <w:shd w:val="clear" w:color="auto" w:fill="auto"/>
          </w:tcPr>
          <w:p w14:paraId="4678AF97" w14:textId="1069FEBC" w:rsidR="004B409A" w:rsidRPr="00E57965" w:rsidRDefault="00332248" w:rsidP="00E57965">
            <w:pPr>
              <w:tabs>
                <w:tab w:val="left" w:pos="-284"/>
              </w:tabs>
              <w:overflowPunct w:val="0"/>
              <w:autoSpaceDE w:val="0"/>
              <w:autoSpaceDN w:val="0"/>
              <w:adjustRightInd w:val="0"/>
              <w:ind w:left="-284" w:firstLine="284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Česká republika – Ministerstvo práce a sociálních věcí</w:t>
            </w:r>
          </w:p>
        </w:tc>
      </w:tr>
      <w:tr w:rsidR="004B409A" w:rsidRPr="005C4BEA" w14:paraId="4A76EBAC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3C853B88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3" w:type="dxa"/>
            <w:shd w:val="clear" w:color="auto" w:fill="auto"/>
          </w:tcPr>
          <w:p w14:paraId="5E49A61F" w14:textId="4D5E2C24" w:rsidR="004B409A" w:rsidRPr="00E57965" w:rsidRDefault="00D24B6B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Na Poříčním právu 376/1, Nové Město, Praha 2, PSČ 128 01</w:t>
            </w:r>
          </w:p>
        </w:tc>
      </w:tr>
      <w:tr w:rsidR="004B409A" w:rsidRPr="005C4BEA" w14:paraId="161A363B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76F59F3D" w14:textId="77777777" w:rsidR="004B409A" w:rsidRPr="00E57965" w:rsidRDefault="004B409A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3" w:type="dxa"/>
            <w:shd w:val="clear" w:color="auto" w:fill="auto"/>
          </w:tcPr>
          <w:p w14:paraId="47EACF29" w14:textId="5784479A" w:rsidR="004B409A" w:rsidRPr="00E57965" w:rsidRDefault="004A3825" w:rsidP="00E5796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5C4BEA">
              <w:rPr>
                <w:sz w:val="22"/>
                <w:szCs w:val="22"/>
              </w:rPr>
              <w:t>005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51</w:t>
            </w:r>
            <w:r w:rsidR="00E67AC7">
              <w:rPr>
                <w:sz w:val="22"/>
                <w:szCs w:val="22"/>
              </w:rPr>
              <w:t> </w:t>
            </w:r>
            <w:r w:rsidRPr="005C4BEA">
              <w:rPr>
                <w:sz w:val="22"/>
                <w:szCs w:val="22"/>
              </w:rPr>
              <w:t>023</w:t>
            </w:r>
          </w:p>
        </w:tc>
      </w:tr>
      <w:tr w:rsidR="007168DE" w:rsidRPr="005C4BEA" w14:paraId="40A0CA67" w14:textId="77777777" w:rsidTr="00665BD9">
        <w:trPr>
          <w:trHeight w:val="397"/>
        </w:trPr>
        <w:tc>
          <w:tcPr>
            <w:tcW w:w="2244" w:type="dxa"/>
            <w:shd w:val="clear" w:color="auto" w:fill="auto"/>
          </w:tcPr>
          <w:p w14:paraId="51218CF4" w14:textId="66AAADD0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51EED">
              <w:rPr>
                <w:spacing w:val="-1"/>
                <w:sz w:val="22"/>
                <w:szCs w:val="22"/>
              </w:rPr>
              <w:t>zastoupená:</w:t>
            </w:r>
          </w:p>
        </w:tc>
        <w:tc>
          <w:tcPr>
            <w:tcW w:w="6493" w:type="dxa"/>
            <w:shd w:val="clear" w:color="auto" w:fill="auto"/>
          </w:tcPr>
          <w:p w14:paraId="0F8DE17D" w14:textId="77777777" w:rsidR="007168DE" w:rsidRPr="00551EED" w:rsidRDefault="007168DE" w:rsidP="007168DE">
            <w:pPr>
              <w:spacing w:before="8" w:line="100" w:lineRule="exact"/>
              <w:rPr>
                <w:spacing w:val="-1"/>
                <w:sz w:val="22"/>
                <w:szCs w:val="22"/>
              </w:rPr>
            </w:pPr>
          </w:p>
          <w:p w14:paraId="5D9FFCEB" w14:textId="7977674F" w:rsidR="007168DE" w:rsidRPr="00551EED" w:rsidRDefault="0011332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pacing w:val="-1"/>
                <w:sz w:val="22"/>
                <w:szCs w:val="22"/>
              </w:rPr>
              <w:t>, vrchním ředitelem sekce informačních technologií (pro smluvní zálež</w:t>
            </w:r>
            <w:r w:rsidR="00E5330A" w:rsidRPr="00551EED">
              <w:rPr>
                <w:spacing w:val="-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 xml:space="preserve">tosti) </w:t>
            </w:r>
          </w:p>
          <w:p w14:paraId="66387FE9" w14:textId="77777777" w:rsidR="007168DE" w:rsidRPr="00551EED" w:rsidRDefault="007168D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</w:p>
          <w:p w14:paraId="76C29339" w14:textId="0CCF26DD" w:rsidR="007168DE" w:rsidRPr="00551EED" w:rsidRDefault="0011332E" w:rsidP="007168DE">
            <w:pPr>
              <w:pStyle w:val="Default"/>
              <w:jc w:val="both"/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rFonts w:eastAsia="Times New Roman"/>
                <w:color w:val="auto"/>
                <w:spacing w:val="-1"/>
                <w:sz w:val="22"/>
                <w:szCs w:val="22"/>
                <w:lang w:eastAsia="cs-CZ"/>
                <w14:ligatures w14:val="none"/>
              </w:rPr>
              <w:t>, ředitelem odboru správy aplikací ICT (ve (pro oblast věcného plnění)</w:t>
            </w:r>
          </w:p>
          <w:p w14:paraId="0F295B50" w14:textId="745AE214" w:rsidR="007168DE" w:rsidRPr="00551EED" w:rsidRDefault="007168DE" w:rsidP="007168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</w:tr>
    </w:tbl>
    <w:p w14:paraId="514BCC5F" w14:textId="1EBE5167" w:rsidR="004B409A" w:rsidRPr="00E57965" w:rsidRDefault="004B409A" w:rsidP="00E57965">
      <w:pPr>
        <w:tabs>
          <w:tab w:val="left" w:pos="5040"/>
        </w:tabs>
        <w:spacing w:before="240" w:after="240"/>
        <w:ind w:left="-284"/>
        <w:jc w:val="both"/>
        <w:rPr>
          <w:b/>
          <w:sz w:val="22"/>
          <w:szCs w:val="22"/>
        </w:rPr>
      </w:pPr>
      <w:r w:rsidRPr="00E57965">
        <w:rPr>
          <w:b/>
          <w:bCs/>
          <w:sz w:val="22"/>
          <w:szCs w:val="22"/>
        </w:rPr>
        <w:t>POSKYTOVATEL:</w:t>
      </w:r>
      <w:r w:rsidR="00DA430A" w:rsidRPr="005C4BEA" w:rsidDel="00DA430A">
        <w:rPr>
          <w:b/>
          <w:sz w:val="22"/>
          <w:szCs w:val="22"/>
          <w:highlight w:val="yellow"/>
        </w:rPr>
        <w:t xml:space="preserve"> 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2245"/>
        <w:gridCol w:w="6492"/>
      </w:tblGrid>
      <w:tr w:rsidR="00B33960" w:rsidRPr="005C4BEA" w14:paraId="61127C5F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7ED769CB" w14:textId="39E59F7D" w:rsidR="00B33960" w:rsidRPr="005C4BEA" w:rsidRDefault="00B33960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C4BEA">
              <w:rPr>
                <w:b/>
                <w:sz w:val="22"/>
                <w:szCs w:val="22"/>
              </w:rPr>
              <w:t>OKsystem a.s.</w:t>
            </w:r>
          </w:p>
        </w:tc>
        <w:tc>
          <w:tcPr>
            <w:tcW w:w="6492" w:type="dxa"/>
            <w:shd w:val="clear" w:color="auto" w:fill="auto"/>
          </w:tcPr>
          <w:p w14:paraId="2902876F" w14:textId="77777777" w:rsidR="00B33960" w:rsidRPr="00E57965" w:rsidRDefault="00B33960" w:rsidP="00E57965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</w:p>
        </w:tc>
      </w:tr>
      <w:tr w:rsidR="004B409A" w:rsidRPr="005C4BEA" w14:paraId="571B58FA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63EC36D8" w14:textId="77777777" w:rsidR="004B409A" w:rsidRPr="00E57965" w:rsidRDefault="004B409A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se sídlem:</w:t>
            </w:r>
          </w:p>
        </w:tc>
        <w:tc>
          <w:tcPr>
            <w:tcW w:w="6492" w:type="dxa"/>
            <w:shd w:val="clear" w:color="auto" w:fill="auto"/>
          </w:tcPr>
          <w:p w14:paraId="7800F09B" w14:textId="0645A507" w:rsidR="004B409A" w:rsidRPr="00E57965" w:rsidRDefault="00B33960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 w:rsidRPr="00E57965">
              <w:rPr>
                <w:sz w:val="22"/>
                <w:szCs w:val="22"/>
              </w:rPr>
              <w:t>Na Pankráci 1690/125, Praha 4 – Nusle, PSČ 140 21, zapsaná v</w:t>
            </w:r>
            <w:r w:rsidR="007051A5" w:rsidRPr="005C4BEA">
              <w:rPr>
                <w:sz w:val="22"/>
                <w:szCs w:val="22"/>
              </w:rPr>
              <w:t> </w:t>
            </w:r>
            <w:r w:rsidRPr="00E57965">
              <w:rPr>
                <w:sz w:val="22"/>
                <w:szCs w:val="22"/>
              </w:rPr>
              <w:t>obchodním rejstříku vedeném</w:t>
            </w:r>
            <w:r w:rsidRPr="00E57965">
              <w:rPr>
                <w:i/>
                <w:sz w:val="22"/>
                <w:szCs w:val="22"/>
              </w:rPr>
              <w:t xml:space="preserve"> </w:t>
            </w:r>
            <w:r w:rsidRPr="00E57965">
              <w:rPr>
                <w:sz w:val="22"/>
                <w:szCs w:val="22"/>
              </w:rPr>
              <w:t>u Městského soudu v Praze</w:t>
            </w:r>
            <w:r w:rsidRPr="00E57965">
              <w:rPr>
                <w:i/>
                <w:sz w:val="22"/>
                <w:szCs w:val="22"/>
              </w:rPr>
              <w:t xml:space="preserve">, </w:t>
            </w:r>
            <w:r w:rsidRPr="00E57965">
              <w:rPr>
                <w:sz w:val="22"/>
                <w:szCs w:val="22"/>
              </w:rPr>
              <w:t>oddíl B, vložka 20326</w:t>
            </w:r>
            <w:r w:rsidR="004B409A" w:rsidRPr="00E57965">
              <w:rPr>
                <w:bCs/>
                <w:sz w:val="22"/>
                <w:szCs w:val="22"/>
                <w:highlight w:val="yellow"/>
                <w:lang w:eastAsia="en-US"/>
              </w:rPr>
              <w:t xml:space="preserve"> </w:t>
            </w:r>
          </w:p>
        </w:tc>
      </w:tr>
      <w:tr w:rsidR="00AB7C2E" w:rsidRPr="005C4BEA" w14:paraId="75887DCD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13B86C82" w14:textId="77777777" w:rsidR="00AB7C2E" w:rsidRPr="00E57965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E57965">
              <w:rPr>
                <w:sz w:val="22"/>
                <w:szCs w:val="22"/>
              </w:rPr>
              <w:t>IČO:</w:t>
            </w:r>
          </w:p>
        </w:tc>
        <w:tc>
          <w:tcPr>
            <w:tcW w:w="6492" w:type="dxa"/>
            <w:shd w:val="clear" w:color="auto" w:fill="auto"/>
          </w:tcPr>
          <w:p w14:paraId="2527738C" w14:textId="6B3A8107" w:rsidR="00AB7C2E" w:rsidRPr="00E57965" w:rsidRDefault="007168DE" w:rsidP="00E57965">
            <w:pPr>
              <w:spacing w:before="100" w:beforeAutospacing="1" w:after="120"/>
              <w:jc w:val="both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t>2</w:t>
            </w:r>
            <w:r>
              <w:rPr>
                <w:spacing w:val="-2"/>
              </w:rPr>
              <w:t>7</w:t>
            </w:r>
            <w:r>
              <w:t>3</w:t>
            </w:r>
            <w:r>
              <w:rPr>
                <w:spacing w:val="20"/>
              </w:rPr>
              <w:t xml:space="preserve"> </w:t>
            </w:r>
            <w:r>
              <w:t>73</w:t>
            </w:r>
            <w:r>
              <w:rPr>
                <w:spacing w:val="20"/>
              </w:rPr>
              <w:t xml:space="preserve"> </w:t>
            </w:r>
            <w:r>
              <w:t>665</w:t>
            </w:r>
          </w:p>
        </w:tc>
      </w:tr>
      <w:tr w:rsidR="00AB7C2E" w:rsidRPr="005C4BEA" w14:paraId="5E5AD4A5" w14:textId="77777777" w:rsidTr="00665BD9">
        <w:trPr>
          <w:trHeight w:val="397"/>
        </w:trPr>
        <w:tc>
          <w:tcPr>
            <w:tcW w:w="2245" w:type="dxa"/>
            <w:shd w:val="clear" w:color="auto" w:fill="auto"/>
          </w:tcPr>
          <w:p w14:paraId="3CBE66E6" w14:textId="17DDF3EF" w:rsidR="00AB7C2E" w:rsidRPr="00551EED" w:rsidRDefault="00AB7C2E" w:rsidP="00D42C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51EED">
              <w:rPr>
                <w:sz w:val="22"/>
                <w:szCs w:val="22"/>
              </w:rPr>
              <w:t>zastoupená:</w:t>
            </w:r>
          </w:p>
        </w:tc>
        <w:tc>
          <w:tcPr>
            <w:tcW w:w="6492" w:type="dxa"/>
            <w:shd w:val="clear" w:color="auto" w:fill="auto"/>
          </w:tcPr>
          <w:p w14:paraId="45184B7E" w14:textId="2D780EB2" w:rsidR="00AB7C2E" w:rsidRPr="00551EED" w:rsidRDefault="0011332E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7168DE" w:rsidRPr="00551EED">
              <w:rPr>
                <w:sz w:val="22"/>
                <w:szCs w:val="22"/>
              </w:rPr>
              <w:t xml:space="preserve">, 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</w:t>
            </w:r>
            <w:r w:rsidR="007168DE" w:rsidRPr="00551EED">
              <w:rPr>
                <w:spacing w:val="1"/>
                <w:sz w:val="22"/>
                <w:szCs w:val="22"/>
              </w:rPr>
              <w:t>i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e</w:t>
            </w:r>
            <w:r w:rsidR="007168DE" w:rsidRPr="00551EED">
              <w:rPr>
                <w:spacing w:val="1"/>
                <w:sz w:val="22"/>
                <w:szCs w:val="22"/>
              </w:rPr>
              <w:t>l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 xml:space="preserve">m a </w:t>
            </w:r>
            <w:r w:rsidR="007168DE" w:rsidRPr="00551EED">
              <w:rPr>
                <w:spacing w:val="-1"/>
                <w:sz w:val="22"/>
                <w:szCs w:val="22"/>
              </w:rPr>
              <w:t>m</w:t>
            </w:r>
            <w:r w:rsidR="007168DE" w:rsidRPr="00551EED">
              <w:rPr>
                <w:spacing w:val="1"/>
                <w:sz w:val="22"/>
                <w:szCs w:val="22"/>
              </w:rPr>
              <w:t>í</w:t>
            </w:r>
            <w:r w:rsidR="007168DE" w:rsidRPr="00551EED">
              <w:rPr>
                <w:sz w:val="22"/>
                <w:szCs w:val="22"/>
              </w:rPr>
              <w:t>s</w:t>
            </w:r>
            <w:r w:rsidR="007168DE" w:rsidRPr="00551EED">
              <w:rPr>
                <w:spacing w:val="-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op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pacing w:val="-2"/>
                <w:sz w:val="22"/>
                <w:szCs w:val="22"/>
              </w:rPr>
              <w:t>e</w:t>
            </w:r>
            <w:r w:rsidR="007168DE" w:rsidRPr="00551EED">
              <w:rPr>
                <w:sz w:val="22"/>
                <w:szCs w:val="22"/>
              </w:rPr>
              <w:t>ds</w:t>
            </w:r>
            <w:r w:rsidR="007168DE" w:rsidRPr="00551EED">
              <w:rPr>
                <w:spacing w:val="1"/>
                <w:sz w:val="22"/>
                <w:szCs w:val="22"/>
              </w:rPr>
              <w:t>e</w:t>
            </w:r>
            <w:r w:rsidR="007168DE" w:rsidRPr="00551EED">
              <w:rPr>
                <w:spacing w:val="-2"/>
                <w:sz w:val="22"/>
                <w:szCs w:val="22"/>
              </w:rPr>
              <w:t>do</w:t>
            </w:r>
            <w:r w:rsidR="007168DE" w:rsidRPr="00551EED">
              <w:rPr>
                <w:sz w:val="22"/>
                <w:szCs w:val="22"/>
              </w:rPr>
              <w:t>u p</w:t>
            </w:r>
            <w:r w:rsidR="007168DE" w:rsidRPr="00551EED">
              <w:rPr>
                <w:spacing w:val="1"/>
                <w:sz w:val="22"/>
                <w:szCs w:val="22"/>
              </w:rPr>
              <w:t>ř</w:t>
            </w:r>
            <w:r w:rsidR="007168DE" w:rsidRPr="00551EED">
              <w:rPr>
                <w:sz w:val="22"/>
                <w:szCs w:val="22"/>
              </w:rPr>
              <w:t>ed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>a</w:t>
            </w:r>
            <w:r w:rsidR="007168DE" w:rsidRPr="00551EED">
              <w:rPr>
                <w:spacing w:val="-2"/>
                <w:sz w:val="22"/>
                <w:szCs w:val="22"/>
              </w:rPr>
              <w:t>v</w:t>
            </w:r>
            <w:r w:rsidR="007168DE" w:rsidRPr="00551EED">
              <w:rPr>
                <w:sz w:val="22"/>
                <w:szCs w:val="22"/>
              </w:rPr>
              <w:t>en</w:t>
            </w:r>
            <w:r w:rsidR="007168DE" w:rsidRPr="00551EED">
              <w:rPr>
                <w:spacing w:val="-2"/>
                <w:sz w:val="22"/>
                <w:szCs w:val="22"/>
              </w:rPr>
              <w:t>s</w:t>
            </w:r>
            <w:r w:rsidR="007168DE" w:rsidRPr="00551EED">
              <w:rPr>
                <w:spacing w:val="1"/>
                <w:sz w:val="22"/>
                <w:szCs w:val="22"/>
              </w:rPr>
              <w:t>t</w:t>
            </w:r>
            <w:r w:rsidR="007168DE" w:rsidRPr="00551EED">
              <w:rPr>
                <w:sz w:val="22"/>
                <w:szCs w:val="22"/>
              </w:rPr>
              <w:t xml:space="preserve">va (pro smluvní záležitosti) </w:t>
            </w:r>
          </w:p>
          <w:p w14:paraId="667DC887" w14:textId="3C9774A3" w:rsidR="001E10C9" w:rsidRPr="00551EED" w:rsidRDefault="0011332E" w:rsidP="007168DE">
            <w:pPr>
              <w:spacing w:before="100" w:beforeAutospacing="1" w:after="120"/>
              <w:jc w:val="both"/>
              <w:rPr>
                <w:sz w:val="22"/>
                <w:szCs w:val="22"/>
              </w:rPr>
            </w:pPr>
            <w:r w:rsidRPr="0021755A">
              <w:rPr>
                <w:i/>
                <w:iCs/>
                <w:color w:val="FFFFFF" w:themeColor="background1"/>
                <w:szCs w:val="22"/>
                <w:highlight w:val="black"/>
              </w:rPr>
              <w:t>neveřejný údaj</w:t>
            </w:r>
            <w:r w:rsidR="001E10C9" w:rsidRPr="00551EED">
              <w:rPr>
                <w:sz w:val="22"/>
                <w:szCs w:val="22"/>
              </w:rPr>
              <w:t>, vedoucí oddělení řízení projektů (pro oblast věcného plnění)</w:t>
            </w:r>
          </w:p>
          <w:p w14:paraId="6F7E60F7" w14:textId="5DB6B3B0" w:rsidR="007168DE" w:rsidRPr="00551EED" w:rsidRDefault="007168DE" w:rsidP="00E57965">
            <w:pPr>
              <w:spacing w:before="100" w:beforeAutospacing="1" w:after="12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70259F05" w14:textId="18FBB59E" w:rsidR="004B409A" w:rsidRPr="00E57965" w:rsidRDefault="00BA2A31" w:rsidP="004B409A">
      <w:pPr>
        <w:tabs>
          <w:tab w:val="left" w:pos="-284"/>
        </w:tabs>
        <w:spacing w:before="240" w:after="24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(Objednatel a Poskytovatel společně „</w:t>
      </w:r>
      <w:r w:rsidRPr="005C4BEA">
        <w:rPr>
          <w:b/>
          <w:sz w:val="22"/>
          <w:szCs w:val="22"/>
        </w:rPr>
        <w:t>Strany</w:t>
      </w:r>
      <w:r w:rsidRPr="005C4BEA">
        <w:rPr>
          <w:bCs/>
          <w:sz w:val="22"/>
          <w:szCs w:val="22"/>
        </w:rPr>
        <w:t>“ a každý z nich samostatně „</w:t>
      </w:r>
      <w:r w:rsidRPr="005C4BEA">
        <w:rPr>
          <w:b/>
          <w:sz w:val="22"/>
          <w:szCs w:val="22"/>
        </w:rPr>
        <w:t>Strana</w:t>
      </w:r>
      <w:r w:rsidRPr="005C4BEA">
        <w:rPr>
          <w:bCs/>
          <w:sz w:val="22"/>
          <w:szCs w:val="22"/>
        </w:rPr>
        <w:t>“)</w:t>
      </w:r>
      <w:r w:rsidRPr="005C4BEA" w:rsidDel="00BA2A31">
        <w:rPr>
          <w:bCs/>
          <w:sz w:val="22"/>
          <w:szCs w:val="22"/>
        </w:rPr>
        <w:t xml:space="preserve"> </w:t>
      </w:r>
    </w:p>
    <w:p w14:paraId="6E5275AE" w14:textId="77777777" w:rsidR="004B409A" w:rsidRPr="00E57965" w:rsidRDefault="004B409A" w:rsidP="004B409A">
      <w:pPr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br w:type="page"/>
      </w:r>
    </w:p>
    <w:p w14:paraId="6C797F95" w14:textId="77777777" w:rsidR="004B409A" w:rsidRPr="00E57965" w:rsidRDefault="004B409A" w:rsidP="004B409A">
      <w:pPr>
        <w:spacing w:before="120"/>
        <w:ind w:left="-284"/>
        <w:jc w:val="both"/>
        <w:rPr>
          <w:bCs/>
          <w:sz w:val="22"/>
          <w:szCs w:val="22"/>
        </w:rPr>
      </w:pPr>
      <w:r w:rsidRPr="00E57965">
        <w:rPr>
          <w:bCs/>
          <w:sz w:val="22"/>
          <w:szCs w:val="22"/>
        </w:rPr>
        <w:lastRenderedPageBreak/>
        <w:t>Vážení,</w:t>
      </w:r>
    </w:p>
    <w:p w14:paraId="0C205C36" w14:textId="4CEED1DB" w:rsidR="004B409A" w:rsidRPr="00E57965" w:rsidRDefault="001E10C9" w:rsidP="00E929BC">
      <w:pPr>
        <w:spacing w:before="240"/>
        <w:ind w:left="-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446DA" w:rsidRPr="005C4BEA">
        <w:rPr>
          <w:bCs/>
          <w:sz w:val="22"/>
          <w:szCs w:val="22"/>
        </w:rPr>
        <w:t xml:space="preserve">oskytovateli byla dne </w:t>
      </w:r>
      <w:r w:rsidR="008E0B6F">
        <w:rPr>
          <w:bCs/>
          <w:sz w:val="22"/>
          <w:szCs w:val="22"/>
        </w:rPr>
        <w:t>22</w:t>
      </w:r>
      <w:r w:rsidR="0038281F">
        <w:rPr>
          <w:bCs/>
          <w:sz w:val="22"/>
          <w:szCs w:val="22"/>
        </w:rPr>
        <w:t>.</w:t>
      </w:r>
      <w:r w:rsidR="00C874E1">
        <w:rPr>
          <w:bCs/>
          <w:sz w:val="22"/>
          <w:szCs w:val="22"/>
        </w:rPr>
        <w:t xml:space="preserve"> </w:t>
      </w:r>
      <w:r w:rsidR="00176472">
        <w:rPr>
          <w:bCs/>
          <w:sz w:val="22"/>
          <w:szCs w:val="22"/>
        </w:rPr>
        <w:t>3</w:t>
      </w:r>
      <w:r w:rsidR="00C874E1">
        <w:rPr>
          <w:bCs/>
          <w:sz w:val="22"/>
          <w:szCs w:val="22"/>
        </w:rPr>
        <w:t>. 2024</w:t>
      </w:r>
      <w:r w:rsidR="00A446DA" w:rsidRPr="005C4BEA">
        <w:rPr>
          <w:bCs/>
          <w:sz w:val="22"/>
          <w:szCs w:val="22"/>
        </w:rPr>
        <w:t xml:space="preserve"> doručena </w:t>
      </w:r>
      <w:r w:rsidR="00E264E5" w:rsidRPr="005C4BEA">
        <w:rPr>
          <w:bCs/>
          <w:sz w:val="22"/>
          <w:szCs w:val="22"/>
        </w:rPr>
        <w:t>Žádost č.</w:t>
      </w:r>
      <w:r w:rsidR="00142B55">
        <w:rPr>
          <w:bCs/>
          <w:sz w:val="22"/>
          <w:szCs w:val="22"/>
        </w:rPr>
        <w:t xml:space="preserve"> </w:t>
      </w:r>
      <w:r w:rsidR="00176472">
        <w:rPr>
          <w:bCs/>
          <w:sz w:val="22"/>
          <w:szCs w:val="22"/>
        </w:rPr>
        <w:t>0</w:t>
      </w:r>
      <w:r w:rsidR="00883C13">
        <w:rPr>
          <w:bCs/>
          <w:sz w:val="22"/>
          <w:szCs w:val="22"/>
        </w:rPr>
        <w:t>7</w:t>
      </w:r>
      <w:r w:rsidR="00176472">
        <w:rPr>
          <w:bCs/>
          <w:sz w:val="22"/>
          <w:szCs w:val="22"/>
        </w:rPr>
        <w:t xml:space="preserve">/2024 (ve jmenné konvenci </w:t>
      </w:r>
      <w:r w:rsidR="00C874E1">
        <w:rPr>
          <w:bCs/>
          <w:sz w:val="22"/>
          <w:szCs w:val="22"/>
        </w:rPr>
        <w:t>DS_2024_0</w:t>
      </w:r>
      <w:r w:rsidR="008E0B6F">
        <w:rPr>
          <w:bCs/>
          <w:sz w:val="22"/>
          <w:szCs w:val="22"/>
        </w:rPr>
        <w:t>7</w:t>
      </w:r>
      <w:r w:rsidR="00C874E1">
        <w:rPr>
          <w:bCs/>
          <w:sz w:val="22"/>
          <w:szCs w:val="22"/>
        </w:rPr>
        <w:t>_Z</w:t>
      </w:r>
      <w:r w:rsidR="00142B55">
        <w:rPr>
          <w:bCs/>
          <w:sz w:val="22"/>
          <w:szCs w:val="22"/>
        </w:rPr>
        <w:t xml:space="preserve">, dále i jen </w:t>
      </w:r>
      <w:r w:rsidR="00142B55" w:rsidRPr="008E0B6F">
        <w:rPr>
          <w:b/>
          <w:sz w:val="22"/>
          <w:szCs w:val="22"/>
        </w:rPr>
        <w:t>„Žádost“</w:t>
      </w:r>
      <w:r w:rsidR="00142B55">
        <w:rPr>
          <w:bCs/>
          <w:sz w:val="22"/>
          <w:szCs w:val="22"/>
        </w:rPr>
        <w:t>)</w:t>
      </w:r>
      <w:r w:rsidR="00C874E1">
        <w:rPr>
          <w:bCs/>
          <w:sz w:val="22"/>
          <w:szCs w:val="22"/>
        </w:rPr>
        <w:t xml:space="preserve"> </w:t>
      </w:r>
      <w:r w:rsidR="004B409A" w:rsidRPr="00E57965">
        <w:rPr>
          <w:bCs/>
          <w:sz w:val="22"/>
          <w:szCs w:val="22"/>
        </w:rPr>
        <w:t>na základě „</w:t>
      </w:r>
      <w:r w:rsidR="00A446DA" w:rsidRPr="00E57965">
        <w:rPr>
          <w:bCs/>
          <w:i/>
          <w:iCs/>
          <w:sz w:val="22"/>
          <w:szCs w:val="22"/>
        </w:rPr>
        <w:t>Servisní smlouvy o</w:t>
      </w:r>
      <w:r w:rsidR="0035436C">
        <w:rPr>
          <w:bCs/>
          <w:i/>
          <w:iCs/>
          <w:sz w:val="22"/>
          <w:szCs w:val="22"/>
        </w:rPr>
        <w:t> </w:t>
      </w:r>
      <w:r w:rsidR="00A446DA" w:rsidRPr="00E57965">
        <w:rPr>
          <w:bCs/>
          <w:i/>
          <w:iCs/>
          <w:sz w:val="22"/>
          <w:szCs w:val="22"/>
        </w:rPr>
        <w:t>podpoře, nutném rozvoji a ukončení Systému OKaplikace</w:t>
      </w:r>
      <w:r w:rsidR="00A446DA" w:rsidRPr="005C4BEA">
        <w:rPr>
          <w:bCs/>
          <w:sz w:val="22"/>
          <w:szCs w:val="22"/>
        </w:rPr>
        <w:t>“</w:t>
      </w:r>
      <w:r w:rsidR="00A446DA" w:rsidRPr="005C4BEA" w:rsidDel="00A446DA">
        <w:rPr>
          <w:bCs/>
          <w:sz w:val="22"/>
          <w:szCs w:val="22"/>
        </w:rPr>
        <w:t xml:space="preserve"> </w:t>
      </w:r>
      <w:r w:rsidR="004B409A" w:rsidRPr="001E10C9">
        <w:rPr>
          <w:bCs/>
          <w:sz w:val="22"/>
          <w:szCs w:val="22"/>
        </w:rPr>
        <w:t xml:space="preserve">uzavřené dne </w:t>
      </w:r>
      <w:r w:rsidR="00C874E1" w:rsidRPr="001E10C9">
        <w:rPr>
          <w:bCs/>
          <w:sz w:val="22"/>
          <w:szCs w:val="22"/>
        </w:rPr>
        <w:t>20. 12. 2023</w:t>
      </w:r>
      <w:r w:rsidR="004B409A" w:rsidRPr="001E10C9">
        <w:rPr>
          <w:bCs/>
          <w:sz w:val="22"/>
          <w:szCs w:val="22"/>
        </w:rPr>
        <w:t xml:space="preserve"> („</w:t>
      </w:r>
      <w:r w:rsidR="004B409A" w:rsidRPr="001E10C9">
        <w:rPr>
          <w:b/>
          <w:bCs/>
          <w:sz w:val="22"/>
          <w:szCs w:val="22"/>
        </w:rPr>
        <w:t>S</w:t>
      </w:r>
      <w:r w:rsidR="0089592F" w:rsidRPr="001E10C9">
        <w:rPr>
          <w:b/>
          <w:bCs/>
          <w:sz w:val="22"/>
          <w:szCs w:val="22"/>
        </w:rPr>
        <w:t>ervisní s</w:t>
      </w:r>
      <w:r w:rsidR="004B409A" w:rsidRPr="001E10C9">
        <w:rPr>
          <w:b/>
          <w:bCs/>
          <w:sz w:val="22"/>
          <w:szCs w:val="22"/>
        </w:rPr>
        <w:t>m</w:t>
      </w:r>
      <w:r w:rsidR="004B409A" w:rsidRPr="00E57965">
        <w:rPr>
          <w:b/>
          <w:bCs/>
          <w:sz w:val="22"/>
          <w:szCs w:val="22"/>
        </w:rPr>
        <w:t>louva</w:t>
      </w:r>
      <w:r w:rsidR="004B409A" w:rsidRPr="00E57965">
        <w:rPr>
          <w:bCs/>
          <w:sz w:val="22"/>
          <w:szCs w:val="22"/>
        </w:rPr>
        <w:t xml:space="preserve">“) </w:t>
      </w:r>
      <w:r w:rsidR="001103FD" w:rsidRPr="005C4BEA">
        <w:rPr>
          <w:bCs/>
          <w:sz w:val="22"/>
          <w:szCs w:val="22"/>
        </w:rPr>
        <w:t>na</w:t>
      </w:r>
      <w:r w:rsidR="00E264E5" w:rsidRPr="005C4BEA">
        <w:rPr>
          <w:bCs/>
          <w:sz w:val="22"/>
          <w:szCs w:val="22"/>
        </w:rPr>
        <w:t xml:space="preserve"> poskytnutí Služeb na objednávku</w:t>
      </w:r>
      <w:r w:rsidR="004B409A" w:rsidRPr="00E57965">
        <w:rPr>
          <w:bCs/>
          <w:sz w:val="22"/>
          <w:szCs w:val="22"/>
        </w:rPr>
        <w:t>.</w:t>
      </w:r>
      <w:r w:rsidR="00E264E5" w:rsidRPr="005C4BEA">
        <w:rPr>
          <w:bCs/>
          <w:sz w:val="22"/>
          <w:szCs w:val="22"/>
        </w:rPr>
        <w:t xml:space="preserve"> </w:t>
      </w:r>
    </w:p>
    <w:p w14:paraId="376A9B28" w14:textId="3B80EFD7" w:rsidR="008E0B6F" w:rsidRDefault="00D33675" w:rsidP="004B409A">
      <w:pPr>
        <w:autoSpaceDE w:val="0"/>
        <w:autoSpaceDN w:val="0"/>
        <w:adjustRightInd w:val="0"/>
        <w:spacing w:before="120"/>
        <w:ind w:left="-284"/>
        <w:jc w:val="both"/>
        <w:rPr>
          <w:bCs/>
          <w:sz w:val="22"/>
          <w:szCs w:val="22"/>
        </w:rPr>
      </w:pPr>
      <w:r w:rsidRPr="005C4BEA">
        <w:rPr>
          <w:bCs/>
          <w:sz w:val="22"/>
          <w:szCs w:val="22"/>
        </w:rPr>
        <w:t>Na základě č</w:t>
      </w:r>
      <w:r w:rsidR="00C874E1">
        <w:rPr>
          <w:bCs/>
          <w:sz w:val="22"/>
          <w:szCs w:val="22"/>
        </w:rPr>
        <w:t>l</w:t>
      </w:r>
      <w:r w:rsidRPr="005C4BEA">
        <w:rPr>
          <w:bCs/>
          <w:sz w:val="22"/>
          <w:szCs w:val="22"/>
        </w:rPr>
        <w:t>. 8.7 S</w:t>
      </w:r>
      <w:r w:rsidR="0089592F" w:rsidRPr="005C4BEA">
        <w:rPr>
          <w:bCs/>
          <w:sz w:val="22"/>
          <w:szCs w:val="22"/>
        </w:rPr>
        <w:t>ervisní s</w:t>
      </w:r>
      <w:r w:rsidRPr="005C4BEA">
        <w:rPr>
          <w:bCs/>
          <w:sz w:val="22"/>
          <w:szCs w:val="22"/>
        </w:rPr>
        <w:t xml:space="preserve">mlouvy </w:t>
      </w:r>
      <w:r w:rsidR="00390C19">
        <w:rPr>
          <w:bCs/>
          <w:sz w:val="22"/>
          <w:szCs w:val="22"/>
        </w:rPr>
        <w:t xml:space="preserve">zaslal </w:t>
      </w:r>
      <w:r w:rsidRPr="005C4BEA">
        <w:rPr>
          <w:bCs/>
          <w:sz w:val="22"/>
          <w:szCs w:val="22"/>
        </w:rPr>
        <w:t>Poskytovatel</w:t>
      </w:r>
      <w:r w:rsidR="00AC36EA">
        <w:rPr>
          <w:bCs/>
          <w:sz w:val="22"/>
          <w:szCs w:val="22"/>
        </w:rPr>
        <w:t xml:space="preserve"> </w:t>
      </w:r>
      <w:r w:rsidR="00390C19">
        <w:rPr>
          <w:bCs/>
          <w:sz w:val="22"/>
          <w:szCs w:val="22"/>
        </w:rPr>
        <w:t xml:space="preserve">Objednateli </w:t>
      </w:r>
      <w:r w:rsidR="008E0B6F">
        <w:rPr>
          <w:bCs/>
          <w:sz w:val="22"/>
          <w:szCs w:val="22"/>
        </w:rPr>
        <w:t xml:space="preserve">dne 28. 3. 2024, tedy </w:t>
      </w:r>
      <w:r w:rsidR="00AC36EA">
        <w:rPr>
          <w:bCs/>
          <w:sz w:val="22"/>
          <w:szCs w:val="22"/>
        </w:rPr>
        <w:t>ve lhůtě stanovené Servisní smlouvou</w:t>
      </w:r>
      <w:r w:rsidR="008E0B6F">
        <w:rPr>
          <w:bCs/>
          <w:sz w:val="22"/>
          <w:szCs w:val="22"/>
        </w:rPr>
        <w:t xml:space="preserve">, požadavek na upřesnění informací v Žádosti a dodání chybějící přílohy.  </w:t>
      </w:r>
    </w:p>
    <w:p w14:paraId="1B6E3C59" w14:textId="75F23A50" w:rsidR="008E0B6F" w:rsidRDefault="00390C19" w:rsidP="004B409A">
      <w:pPr>
        <w:autoSpaceDE w:val="0"/>
        <w:autoSpaceDN w:val="0"/>
        <w:adjustRightInd w:val="0"/>
        <w:spacing w:before="120"/>
        <w:ind w:left="-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Objednatel</w:t>
      </w:r>
      <w:r w:rsidR="008E0B6F">
        <w:rPr>
          <w:bCs/>
          <w:sz w:val="22"/>
          <w:szCs w:val="22"/>
        </w:rPr>
        <w:t xml:space="preserve"> dne 3. 4. 2024 dodal </w:t>
      </w:r>
      <w:r>
        <w:rPr>
          <w:bCs/>
          <w:sz w:val="22"/>
          <w:szCs w:val="22"/>
        </w:rPr>
        <w:t>Poskytovatel</w:t>
      </w:r>
      <w:r w:rsidR="008E0B6F">
        <w:rPr>
          <w:bCs/>
          <w:sz w:val="22"/>
          <w:szCs w:val="22"/>
        </w:rPr>
        <w:t>i chybějící přílohy.</w:t>
      </w:r>
    </w:p>
    <w:p w14:paraId="3F5A4EEB" w14:textId="3BCBB924" w:rsidR="008E0B6F" w:rsidRDefault="008E0B6F" w:rsidP="004B409A">
      <w:pPr>
        <w:autoSpaceDE w:val="0"/>
        <w:autoSpaceDN w:val="0"/>
        <w:adjustRightInd w:val="0"/>
        <w:spacing w:before="120"/>
        <w:ind w:left="-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Téhož dne byla na pravidelném pracovním setkání k projektu dodávek dle Servisní smlouvy na úrovni členů ŘV a zástupců obou stran ve věcech smluvních (za </w:t>
      </w:r>
      <w:r w:rsidR="00390C19">
        <w:rPr>
          <w:bCs/>
          <w:sz w:val="22"/>
          <w:szCs w:val="22"/>
        </w:rPr>
        <w:t xml:space="preserve">Objednatele </w:t>
      </w:r>
      <w:r w:rsidR="0011332E"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bCs/>
          <w:sz w:val="22"/>
          <w:szCs w:val="22"/>
        </w:rPr>
        <w:t xml:space="preserve">, za </w:t>
      </w:r>
      <w:r w:rsidR="00390C19">
        <w:rPr>
          <w:bCs/>
          <w:sz w:val="22"/>
          <w:szCs w:val="22"/>
        </w:rPr>
        <w:t>Poskytovatele</w:t>
      </w:r>
      <w:r>
        <w:rPr>
          <w:bCs/>
          <w:sz w:val="22"/>
          <w:szCs w:val="22"/>
        </w:rPr>
        <w:t xml:space="preserve">  </w:t>
      </w:r>
      <w:r w:rsidR="0011332E"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bCs/>
          <w:sz w:val="22"/>
          <w:szCs w:val="22"/>
        </w:rPr>
        <w:t>)</w:t>
      </w:r>
      <w:r w:rsidR="00AC36E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dohodnuta pravidla pro vykazování služeb poskytovaných dle chystané Dílčí smlouvy č. 7 a dalších dílčích smluv na dodávky služeb na objednávku stejného charakteru, jaký mají služby objednávané Žádostí, která byla předmětem předchozího požadavku Poskytovatele na upřesnění informací uvedených v Žádosti Objednatelem. </w:t>
      </w:r>
    </w:p>
    <w:p w14:paraId="507E3871" w14:textId="12463B03" w:rsidR="004B409A" w:rsidRPr="00E57965" w:rsidRDefault="008E0B6F" w:rsidP="004B409A">
      <w:pPr>
        <w:autoSpaceDE w:val="0"/>
        <w:autoSpaceDN w:val="0"/>
        <w:adjustRightInd w:val="0"/>
        <w:spacing w:before="120"/>
        <w:ind w:left="-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základě výše uvedeného Poskytovatel </w:t>
      </w:r>
      <w:r w:rsidR="00AC36EA">
        <w:rPr>
          <w:bCs/>
          <w:sz w:val="22"/>
          <w:szCs w:val="22"/>
        </w:rPr>
        <w:t xml:space="preserve">předkládá </w:t>
      </w:r>
      <w:r w:rsidR="00D73486" w:rsidRPr="005C4BEA">
        <w:rPr>
          <w:bCs/>
          <w:sz w:val="22"/>
          <w:szCs w:val="22"/>
        </w:rPr>
        <w:t>Objednateli Nabídku na poskytnutí Služeb na objednávku</w:t>
      </w:r>
      <w:r w:rsidR="00142B55">
        <w:rPr>
          <w:bCs/>
          <w:sz w:val="22"/>
          <w:szCs w:val="22"/>
        </w:rPr>
        <w:t xml:space="preserve"> (dále i jen „Nabídka“)</w:t>
      </w:r>
      <w:r w:rsidR="00F30A29" w:rsidRPr="005C4BEA">
        <w:rPr>
          <w:bCs/>
          <w:sz w:val="22"/>
          <w:szCs w:val="22"/>
        </w:rPr>
        <w:t>:</w:t>
      </w:r>
    </w:p>
    <w:p w14:paraId="51841D88" w14:textId="78DEAFA1" w:rsidR="00535431" w:rsidRDefault="00895CD1" w:rsidP="00535431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Služeb na objednávku včetně jejich specifikace</w:t>
      </w:r>
      <w:r w:rsidR="004B409A" w:rsidRPr="00E57965">
        <w:rPr>
          <w:b/>
          <w:bCs/>
          <w:sz w:val="22"/>
          <w:szCs w:val="22"/>
          <w:u w:val="single"/>
        </w:rPr>
        <w:t xml:space="preserve">: </w:t>
      </w:r>
    </w:p>
    <w:p w14:paraId="58602B34" w14:textId="358074F0" w:rsidR="008947A1" w:rsidRPr="008947A1" w:rsidRDefault="008947A1" w:rsidP="008D58EF">
      <w:pPr>
        <w:autoSpaceDE w:val="0"/>
        <w:autoSpaceDN w:val="0"/>
        <w:adjustRightInd w:val="0"/>
        <w:spacing w:before="240" w:after="240"/>
        <w:jc w:val="both"/>
        <w:rPr>
          <w:b/>
          <w:bCs/>
          <w:sz w:val="22"/>
          <w:szCs w:val="22"/>
          <w:u w:val="single"/>
        </w:rPr>
      </w:pPr>
      <w:r w:rsidRPr="00C4078E">
        <w:rPr>
          <w:bCs/>
          <w:sz w:val="22"/>
          <w:szCs w:val="22"/>
        </w:rPr>
        <w:t xml:space="preserve">Předmětem Služeb na objednávku je realizace </w:t>
      </w:r>
      <w:r w:rsidR="00390C19">
        <w:rPr>
          <w:bCs/>
          <w:sz w:val="22"/>
          <w:szCs w:val="22"/>
        </w:rPr>
        <w:t>služeb</w:t>
      </w:r>
      <w:r w:rsidRPr="00C4078E">
        <w:rPr>
          <w:bCs/>
          <w:sz w:val="22"/>
          <w:szCs w:val="22"/>
        </w:rPr>
        <w:t xml:space="preserve"> uvedených v Žádosti </w:t>
      </w:r>
      <w:r>
        <w:rPr>
          <w:bCs/>
          <w:sz w:val="22"/>
          <w:szCs w:val="22"/>
        </w:rPr>
        <w:t>o</w:t>
      </w:r>
      <w:r w:rsidRPr="00C4078E">
        <w:rPr>
          <w:bCs/>
          <w:sz w:val="22"/>
          <w:szCs w:val="22"/>
        </w:rPr>
        <w:t xml:space="preserve"> poskytnutí Služeb na objednávku č. DS_2024_0</w:t>
      </w:r>
      <w:r w:rsidR="008E0B6F">
        <w:rPr>
          <w:bCs/>
          <w:sz w:val="22"/>
          <w:szCs w:val="22"/>
        </w:rPr>
        <w:t>7</w:t>
      </w:r>
      <w:r w:rsidRPr="00C4078E">
        <w:rPr>
          <w:bCs/>
          <w:sz w:val="22"/>
          <w:szCs w:val="22"/>
        </w:rPr>
        <w:t xml:space="preserve">_Z zaslané Objednatelem Poskytovateli dne </w:t>
      </w:r>
      <w:r w:rsidR="008E0B6F">
        <w:rPr>
          <w:bCs/>
          <w:sz w:val="22"/>
          <w:szCs w:val="22"/>
        </w:rPr>
        <w:t>22</w:t>
      </w:r>
      <w:r w:rsidRPr="00C4078E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C4078E">
        <w:rPr>
          <w:bCs/>
          <w:sz w:val="22"/>
          <w:szCs w:val="22"/>
        </w:rPr>
        <w:t>. 2024</w:t>
      </w:r>
      <w:r w:rsidR="00893CAB">
        <w:rPr>
          <w:bCs/>
          <w:sz w:val="22"/>
          <w:szCs w:val="22"/>
        </w:rPr>
        <w:t xml:space="preserve"> a při následném vyjasnění informací uvedených v Žádosti a doplnění příloh dne 3. 4. 2024 </w:t>
      </w:r>
      <w:r w:rsidRPr="00C4078E">
        <w:rPr>
          <w:bCs/>
          <w:sz w:val="22"/>
          <w:szCs w:val="22"/>
        </w:rPr>
        <w:t>v souladu s postupem stanoveným v čl. 8.7 Rámcové smlouvy</w:t>
      </w:r>
      <w:r w:rsidR="00893CAB">
        <w:rPr>
          <w:bCs/>
          <w:sz w:val="22"/>
          <w:szCs w:val="22"/>
        </w:rPr>
        <w:t>.</w:t>
      </w:r>
      <w:r w:rsidR="008E0B6F">
        <w:rPr>
          <w:bCs/>
          <w:sz w:val="22"/>
          <w:szCs w:val="22"/>
        </w:rPr>
        <w:t xml:space="preserve"> </w:t>
      </w:r>
      <w:r w:rsidR="008D58EF">
        <w:rPr>
          <w:bCs/>
          <w:sz w:val="22"/>
          <w:szCs w:val="22"/>
        </w:rPr>
        <w:t xml:space="preserve">Jde o </w:t>
      </w:r>
      <w:r w:rsidR="008D58EF" w:rsidRPr="008D58EF">
        <w:rPr>
          <w:bCs/>
          <w:sz w:val="22"/>
          <w:szCs w:val="22"/>
        </w:rPr>
        <w:t>služby spojené s legislativním rozvojem agendových</w:t>
      </w:r>
      <w:r w:rsidR="008D58EF">
        <w:rPr>
          <w:bCs/>
          <w:sz w:val="22"/>
          <w:szCs w:val="22"/>
        </w:rPr>
        <w:t xml:space="preserve"> </w:t>
      </w:r>
      <w:r w:rsidR="008D58EF" w:rsidRPr="008D58EF">
        <w:rPr>
          <w:bCs/>
          <w:sz w:val="22"/>
          <w:szCs w:val="22"/>
        </w:rPr>
        <w:t>informačních systémů, zejména IS Práce, IS Centrum a IS nouze/služby</w:t>
      </w:r>
      <w:r w:rsidR="008D58EF">
        <w:rPr>
          <w:bCs/>
          <w:sz w:val="22"/>
          <w:szCs w:val="22"/>
        </w:rPr>
        <w:t>.</w:t>
      </w:r>
    </w:p>
    <w:p w14:paraId="1AD06E11" w14:textId="0170F9ED" w:rsidR="00602188" w:rsidRPr="00717967" w:rsidRDefault="009D4B5C" w:rsidP="00C4078E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S ohledem na povahu požadovaného plnění bude popis jednotlivých </w:t>
      </w:r>
      <w:r w:rsidR="00C3282B">
        <w:rPr>
          <w:sz w:val="22"/>
          <w:szCs w:val="22"/>
        </w:rPr>
        <w:t xml:space="preserve">dílčích </w:t>
      </w:r>
      <w:r w:rsidR="008947A1">
        <w:rPr>
          <w:sz w:val="22"/>
          <w:szCs w:val="22"/>
        </w:rPr>
        <w:t>aktivit</w:t>
      </w:r>
      <w:r>
        <w:rPr>
          <w:sz w:val="22"/>
          <w:szCs w:val="22"/>
        </w:rPr>
        <w:t xml:space="preserve"> součástí zadání Objednatele a návrhu Poskytovatele</w:t>
      </w:r>
      <w:r w:rsidR="008947A1">
        <w:rPr>
          <w:sz w:val="22"/>
          <w:szCs w:val="22"/>
        </w:rPr>
        <w:t>. V</w:t>
      </w:r>
      <w:r>
        <w:rPr>
          <w:sz w:val="22"/>
          <w:szCs w:val="22"/>
        </w:rPr>
        <w:t xml:space="preserve"> souladu s Žádostí platí, že realizaci dané dílčí </w:t>
      </w:r>
      <w:r w:rsidR="008947A1">
        <w:rPr>
          <w:sz w:val="22"/>
          <w:szCs w:val="22"/>
        </w:rPr>
        <w:t>a</w:t>
      </w:r>
      <w:r>
        <w:rPr>
          <w:sz w:val="22"/>
          <w:szCs w:val="22"/>
        </w:rPr>
        <w:t>ktivity smí Poskytovatel zahájit teprve po zadání oprávněnou osobou Objednatele</w:t>
      </w:r>
      <w:r w:rsidR="008947A1">
        <w:rPr>
          <w:sz w:val="22"/>
          <w:szCs w:val="22"/>
        </w:rPr>
        <w:t xml:space="preserve"> a poté, kdy Poskytovatelem stanovenou pracnost včetně popisu konkrétních činností oprávněná osoba Objednatele schválí způsobem popsaným v Žádosti</w:t>
      </w:r>
      <w:r>
        <w:rPr>
          <w:sz w:val="22"/>
          <w:szCs w:val="22"/>
        </w:rPr>
        <w:t xml:space="preserve">. </w:t>
      </w:r>
    </w:p>
    <w:p w14:paraId="47D4B2B8" w14:textId="1BF97AC6" w:rsidR="004B409A" w:rsidRDefault="00BB476A" w:rsidP="004B409A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Termín plnění (harmonogram)</w:t>
      </w:r>
      <w:r w:rsidR="004B409A" w:rsidRPr="00E57965">
        <w:rPr>
          <w:b/>
          <w:bCs/>
          <w:sz w:val="22"/>
          <w:szCs w:val="22"/>
          <w:u w:val="single"/>
        </w:rPr>
        <w:t>:</w:t>
      </w:r>
    </w:p>
    <w:p w14:paraId="2ECF8413" w14:textId="77432902" w:rsidR="003C0627" w:rsidRDefault="009D4B5C" w:rsidP="004B409A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Dle specifikace v</w:t>
      </w:r>
      <w:r w:rsidR="00390C19">
        <w:rPr>
          <w:sz w:val="22"/>
          <w:szCs w:val="22"/>
        </w:rPr>
        <w:t> </w:t>
      </w:r>
      <w:r w:rsidR="008947A1">
        <w:rPr>
          <w:sz w:val="22"/>
          <w:szCs w:val="22"/>
        </w:rPr>
        <w:t>Ž</w:t>
      </w:r>
      <w:r>
        <w:rPr>
          <w:sz w:val="22"/>
          <w:szCs w:val="22"/>
        </w:rPr>
        <w:t>ádosti</w:t>
      </w:r>
      <w:r w:rsidR="00390C19">
        <w:rPr>
          <w:sz w:val="22"/>
          <w:szCs w:val="22"/>
        </w:rPr>
        <w:t>;</w:t>
      </w:r>
      <w:r>
        <w:rPr>
          <w:sz w:val="22"/>
          <w:szCs w:val="22"/>
        </w:rPr>
        <w:t xml:space="preserve"> poskytování služeb dle této Nabídky je předpokládáno pro období od nabytí účinnosti Dílčí smlouvy </w:t>
      </w:r>
      <w:r w:rsidR="00390C19">
        <w:rPr>
          <w:sz w:val="22"/>
          <w:szCs w:val="22"/>
        </w:rPr>
        <w:t xml:space="preserve">DS7 </w:t>
      </w:r>
      <w:r>
        <w:rPr>
          <w:sz w:val="22"/>
          <w:szCs w:val="22"/>
        </w:rPr>
        <w:t>uzavřené na jejím základě do 31. 12. 2024</w:t>
      </w:r>
      <w:r w:rsidR="00390C19">
        <w:rPr>
          <w:sz w:val="22"/>
          <w:szCs w:val="22"/>
        </w:rPr>
        <w:t xml:space="preserve"> nebo do vyčerpání počtu 900 ČD, pokud tato skutečnost nastane dříve.</w:t>
      </w:r>
    </w:p>
    <w:p w14:paraId="342B4A8A" w14:textId="0424B9C6" w:rsidR="004B409A" w:rsidRDefault="00274E92" w:rsidP="008D58EF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284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Označení jednotlivých členů Realizačního týmu podílejících se na plnění předmětu Služby na objednávku:</w:t>
      </w:r>
      <w:r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028506" w14:textId="3EDB77FA" w:rsidR="00A6403C" w:rsidRDefault="00E5330A" w:rsidP="00A6403C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</w:t>
      </w:r>
      <w:r w:rsidR="00AA4867">
        <w:rPr>
          <w:sz w:val="22"/>
          <w:szCs w:val="22"/>
        </w:rPr>
        <w:t xml:space="preserve">odávku </w:t>
      </w:r>
      <w:r w:rsidR="0047396F">
        <w:rPr>
          <w:sz w:val="22"/>
          <w:szCs w:val="22"/>
        </w:rPr>
        <w:t xml:space="preserve">řídí a </w:t>
      </w:r>
      <w:r w:rsidR="00AA4867">
        <w:rPr>
          <w:sz w:val="22"/>
          <w:szCs w:val="22"/>
        </w:rPr>
        <w:t>garantují</w:t>
      </w:r>
      <w:r w:rsidR="00A6403C">
        <w:rPr>
          <w:sz w:val="22"/>
          <w:szCs w:val="22"/>
        </w:rPr>
        <w:t>:</w:t>
      </w:r>
    </w:p>
    <w:p w14:paraId="35EDB07A" w14:textId="0E146398" w:rsidR="00AC36EA" w:rsidRDefault="0011332E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AC36EA">
        <w:rPr>
          <w:sz w:val="22"/>
          <w:szCs w:val="22"/>
        </w:rPr>
        <w:tab/>
        <w:t xml:space="preserve">(projektový manažer) </w:t>
      </w:r>
    </w:p>
    <w:p w14:paraId="0A5AE9F2" w14:textId="34E61853" w:rsidR="00A6403C" w:rsidRDefault="0011332E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AC36EA">
        <w:rPr>
          <w:sz w:val="22"/>
          <w:szCs w:val="22"/>
        </w:rPr>
        <w:tab/>
      </w:r>
      <w:r w:rsidR="008D58EF">
        <w:rPr>
          <w:sz w:val="22"/>
          <w:szCs w:val="22"/>
        </w:rPr>
        <w:tab/>
      </w:r>
      <w:r w:rsidR="00E5330A">
        <w:rPr>
          <w:sz w:val="22"/>
          <w:szCs w:val="22"/>
        </w:rPr>
        <w:t xml:space="preserve">(garant za oblast vývoje, </w:t>
      </w:r>
      <w:r w:rsidR="00176472">
        <w:rPr>
          <w:sz w:val="22"/>
          <w:szCs w:val="22"/>
        </w:rPr>
        <w:t>ředitel divize D1)</w:t>
      </w:r>
    </w:p>
    <w:p w14:paraId="4033A864" w14:textId="589BB80F" w:rsidR="00176472" w:rsidRDefault="0011332E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8D58EF">
        <w:rPr>
          <w:sz w:val="22"/>
          <w:szCs w:val="22"/>
        </w:rPr>
        <w:tab/>
      </w:r>
      <w:r w:rsidR="00176472">
        <w:rPr>
          <w:sz w:val="22"/>
          <w:szCs w:val="22"/>
        </w:rPr>
        <w:t>(garant za oblast analýzy,</w:t>
      </w:r>
      <w:r w:rsidR="00893CAB">
        <w:rPr>
          <w:sz w:val="22"/>
          <w:szCs w:val="22"/>
        </w:rPr>
        <w:t xml:space="preserve"> vedoucí týmu</w:t>
      </w:r>
      <w:r w:rsidR="00176472">
        <w:rPr>
          <w:sz w:val="22"/>
          <w:szCs w:val="22"/>
        </w:rPr>
        <w:t>)</w:t>
      </w:r>
    </w:p>
    <w:p w14:paraId="17724A37" w14:textId="4C347D73" w:rsidR="00893CAB" w:rsidRDefault="0011332E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8D58EF">
        <w:rPr>
          <w:sz w:val="22"/>
          <w:szCs w:val="22"/>
        </w:rPr>
        <w:tab/>
      </w:r>
      <w:r w:rsidR="008D58EF">
        <w:rPr>
          <w:sz w:val="22"/>
          <w:szCs w:val="22"/>
        </w:rPr>
        <w:tab/>
      </w:r>
      <w:r w:rsidR="00893CAB" w:rsidRPr="00893CAB">
        <w:rPr>
          <w:sz w:val="22"/>
          <w:szCs w:val="22"/>
        </w:rPr>
        <w:t>(</w:t>
      </w:r>
      <w:r w:rsidR="00893CAB">
        <w:rPr>
          <w:sz w:val="22"/>
          <w:szCs w:val="22"/>
        </w:rPr>
        <w:t>garant za oblast vývoje, vedoucí týmu)</w:t>
      </w:r>
    </w:p>
    <w:p w14:paraId="4834573F" w14:textId="5C7FDA92" w:rsidR="00893CAB" w:rsidRDefault="0011332E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i/>
          <w:iCs/>
          <w:color w:val="FFFFFF" w:themeColor="background1"/>
          <w:szCs w:val="22"/>
        </w:rPr>
        <w:tab/>
      </w:r>
      <w:r w:rsidR="00893CAB">
        <w:rPr>
          <w:sz w:val="22"/>
          <w:szCs w:val="22"/>
        </w:rPr>
        <w:t xml:space="preserve"> </w:t>
      </w:r>
      <w:r w:rsidR="008D58EF">
        <w:rPr>
          <w:sz w:val="22"/>
          <w:szCs w:val="22"/>
        </w:rPr>
        <w:tab/>
      </w:r>
      <w:r w:rsidR="00893CAB" w:rsidRPr="00893CAB">
        <w:rPr>
          <w:sz w:val="22"/>
          <w:szCs w:val="22"/>
        </w:rPr>
        <w:t>(</w:t>
      </w:r>
      <w:r w:rsidR="00893CAB">
        <w:rPr>
          <w:sz w:val="22"/>
          <w:szCs w:val="22"/>
        </w:rPr>
        <w:t>garant za oblast vývoje, vedoucí týmu)</w:t>
      </w:r>
      <w:r w:rsidR="00893CAB">
        <w:rPr>
          <w:sz w:val="22"/>
          <w:szCs w:val="22"/>
        </w:rPr>
        <w:tab/>
      </w:r>
    </w:p>
    <w:p w14:paraId="27126BD7" w14:textId="66BFF2FC" w:rsidR="00893CAB" w:rsidRDefault="0011332E" w:rsidP="00F73B51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8D58EF">
        <w:rPr>
          <w:sz w:val="22"/>
          <w:szCs w:val="22"/>
        </w:rPr>
        <w:tab/>
      </w:r>
      <w:r w:rsidR="008D58EF">
        <w:rPr>
          <w:sz w:val="22"/>
          <w:szCs w:val="22"/>
        </w:rPr>
        <w:tab/>
      </w:r>
      <w:r w:rsidR="00893CAB" w:rsidRPr="00893CAB">
        <w:rPr>
          <w:sz w:val="22"/>
          <w:szCs w:val="22"/>
        </w:rPr>
        <w:t>(</w:t>
      </w:r>
      <w:r w:rsidR="00893CAB">
        <w:rPr>
          <w:sz w:val="22"/>
          <w:szCs w:val="22"/>
        </w:rPr>
        <w:t>garant za oblast vývoje, vedoucí týmu)</w:t>
      </w:r>
    </w:p>
    <w:p w14:paraId="3CE782CF" w14:textId="3DF7164E" w:rsidR="008D58EF" w:rsidRDefault="0011332E" w:rsidP="00893CAB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before="40" w:after="40"/>
        <w:ind w:left="142" w:hanging="142"/>
        <w:jc w:val="both"/>
        <w:textAlignment w:val="baseline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 w:rsidR="00893CAB" w:rsidRPr="008D58EF">
        <w:rPr>
          <w:sz w:val="22"/>
          <w:szCs w:val="22"/>
        </w:rPr>
        <w:tab/>
        <w:t xml:space="preserve"> </w:t>
      </w:r>
      <w:r w:rsidR="008D58EF" w:rsidRPr="008D58EF">
        <w:rPr>
          <w:sz w:val="22"/>
          <w:szCs w:val="22"/>
        </w:rPr>
        <w:tab/>
      </w:r>
      <w:r w:rsidR="00893CAB" w:rsidRPr="008D58EF">
        <w:rPr>
          <w:sz w:val="22"/>
          <w:szCs w:val="22"/>
        </w:rPr>
        <w:t>(garant za oblast podpory provozu a projektového řízení, ředitel divize</w:t>
      </w:r>
    </w:p>
    <w:p w14:paraId="189204BC" w14:textId="77777777" w:rsidR="008D58EF" w:rsidRPr="00893CAB" w:rsidRDefault="008D58EF" w:rsidP="008D58EF">
      <w:pPr>
        <w:pStyle w:val="Odstavecseseznamem"/>
        <w:overflowPunct w:val="0"/>
        <w:autoSpaceDE w:val="0"/>
        <w:autoSpaceDN w:val="0"/>
        <w:adjustRightInd w:val="0"/>
        <w:spacing w:before="40" w:after="40"/>
        <w:ind w:left="2266" w:firstLine="566"/>
        <w:jc w:val="both"/>
        <w:textAlignment w:val="baseline"/>
        <w:rPr>
          <w:sz w:val="22"/>
          <w:szCs w:val="22"/>
        </w:rPr>
      </w:pPr>
      <w:r w:rsidRPr="00893CAB">
        <w:rPr>
          <w:sz w:val="22"/>
          <w:szCs w:val="22"/>
        </w:rPr>
        <w:t>DS)</w:t>
      </w:r>
    </w:p>
    <w:p w14:paraId="740318F4" w14:textId="538F561D" w:rsidR="00C3282B" w:rsidRPr="008D58EF" w:rsidRDefault="008D58EF" w:rsidP="008D58EF">
      <w:pPr>
        <w:pStyle w:val="Odstavecseseznamem"/>
        <w:overflowPunct w:val="0"/>
        <w:autoSpaceDE w:val="0"/>
        <w:autoSpaceDN w:val="0"/>
        <w:adjustRightInd w:val="0"/>
        <w:spacing w:before="40" w:after="40"/>
        <w:ind w:left="2832"/>
        <w:jc w:val="both"/>
        <w:textAlignment w:val="baseline"/>
        <w:rPr>
          <w:sz w:val="22"/>
          <w:szCs w:val="22"/>
        </w:rPr>
      </w:pPr>
      <w:r w:rsidRPr="008D58EF">
        <w:rPr>
          <w:sz w:val="22"/>
          <w:szCs w:val="22"/>
        </w:rPr>
        <w:t xml:space="preserve">                                          </w:t>
      </w:r>
    </w:p>
    <w:p w14:paraId="683D19A2" w14:textId="2B2D3B9F" w:rsidR="00E5330A" w:rsidRPr="00E5330A" w:rsidRDefault="00E5330A" w:rsidP="00E5330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 </w:t>
      </w:r>
      <w:r w:rsidR="00AC36EA">
        <w:rPr>
          <w:sz w:val="22"/>
          <w:szCs w:val="22"/>
        </w:rPr>
        <w:t xml:space="preserve">realizaci </w:t>
      </w:r>
      <w:r>
        <w:rPr>
          <w:sz w:val="22"/>
          <w:szCs w:val="22"/>
        </w:rPr>
        <w:t xml:space="preserve">plnění </w:t>
      </w:r>
      <w:r w:rsidR="00AC36EA">
        <w:rPr>
          <w:sz w:val="22"/>
          <w:szCs w:val="22"/>
        </w:rPr>
        <w:t xml:space="preserve">se </w:t>
      </w:r>
      <w:r w:rsidR="00BE35E4">
        <w:rPr>
          <w:sz w:val="22"/>
          <w:szCs w:val="22"/>
        </w:rPr>
        <w:t>bud</w:t>
      </w:r>
      <w:r w:rsidR="00176472">
        <w:rPr>
          <w:sz w:val="22"/>
          <w:szCs w:val="22"/>
        </w:rPr>
        <w:t xml:space="preserve">ou v průběhu roku 2024 </w:t>
      </w:r>
      <w:r>
        <w:rPr>
          <w:sz w:val="22"/>
          <w:szCs w:val="22"/>
        </w:rPr>
        <w:t>podíl</w:t>
      </w:r>
      <w:r w:rsidR="00BE35E4">
        <w:rPr>
          <w:sz w:val="22"/>
          <w:szCs w:val="22"/>
        </w:rPr>
        <w:t>et</w:t>
      </w:r>
      <w:r w:rsidR="002C44EC">
        <w:rPr>
          <w:sz w:val="22"/>
          <w:szCs w:val="22"/>
        </w:rPr>
        <w:t xml:space="preserve"> </w:t>
      </w:r>
      <w:r w:rsidR="00176472">
        <w:rPr>
          <w:sz w:val="22"/>
          <w:szCs w:val="22"/>
        </w:rPr>
        <w:t>dle povahy dílčích zadání pracovníci diviz</w:t>
      </w:r>
      <w:r w:rsidR="00C3282B">
        <w:rPr>
          <w:sz w:val="22"/>
          <w:szCs w:val="22"/>
        </w:rPr>
        <w:t>í</w:t>
      </w:r>
      <w:r w:rsidR="00176472">
        <w:rPr>
          <w:sz w:val="22"/>
          <w:szCs w:val="22"/>
        </w:rPr>
        <w:t xml:space="preserve"> D1 a D</w:t>
      </w:r>
      <w:r w:rsidR="00142B55">
        <w:rPr>
          <w:sz w:val="22"/>
          <w:szCs w:val="22"/>
        </w:rPr>
        <w:t xml:space="preserve">S Poskytovatele. Jejich </w:t>
      </w:r>
      <w:r w:rsidR="00176472">
        <w:rPr>
          <w:sz w:val="22"/>
          <w:szCs w:val="22"/>
        </w:rPr>
        <w:t>počet n</w:t>
      </w:r>
      <w:r w:rsidR="00C3282B">
        <w:rPr>
          <w:sz w:val="22"/>
          <w:szCs w:val="22"/>
        </w:rPr>
        <w:t>ení</w:t>
      </w:r>
      <w:r w:rsidR="00176472">
        <w:rPr>
          <w:sz w:val="22"/>
          <w:szCs w:val="22"/>
        </w:rPr>
        <w:t xml:space="preserve"> s ohledem na povahu předmětu plnění </w:t>
      </w:r>
      <w:r w:rsidR="002F4FCC">
        <w:rPr>
          <w:sz w:val="22"/>
          <w:szCs w:val="22"/>
        </w:rPr>
        <w:t xml:space="preserve">popsaného v </w:t>
      </w:r>
      <w:r w:rsidR="00176472">
        <w:rPr>
          <w:sz w:val="22"/>
          <w:szCs w:val="22"/>
        </w:rPr>
        <w:t xml:space="preserve">Žádosti a způsob zadávání jednotlivých dílčích </w:t>
      </w:r>
      <w:r w:rsidR="00C3282B">
        <w:rPr>
          <w:sz w:val="22"/>
          <w:szCs w:val="22"/>
        </w:rPr>
        <w:t xml:space="preserve">aktivit </w:t>
      </w:r>
      <w:r w:rsidR="00142B55">
        <w:rPr>
          <w:sz w:val="22"/>
          <w:szCs w:val="22"/>
        </w:rPr>
        <w:t xml:space="preserve">popsaný v Žádosti </w:t>
      </w:r>
      <w:r w:rsidR="00C3282B">
        <w:rPr>
          <w:sz w:val="22"/>
          <w:szCs w:val="22"/>
        </w:rPr>
        <w:t xml:space="preserve">možno </w:t>
      </w:r>
      <w:r w:rsidR="00176472">
        <w:rPr>
          <w:sz w:val="22"/>
          <w:szCs w:val="22"/>
        </w:rPr>
        <w:t xml:space="preserve">předem specifikovat. </w:t>
      </w:r>
    </w:p>
    <w:p w14:paraId="3815CEBE" w14:textId="38B5DFCB" w:rsidR="00E92C73" w:rsidRDefault="00127C7E" w:rsidP="000E7349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284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Dopad na Systém anebo IT prostředí objednatele: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2EFC9006" w14:textId="35B92E2F" w:rsidR="009D4B5C" w:rsidRPr="009D4B5C" w:rsidRDefault="009D4B5C" w:rsidP="009D4B5C">
      <w:pPr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9D4B5C">
        <w:rPr>
          <w:sz w:val="22"/>
          <w:szCs w:val="22"/>
        </w:rPr>
        <w:t>S ohledem na předpokládaný charakter plnění dle této Nabídky a následně uzavřené Dílčí smlouvy neočekáváme dopady IT prostředí Objednatele</w:t>
      </w:r>
      <w:r w:rsidR="008D58EF">
        <w:rPr>
          <w:sz w:val="22"/>
          <w:szCs w:val="22"/>
        </w:rPr>
        <w:t>, případné dopady na Systém lze určit až nad konkrétním dílčím zadáním realizace dané legislativní úpravy)</w:t>
      </w:r>
      <w:r w:rsidRPr="009D4B5C">
        <w:rPr>
          <w:sz w:val="22"/>
          <w:szCs w:val="22"/>
        </w:rPr>
        <w:t xml:space="preserve"> </w:t>
      </w:r>
    </w:p>
    <w:p w14:paraId="15031E6A" w14:textId="79EA354D" w:rsidR="00E92C73" w:rsidRPr="005C4BEA" w:rsidRDefault="00112611" w:rsidP="000E7349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 w:hanging="284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Návrh konceptu technického řešení včetně uživatelského a případně licenčního zajištění Objednatele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33B27EE8" w14:textId="0988536D" w:rsidR="00E92C73" w:rsidRPr="00A6403C" w:rsidRDefault="009D4B5C" w:rsidP="00E92C73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S ohledem na</w:t>
      </w:r>
      <w:r w:rsidR="00142B55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předpokládanou </w:t>
      </w:r>
      <w:r w:rsidR="00142B55">
        <w:rPr>
          <w:bCs/>
          <w:sz w:val="22"/>
          <w:szCs w:val="22"/>
        </w:rPr>
        <w:t>pova</w:t>
      </w:r>
      <w:r>
        <w:rPr>
          <w:bCs/>
          <w:sz w:val="22"/>
          <w:szCs w:val="22"/>
        </w:rPr>
        <w:t>hu</w:t>
      </w:r>
      <w:r w:rsidR="00142B55">
        <w:rPr>
          <w:bCs/>
          <w:sz w:val="22"/>
          <w:szCs w:val="22"/>
        </w:rPr>
        <w:t xml:space="preserve"> </w:t>
      </w:r>
      <w:r w:rsidR="00176472">
        <w:rPr>
          <w:bCs/>
          <w:sz w:val="22"/>
          <w:szCs w:val="22"/>
        </w:rPr>
        <w:t xml:space="preserve">budoucích zadání </w:t>
      </w:r>
      <w:r w:rsidR="00142B55">
        <w:rPr>
          <w:bCs/>
          <w:sz w:val="22"/>
          <w:szCs w:val="22"/>
        </w:rPr>
        <w:t xml:space="preserve">popsaných v Žádosti </w:t>
      </w:r>
      <w:r w:rsidR="00C3282B">
        <w:rPr>
          <w:bCs/>
          <w:sz w:val="22"/>
          <w:szCs w:val="22"/>
        </w:rPr>
        <w:t xml:space="preserve">není možné předložit koncept technického řešení, ten bude řešen až v rámci jednotlivých požadovaných dílčích aktivit, jak popisuje Žádost. Z téhož důvodu </w:t>
      </w:r>
      <w:r w:rsidR="00176472">
        <w:rPr>
          <w:bCs/>
          <w:sz w:val="22"/>
          <w:szCs w:val="22"/>
        </w:rPr>
        <w:t>ne</w:t>
      </w:r>
      <w:r>
        <w:rPr>
          <w:bCs/>
          <w:sz w:val="22"/>
          <w:szCs w:val="22"/>
        </w:rPr>
        <w:t xml:space="preserve">očekáváme </w:t>
      </w:r>
      <w:r w:rsidR="00176472">
        <w:rPr>
          <w:bCs/>
          <w:sz w:val="22"/>
          <w:szCs w:val="22"/>
        </w:rPr>
        <w:t xml:space="preserve">další nároky na </w:t>
      </w:r>
      <w:r w:rsidR="0038325D">
        <w:rPr>
          <w:bCs/>
          <w:sz w:val="22"/>
          <w:szCs w:val="22"/>
        </w:rPr>
        <w:t xml:space="preserve">Objednatele </w:t>
      </w:r>
      <w:r w:rsidR="00176472">
        <w:rPr>
          <w:bCs/>
          <w:sz w:val="22"/>
          <w:szCs w:val="22"/>
        </w:rPr>
        <w:t xml:space="preserve">v oblasti licenčního </w:t>
      </w:r>
      <w:r w:rsidR="0038325D">
        <w:rPr>
          <w:bCs/>
          <w:sz w:val="22"/>
          <w:szCs w:val="22"/>
        </w:rPr>
        <w:t xml:space="preserve">zajištění nad rámec současného stavu. </w:t>
      </w:r>
    </w:p>
    <w:p w14:paraId="0AAC8CFD" w14:textId="0DB45F61" w:rsidR="00E92C73" w:rsidRPr="005C4BEA" w:rsidRDefault="001A70A6" w:rsidP="00E92C73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Předmět příslušných Služeb na objednávku se týká anebo je jinak přímo spojen se ZPV a je tak k němu udělována Nevýhradní licence, případně příslušné nevýhradní oprávnění, neujednaly-li si Strany jiný rozsah Udělovaných oprávnění</w:t>
      </w:r>
      <w:r w:rsidR="00E92C73" w:rsidRPr="005C4BEA">
        <w:rPr>
          <w:b/>
          <w:bCs/>
          <w:sz w:val="22"/>
          <w:szCs w:val="22"/>
          <w:u w:val="single"/>
        </w:rPr>
        <w:t>:</w:t>
      </w:r>
      <w:r w:rsidR="00E92C73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74ABB384" w14:textId="049CAD32" w:rsidR="00BE2E2D" w:rsidRDefault="00636413" w:rsidP="004B409A">
      <w:pPr>
        <w:overflowPunct w:val="0"/>
        <w:autoSpaceDE w:val="0"/>
        <w:autoSpaceDN w:val="0"/>
        <w:adjustRightInd w:val="0"/>
        <w:spacing w:before="40" w:after="40"/>
        <w:jc w:val="both"/>
        <w:textAlignment w:val="baseline"/>
        <w:rPr>
          <w:bCs/>
          <w:sz w:val="22"/>
          <w:szCs w:val="22"/>
        </w:rPr>
      </w:pPr>
      <w:r w:rsidRPr="00636413">
        <w:rPr>
          <w:bCs/>
          <w:sz w:val="22"/>
          <w:szCs w:val="22"/>
        </w:rPr>
        <w:t>Ne</w:t>
      </w:r>
      <w:r w:rsidR="00AC36EA">
        <w:rPr>
          <w:bCs/>
          <w:sz w:val="22"/>
          <w:szCs w:val="22"/>
        </w:rPr>
        <w:t>.</w:t>
      </w:r>
    </w:p>
    <w:p w14:paraId="6E9CA4CF" w14:textId="15920CAB" w:rsidR="007C7D1D" w:rsidRDefault="00F05CE8" w:rsidP="007C7D1D">
      <w:pPr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Požadavky na součinnost Objednatele a třetích osob</w:t>
      </w:r>
      <w:r w:rsidR="007C7D1D" w:rsidRPr="005C4BEA">
        <w:rPr>
          <w:b/>
          <w:bCs/>
          <w:sz w:val="22"/>
          <w:szCs w:val="22"/>
          <w:u w:val="single"/>
        </w:rPr>
        <w:t>:</w:t>
      </w:r>
      <w:r w:rsidR="007C7D1D" w:rsidRPr="005C4BEA" w:rsidDel="00274E92">
        <w:rPr>
          <w:b/>
          <w:bCs/>
          <w:sz w:val="22"/>
          <w:szCs w:val="22"/>
          <w:u w:val="single"/>
        </w:rPr>
        <w:t xml:space="preserve"> </w:t>
      </w:r>
    </w:p>
    <w:p w14:paraId="612160C2" w14:textId="3F22E822" w:rsidR="0038325D" w:rsidRPr="0038325D" w:rsidRDefault="008947A1" w:rsidP="00717967">
      <w:pPr>
        <w:pStyle w:val="UStyl2"/>
        <w:numPr>
          <w:ilvl w:val="0"/>
          <w:numId w:val="0"/>
        </w:numPr>
        <w:rPr>
          <w:rFonts w:ascii="Times New Roman" w:hAnsi="Times New Roman"/>
          <w:bCs/>
          <w:szCs w:val="22"/>
        </w:rPr>
      </w:pPr>
      <w:r w:rsidRPr="00C3282B">
        <w:rPr>
          <w:rFonts w:ascii="Times New Roman" w:hAnsi="Times New Roman"/>
          <w:bCs/>
          <w:szCs w:val="22"/>
        </w:rPr>
        <w:t xml:space="preserve">S ohledem na předpokládanou povahu budoucích zadání popsaných v Žádosti očekáváme </w:t>
      </w:r>
      <w:r w:rsidR="008D58EF">
        <w:rPr>
          <w:rFonts w:ascii="Times New Roman" w:hAnsi="Times New Roman"/>
          <w:bCs/>
          <w:szCs w:val="22"/>
        </w:rPr>
        <w:t xml:space="preserve">součinnost </w:t>
      </w:r>
      <w:r w:rsidRPr="00C3282B">
        <w:rPr>
          <w:rFonts w:ascii="Times New Roman" w:hAnsi="Times New Roman"/>
          <w:bCs/>
          <w:szCs w:val="22"/>
        </w:rPr>
        <w:t xml:space="preserve">Objednatele </w:t>
      </w:r>
      <w:r w:rsidR="008D58EF">
        <w:rPr>
          <w:rFonts w:ascii="Times New Roman" w:hAnsi="Times New Roman"/>
          <w:bCs/>
          <w:szCs w:val="22"/>
        </w:rPr>
        <w:t xml:space="preserve">na úrovni odborných pracovníků (garantů a metodiků) jednotlivých oblastí, kterých se implementované legislativní změny budou týkat. </w:t>
      </w:r>
    </w:p>
    <w:p w14:paraId="4CDE6AB7" w14:textId="77777777" w:rsidR="00966C28" w:rsidRDefault="008F125C" w:rsidP="00966C2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/>
        <w:ind w:left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Cenová nabídka:</w:t>
      </w:r>
    </w:p>
    <w:p w14:paraId="2B1CC193" w14:textId="0C0EF1DC" w:rsidR="004B409A" w:rsidRPr="00966C28" w:rsidRDefault="00966C28" w:rsidP="00966C28">
      <w:pPr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b/>
          <w:bCs/>
          <w:sz w:val="22"/>
          <w:szCs w:val="22"/>
          <w:u w:val="single"/>
        </w:rPr>
      </w:pPr>
      <w:r w:rsidRPr="00966C28">
        <w:rPr>
          <w:sz w:val="22"/>
          <w:szCs w:val="22"/>
        </w:rPr>
        <w:t xml:space="preserve">S ohledem na povahu předmětu plnění </w:t>
      </w:r>
      <w:r>
        <w:rPr>
          <w:sz w:val="22"/>
          <w:szCs w:val="22"/>
        </w:rPr>
        <w:t xml:space="preserve">a způsob zadávání dílčích aktivit popsaný v Žádosti nelze předem stanovit cenu plnění. Jednotková cena za </w:t>
      </w:r>
      <w:r w:rsidR="00D51046">
        <w:rPr>
          <w:sz w:val="22"/>
          <w:szCs w:val="22"/>
        </w:rPr>
        <w:t>člověkoden (Č</w:t>
      </w:r>
      <w:r>
        <w:rPr>
          <w:sz w:val="22"/>
          <w:szCs w:val="22"/>
        </w:rPr>
        <w:t>D</w:t>
      </w:r>
      <w:r w:rsidR="00D5104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D51046">
        <w:rPr>
          <w:sz w:val="22"/>
          <w:szCs w:val="22"/>
        </w:rPr>
        <w:t xml:space="preserve">práce </w:t>
      </w:r>
      <w:r>
        <w:rPr>
          <w:sz w:val="22"/>
          <w:szCs w:val="22"/>
        </w:rPr>
        <w:t>je definována v</w:t>
      </w:r>
      <w:r w:rsidR="00D51046">
        <w:rPr>
          <w:sz w:val="22"/>
          <w:szCs w:val="22"/>
        </w:rPr>
        <w:t xml:space="preserve"> Příloze č. 2 Servisní smlouvy: cena služeb a činí 14 500,-Kč bez DPH. </w:t>
      </w:r>
      <w:r w:rsidR="008D58EF">
        <w:rPr>
          <w:sz w:val="22"/>
          <w:szCs w:val="22"/>
        </w:rPr>
        <w:t xml:space="preserve">Cena celkového objemu služeb v rozsahu 900 ČD, které mohou být fakturovány </w:t>
      </w:r>
      <w:r w:rsidR="000E7349">
        <w:rPr>
          <w:sz w:val="22"/>
          <w:szCs w:val="22"/>
        </w:rPr>
        <w:t>na základě a</w:t>
      </w:r>
      <w:r w:rsidR="008D58EF">
        <w:rPr>
          <w:sz w:val="22"/>
          <w:szCs w:val="22"/>
        </w:rPr>
        <w:t xml:space="preserve">kceptace této Nabídky </w:t>
      </w:r>
      <w:r w:rsidR="000E7349">
        <w:rPr>
          <w:sz w:val="22"/>
          <w:szCs w:val="22"/>
        </w:rPr>
        <w:t xml:space="preserve">Objednatelem </w:t>
      </w:r>
      <w:r w:rsidR="008D58EF">
        <w:rPr>
          <w:sz w:val="22"/>
          <w:szCs w:val="22"/>
        </w:rPr>
        <w:t>a</w:t>
      </w:r>
      <w:r w:rsidR="000E7349">
        <w:rPr>
          <w:sz w:val="22"/>
          <w:szCs w:val="22"/>
        </w:rPr>
        <w:t xml:space="preserve"> formou jeho</w:t>
      </w:r>
      <w:r w:rsidR="008D58EF">
        <w:rPr>
          <w:sz w:val="22"/>
          <w:szCs w:val="22"/>
        </w:rPr>
        <w:t xml:space="preserve"> Objednávky (DS_2024_07_O)</w:t>
      </w:r>
      <w:r w:rsidR="000E7349">
        <w:rPr>
          <w:sz w:val="22"/>
          <w:szCs w:val="22"/>
        </w:rPr>
        <w:t xml:space="preserve">, tedy příslušné Dílčí smlouvy DS7, </w:t>
      </w:r>
      <w:r w:rsidR="008D58EF">
        <w:rPr>
          <w:sz w:val="22"/>
          <w:szCs w:val="22"/>
        </w:rPr>
        <w:t xml:space="preserve">činí </w:t>
      </w:r>
      <w:r w:rsidR="008D58EF" w:rsidRPr="008D58EF">
        <w:rPr>
          <w:sz w:val="22"/>
          <w:szCs w:val="22"/>
        </w:rPr>
        <w:t>13</w:t>
      </w:r>
      <w:r w:rsidR="008D58EF">
        <w:rPr>
          <w:sz w:val="22"/>
          <w:szCs w:val="22"/>
        </w:rPr>
        <w:t> </w:t>
      </w:r>
      <w:r w:rsidR="008D58EF" w:rsidRPr="008D58EF">
        <w:rPr>
          <w:sz w:val="22"/>
          <w:szCs w:val="22"/>
        </w:rPr>
        <w:t>050</w:t>
      </w:r>
      <w:r w:rsidR="008D58EF">
        <w:rPr>
          <w:sz w:val="22"/>
          <w:szCs w:val="22"/>
        </w:rPr>
        <w:t> </w:t>
      </w:r>
      <w:r w:rsidR="008D58EF" w:rsidRPr="008D58EF">
        <w:rPr>
          <w:sz w:val="22"/>
          <w:szCs w:val="22"/>
        </w:rPr>
        <w:t>000</w:t>
      </w:r>
      <w:r w:rsidR="008D58EF">
        <w:rPr>
          <w:sz w:val="22"/>
          <w:szCs w:val="22"/>
        </w:rPr>
        <w:t>,</w:t>
      </w:r>
      <w:r w:rsidR="000E7349">
        <w:rPr>
          <w:sz w:val="22"/>
          <w:szCs w:val="22"/>
        </w:rPr>
        <w:t>-</w:t>
      </w:r>
      <w:r w:rsidR="008D58EF">
        <w:rPr>
          <w:sz w:val="22"/>
          <w:szCs w:val="22"/>
        </w:rPr>
        <w:t xml:space="preserve"> Kč bez DPH. </w:t>
      </w:r>
      <w:r w:rsidR="00F73B51">
        <w:rPr>
          <w:sz w:val="22"/>
          <w:szCs w:val="22"/>
        </w:rPr>
        <w:t>Fakturaci předpokládáme na měsíční bázi na základě schválení příslušného Dílčího měsíčního výkazu v rámci Souhrnného měsíčního výkazu, jak popsáno níže v čl. 9 této Nabídky.</w:t>
      </w:r>
    </w:p>
    <w:p w14:paraId="0DCCE22C" w14:textId="0F11042B" w:rsidR="00A16F2F" w:rsidRDefault="00A16F2F" w:rsidP="00535431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5C4BEA">
        <w:rPr>
          <w:b/>
          <w:bCs/>
          <w:sz w:val="22"/>
          <w:szCs w:val="22"/>
          <w:u w:val="single"/>
        </w:rPr>
        <w:t>Akceptační kritéria:</w:t>
      </w:r>
    </w:p>
    <w:p w14:paraId="08F7216B" w14:textId="54F8DB04" w:rsidR="00D51046" w:rsidRPr="00C3282B" w:rsidRDefault="00D51046" w:rsidP="00D51046">
      <w:pPr>
        <w:keepNext/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 w:rsidRPr="00C3282B">
        <w:rPr>
          <w:sz w:val="22"/>
          <w:szCs w:val="22"/>
        </w:rPr>
        <w:t>Akceptační kritéria budou určena v souladu s čl. 2 Žádosti dle charakteru požadované součinnosti Poskytovatele</w:t>
      </w:r>
      <w:r w:rsidR="00C3282B" w:rsidRPr="00C3282B">
        <w:rPr>
          <w:sz w:val="22"/>
          <w:szCs w:val="22"/>
        </w:rPr>
        <w:t xml:space="preserve"> v rámci dané dílčí aktivity předem schválené Ob</w:t>
      </w:r>
      <w:r w:rsidR="00F73B51">
        <w:rPr>
          <w:sz w:val="22"/>
          <w:szCs w:val="22"/>
        </w:rPr>
        <w:t>j</w:t>
      </w:r>
      <w:r w:rsidR="00C3282B" w:rsidRPr="00C3282B">
        <w:rPr>
          <w:sz w:val="22"/>
          <w:szCs w:val="22"/>
        </w:rPr>
        <w:t xml:space="preserve">ednatelem. </w:t>
      </w:r>
    </w:p>
    <w:p w14:paraId="0E9D4B66" w14:textId="40B37FFD" w:rsidR="00C3282B" w:rsidRPr="00C3282B" w:rsidRDefault="004205A1" w:rsidP="00D51046">
      <w:pPr>
        <w:keepNext/>
        <w:autoSpaceDE w:val="0"/>
        <w:autoSpaceDN w:val="0"/>
        <w:adjustRightInd w:val="0"/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Schválení dílčích aktivit před jejich realizací bude probíhat způsobem popsaným v čl. 1 Žádosti. </w:t>
      </w:r>
      <w:r w:rsidR="00C3282B" w:rsidRPr="00C3282B">
        <w:rPr>
          <w:sz w:val="22"/>
          <w:szCs w:val="22"/>
        </w:rPr>
        <w:t xml:space="preserve">Akceptace </w:t>
      </w:r>
      <w:r>
        <w:rPr>
          <w:sz w:val="22"/>
          <w:szCs w:val="22"/>
        </w:rPr>
        <w:t xml:space="preserve">plnění </w:t>
      </w:r>
      <w:r w:rsidR="00C3282B" w:rsidRPr="00C3282B">
        <w:rPr>
          <w:sz w:val="22"/>
          <w:szCs w:val="22"/>
        </w:rPr>
        <w:t xml:space="preserve">bude probíhat na měsíční bázi </w:t>
      </w:r>
      <w:r w:rsidR="00F73B51">
        <w:rPr>
          <w:sz w:val="22"/>
          <w:szCs w:val="22"/>
        </w:rPr>
        <w:t xml:space="preserve">formou </w:t>
      </w:r>
      <w:r w:rsidR="00C3282B" w:rsidRPr="00C3282B">
        <w:rPr>
          <w:sz w:val="22"/>
          <w:szCs w:val="22"/>
        </w:rPr>
        <w:t xml:space="preserve">schválení </w:t>
      </w:r>
      <w:r>
        <w:rPr>
          <w:sz w:val="22"/>
          <w:szCs w:val="22"/>
        </w:rPr>
        <w:t>Dílčího měsíčního výkazu příslušeného k Dílčí smlouvě DS</w:t>
      </w:r>
      <w:r w:rsidR="000E7349">
        <w:rPr>
          <w:sz w:val="22"/>
          <w:szCs w:val="22"/>
        </w:rPr>
        <w:t>7</w:t>
      </w:r>
      <w:r>
        <w:rPr>
          <w:sz w:val="22"/>
          <w:szCs w:val="22"/>
        </w:rPr>
        <w:t xml:space="preserve"> vzniklé přijetím této Nabídky a nabytím účinnosti následné Objednávky DS_2024_0</w:t>
      </w:r>
      <w:r w:rsidR="000E7349">
        <w:rPr>
          <w:sz w:val="22"/>
          <w:szCs w:val="22"/>
        </w:rPr>
        <w:t>7</w:t>
      </w:r>
      <w:r>
        <w:rPr>
          <w:sz w:val="22"/>
          <w:szCs w:val="22"/>
        </w:rPr>
        <w:t xml:space="preserve">_O, který bude součástí Souhrnného měsíčního výkazu za daný měsíc. </w:t>
      </w:r>
      <w:r w:rsidR="000E7349">
        <w:rPr>
          <w:sz w:val="22"/>
          <w:szCs w:val="22"/>
        </w:rPr>
        <w:t>Na základě dohody zástupců Stran pro věci smluvní (zmíněno v úvodním textu této Nabídky) bude Poskytovatelem dodáván Objed</w:t>
      </w:r>
      <w:r w:rsidR="00E37B7C">
        <w:rPr>
          <w:sz w:val="22"/>
          <w:szCs w:val="22"/>
        </w:rPr>
        <w:t>n</w:t>
      </w:r>
      <w:r w:rsidR="000E7349">
        <w:rPr>
          <w:sz w:val="22"/>
          <w:szCs w:val="22"/>
        </w:rPr>
        <w:t xml:space="preserve">ateli </w:t>
      </w:r>
      <w:r w:rsidR="00E37B7C">
        <w:rPr>
          <w:sz w:val="22"/>
          <w:szCs w:val="22"/>
        </w:rPr>
        <w:t>na měsíční bázi jako součást Dílčího měsíčního výkazu k DS7 v granularitě osoba / datum / počet hodin / dodávka (ve smyslu dílčí zadání, práce na konkrétní legislativní úprava zadaná k realizaci v rámci DS7)</w:t>
      </w:r>
      <w:r w:rsidR="000D51D1">
        <w:rPr>
          <w:sz w:val="22"/>
          <w:szCs w:val="22"/>
        </w:rPr>
        <w:t xml:space="preserve"> / činnost (na úrovni role, tedy např. analýza, architektura, vývoj, testování, projektové řízení apod.)</w:t>
      </w:r>
      <w:r w:rsidR="00390C19">
        <w:rPr>
          <w:sz w:val="22"/>
          <w:szCs w:val="22"/>
        </w:rPr>
        <w:t xml:space="preserve">. Vzor </w:t>
      </w:r>
      <w:r w:rsidR="000D51D1">
        <w:rPr>
          <w:sz w:val="22"/>
          <w:szCs w:val="22"/>
        </w:rPr>
        <w:t xml:space="preserve">struktury a podrobnosti údajů ve výkazu </w:t>
      </w:r>
      <w:r w:rsidR="00390C19">
        <w:rPr>
          <w:sz w:val="22"/>
          <w:szCs w:val="22"/>
        </w:rPr>
        <w:t xml:space="preserve">tvoří přílohu č. 1 této Nabídky. </w:t>
      </w:r>
      <w:r w:rsidR="00390C19" w:rsidRPr="00C3282B">
        <w:rPr>
          <w:sz w:val="22"/>
          <w:szCs w:val="22"/>
        </w:rPr>
        <w:t xml:space="preserve"> </w:t>
      </w:r>
    </w:p>
    <w:p w14:paraId="3C800A7B" w14:textId="77777777" w:rsidR="004B409A" w:rsidRPr="0087684F" w:rsidRDefault="004B409A" w:rsidP="0087684F">
      <w:pPr>
        <w:keepNext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0"/>
        <w:jc w:val="both"/>
        <w:rPr>
          <w:b/>
          <w:bCs/>
          <w:sz w:val="22"/>
          <w:szCs w:val="22"/>
          <w:u w:val="single"/>
        </w:rPr>
      </w:pPr>
      <w:r w:rsidRPr="0087684F">
        <w:rPr>
          <w:b/>
          <w:bCs/>
          <w:sz w:val="22"/>
          <w:szCs w:val="22"/>
          <w:u w:val="single"/>
        </w:rPr>
        <w:t>Další podmínky:</w:t>
      </w:r>
    </w:p>
    <w:p w14:paraId="5DDAD923" w14:textId="158FE565" w:rsidR="008A7137" w:rsidRPr="005C4BEA" w:rsidRDefault="008A7137" w:rsidP="008A7137">
      <w:pPr>
        <w:pStyle w:val="UStyl2"/>
        <w:numPr>
          <w:ilvl w:val="0"/>
          <w:numId w:val="9"/>
        </w:numPr>
        <w:spacing w:line="240" w:lineRule="auto"/>
        <w:rPr>
          <w:rFonts w:ascii="Times New Roman" w:hAnsi="Times New Roman"/>
          <w:szCs w:val="22"/>
        </w:rPr>
      </w:pPr>
      <w:r w:rsidRPr="00E57965">
        <w:rPr>
          <w:rFonts w:ascii="Times New Roman" w:hAnsi="Times New Roman"/>
          <w:szCs w:val="22"/>
        </w:rPr>
        <w:t xml:space="preserve">Pojmy s velkými písmeny v této </w:t>
      </w:r>
      <w:r w:rsidR="00E345D9" w:rsidRPr="005C4BEA">
        <w:rPr>
          <w:rFonts w:ascii="Times New Roman" w:hAnsi="Times New Roman"/>
          <w:szCs w:val="22"/>
        </w:rPr>
        <w:t>Nabídce</w:t>
      </w:r>
      <w:r w:rsidRPr="00E57965">
        <w:rPr>
          <w:rFonts w:ascii="Times New Roman" w:hAnsi="Times New Roman"/>
          <w:szCs w:val="22"/>
        </w:rPr>
        <w:t xml:space="preserve"> nedefinované mají význam uvedený v Servisní smlouvě.</w:t>
      </w:r>
    </w:p>
    <w:p w14:paraId="61BE4B37" w14:textId="7E4FFE47" w:rsidR="00D700D4" w:rsidRPr="005C4BEA" w:rsidRDefault="00D700D4" w:rsidP="00E57965">
      <w:pPr>
        <w:pStyle w:val="UStyl2"/>
        <w:numPr>
          <w:ilvl w:val="0"/>
          <w:numId w:val="9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Na základě objednávky Objednatele, která představuje odsouhlasení Nabídky, doručené Poskytovateli v elektronické podobě („</w:t>
      </w:r>
      <w:r w:rsidRPr="00E57965">
        <w:rPr>
          <w:rFonts w:ascii="Times New Roman" w:hAnsi="Times New Roman"/>
          <w:b/>
          <w:bCs/>
          <w:szCs w:val="22"/>
        </w:rPr>
        <w:t>Objednávka</w:t>
      </w:r>
      <w:r w:rsidRPr="00E57965">
        <w:rPr>
          <w:rFonts w:ascii="Times New Roman" w:hAnsi="Times New Roman"/>
          <w:szCs w:val="22"/>
        </w:rPr>
        <w:t xml:space="preserve">“), se Poskytovatel zavazuje poskytovat Služby na objednávku uvedené v Nabídce. Dílčí smlouva </w:t>
      </w:r>
      <w:r w:rsidR="0073498B" w:rsidRPr="00E57965">
        <w:rPr>
          <w:rFonts w:ascii="Times New Roman" w:hAnsi="Times New Roman"/>
          <w:szCs w:val="22"/>
        </w:rPr>
        <w:t>dle Servisní smlouvy („</w:t>
      </w:r>
      <w:r w:rsidR="0073498B" w:rsidRPr="00E57965">
        <w:rPr>
          <w:rFonts w:ascii="Times New Roman" w:hAnsi="Times New Roman"/>
          <w:b/>
          <w:bCs/>
          <w:szCs w:val="22"/>
        </w:rPr>
        <w:t>Dílčí smlouva</w:t>
      </w:r>
      <w:r w:rsidR="0073498B" w:rsidRPr="00E57965">
        <w:rPr>
          <w:rFonts w:ascii="Times New Roman" w:hAnsi="Times New Roman"/>
          <w:szCs w:val="22"/>
        </w:rPr>
        <w:t xml:space="preserve">“) je </w:t>
      </w:r>
      <w:r w:rsidRPr="00E57965">
        <w:rPr>
          <w:rFonts w:ascii="Times New Roman" w:hAnsi="Times New Roman"/>
          <w:szCs w:val="22"/>
        </w:rPr>
        <w:t>uzavřena doručením Objednávky Poskytovateli. Objednávku je oprávněna učinit Kontaktní osoba Objednatele pro věci smluvní.</w:t>
      </w:r>
    </w:p>
    <w:p w14:paraId="734F65C7" w14:textId="77DA4DC5" w:rsidR="00976C32" w:rsidRPr="005C4BEA" w:rsidRDefault="00976C32" w:rsidP="00E57965">
      <w:pPr>
        <w:pStyle w:val="UStyl2"/>
        <w:numPr>
          <w:ilvl w:val="0"/>
          <w:numId w:val="9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Každá Dílčí smlouva se řídí Servisní smlouvou a ustanovení Servisní smlouvy mají přednost před odchylnými ustanoveními Dílčí smlouvy. Dílčí smlouva nabývá účinnosti nejdříve uveřejněním příslušné Dílčí smlouvy prostřednictvím tzv. registru smluv dle zákona č. 340/2015 Sb., o zvláštních podmínkách účinnosti některých smluv, uveřejňování těchto smluv a o registru smluv (zákon o registru smluv), ve znění pozdějších předpisů („</w:t>
      </w:r>
      <w:r w:rsidRPr="00E57965">
        <w:rPr>
          <w:rFonts w:ascii="Times New Roman" w:hAnsi="Times New Roman"/>
          <w:b/>
          <w:bCs/>
          <w:szCs w:val="22"/>
        </w:rPr>
        <w:t>ZRS</w:t>
      </w:r>
      <w:r w:rsidRPr="00E57965">
        <w:rPr>
          <w:rFonts w:ascii="Times New Roman" w:hAnsi="Times New Roman"/>
          <w:szCs w:val="22"/>
        </w:rPr>
        <w:t>“).</w:t>
      </w:r>
    </w:p>
    <w:p w14:paraId="1D1F734B" w14:textId="68C96757" w:rsidR="000D40C7" w:rsidRPr="006E3F55" w:rsidRDefault="000D40C7" w:rsidP="00E57965">
      <w:pPr>
        <w:pStyle w:val="UStyl2"/>
        <w:numPr>
          <w:ilvl w:val="0"/>
          <w:numId w:val="9"/>
        </w:numPr>
        <w:spacing w:line="240" w:lineRule="auto"/>
        <w:rPr>
          <w:szCs w:val="22"/>
        </w:rPr>
      </w:pPr>
      <w:r w:rsidRPr="00E57965">
        <w:rPr>
          <w:rFonts w:ascii="Times New Roman" w:hAnsi="Times New Roman"/>
          <w:szCs w:val="22"/>
        </w:rPr>
        <w:t>Dílčí smlouva neobsahuje obchodní tajemství žádné ze Stran ani jiné informace vyloučené z</w:t>
      </w:r>
      <w:r w:rsidR="004402DC" w:rsidRPr="00E57965">
        <w:rPr>
          <w:rFonts w:ascii="Times New Roman" w:hAnsi="Times New Roman"/>
          <w:szCs w:val="22"/>
        </w:rPr>
        <w:t> </w:t>
      </w:r>
      <w:r w:rsidRPr="00E57965">
        <w:rPr>
          <w:rFonts w:ascii="Times New Roman" w:hAnsi="Times New Roman"/>
          <w:szCs w:val="22"/>
        </w:rPr>
        <w:t xml:space="preserve">povinnosti uveřejnění (s výjimkou uvedenou dále) a je způsobilá k uveřejnění v registru smluv ve smyslu </w:t>
      </w:r>
      <w:r w:rsidR="00976C32" w:rsidRPr="00E57965">
        <w:rPr>
          <w:rFonts w:ascii="Times New Roman" w:hAnsi="Times New Roman"/>
          <w:szCs w:val="22"/>
        </w:rPr>
        <w:t xml:space="preserve">ZRS </w:t>
      </w:r>
      <w:r w:rsidRPr="00E57965">
        <w:rPr>
          <w:rFonts w:ascii="Times New Roman" w:hAnsi="Times New Roman"/>
          <w:szCs w:val="22"/>
        </w:rPr>
        <w:t>a Strany s uveřejněním Dílčí smlouvy souhlasí</w:t>
      </w:r>
      <w:r w:rsidR="00F1308B" w:rsidRPr="00E57965">
        <w:rPr>
          <w:rFonts w:ascii="Times New Roman" w:hAnsi="Times New Roman"/>
          <w:szCs w:val="22"/>
        </w:rPr>
        <w:t>, s výjimkou dle čl. 35.2 Servisní smlouvy.</w:t>
      </w:r>
      <w:r w:rsidR="00800BBA" w:rsidRPr="00E57965">
        <w:rPr>
          <w:rFonts w:ascii="Times New Roman" w:hAnsi="Times New Roman"/>
          <w:szCs w:val="22"/>
        </w:rPr>
        <w:t xml:space="preserve"> </w:t>
      </w:r>
      <w:r w:rsidR="006F15B9" w:rsidRPr="00E57965">
        <w:rPr>
          <w:rFonts w:ascii="Times New Roman" w:hAnsi="Times New Roman"/>
          <w:szCs w:val="22"/>
        </w:rPr>
        <w:t>Uveřejnění Dílčí smlouvy v registru smluv zabezpečí Objednatel.</w:t>
      </w:r>
    </w:p>
    <w:p w14:paraId="12D6827D" w14:textId="76223213" w:rsidR="00710AE6" w:rsidRPr="00710AE6" w:rsidRDefault="004B409A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bCs/>
          <w:sz w:val="22"/>
          <w:szCs w:val="22"/>
        </w:rPr>
      </w:pPr>
      <w:r w:rsidRPr="00710AE6">
        <w:rPr>
          <w:b/>
          <w:bCs/>
          <w:sz w:val="22"/>
          <w:szCs w:val="22"/>
          <w:u w:val="single"/>
        </w:rPr>
        <w:t xml:space="preserve">Lhůta k potvrzení </w:t>
      </w:r>
      <w:r w:rsidR="00905525" w:rsidRPr="00710AE6">
        <w:rPr>
          <w:b/>
          <w:bCs/>
          <w:sz w:val="22"/>
          <w:szCs w:val="22"/>
          <w:u w:val="single"/>
        </w:rPr>
        <w:t>Nabídky</w:t>
      </w:r>
      <w:r w:rsidRPr="00710AE6">
        <w:rPr>
          <w:b/>
          <w:bCs/>
          <w:sz w:val="22"/>
          <w:szCs w:val="22"/>
          <w:u w:val="single"/>
        </w:rPr>
        <w:t>:</w:t>
      </w:r>
      <w:r w:rsidR="00D51046">
        <w:rPr>
          <w:b/>
          <w:bCs/>
          <w:sz w:val="22"/>
          <w:szCs w:val="22"/>
          <w:u w:val="single"/>
        </w:rPr>
        <w:t xml:space="preserve"> </w:t>
      </w:r>
      <w:r w:rsidR="00905525" w:rsidRPr="00710AE6">
        <w:rPr>
          <w:sz w:val="22"/>
          <w:szCs w:val="22"/>
        </w:rPr>
        <w:t xml:space="preserve">Doba platnosti Nabídky je </w:t>
      </w:r>
      <w:r w:rsidR="003C0627" w:rsidRPr="00710AE6">
        <w:rPr>
          <w:sz w:val="22"/>
          <w:szCs w:val="22"/>
        </w:rPr>
        <w:t xml:space="preserve">v souladu s ustanovením Servisní smlouvy </w:t>
      </w:r>
      <w:r w:rsidR="00905525" w:rsidRPr="00710AE6">
        <w:rPr>
          <w:sz w:val="22"/>
          <w:szCs w:val="22"/>
        </w:rPr>
        <w:t>třicet (30) dnů ode dne jejího doručení Objednateli.</w:t>
      </w:r>
      <w:r w:rsidR="005C4BEA" w:rsidRPr="00710AE6">
        <w:rPr>
          <w:sz w:val="22"/>
          <w:szCs w:val="22"/>
        </w:rPr>
        <w:t xml:space="preserve"> </w:t>
      </w:r>
      <w:r w:rsidR="005C4BEA" w:rsidRPr="00710AE6">
        <w:rPr>
          <w:bCs/>
          <w:sz w:val="22"/>
          <w:szCs w:val="22"/>
        </w:rPr>
        <w:t>Poskytovatel neprodlužuje dobu platnosti Nabíd</w:t>
      </w:r>
      <w:r w:rsidR="00C4078E" w:rsidRPr="00710AE6">
        <w:rPr>
          <w:bCs/>
          <w:sz w:val="22"/>
          <w:szCs w:val="22"/>
        </w:rPr>
        <w:t>ky.</w:t>
      </w:r>
    </w:p>
    <w:p w14:paraId="2E49AD88" w14:textId="77777777" w:rsidR="00710AE6" w:rsidRDefault="00710AE6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bCs/>
          <w:szCs w:val="22"/>
        </w:rPr>
      </w:pPr>
    </w:p>
    <w:p w14:paraId="7FFCB257" w14:textId="77777777" w:rsidR="0035436C" w:rsidRDefault="0035436C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</w:p>
    <w:p w14:paraId="24A2A257" w14:textId="452D9011" w:rsidR="00E67AC7" w:rsidRDefault="00E67AC7" w:rsidP="00710AE6">
      <w:pPr>
        <w:overflowPunct w:val="0"/>
        <w:autoSpaceDE w:val="0"/>
        <w:autoSpaceDN w:val="0"/>
        <w:adjustRightInd w:val="0"/>
        <w:ind w:left="-284"/>
        <w:jc w:val="both"/>
        <w:textAlignment w:val="baseline"/>
      </w:pPr>
      <w:r w:rsidRPr="00AC36EA">
        <w:t>S</w:t>
      </w:r>
      <w:r w:rsidR="00717967">
        <w:t> </w:t>
      </w:r>
      <w:r w:rsidRPr="00AC36EA">
        <w:t>pozdravem</w:t>
      </w:r>
    </w:p>
    <w:p w14:paraId="0D945F95" w14:textId="77777777" w:rsidR="004205A1" w:rsidRDefault="004205A1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</w:p>
    <w:p w14:paraId="0E3ABA27" w14:textId="41DE70A6" w:rsidR="00E67AC7" w:rsidRPr="00A56D58" w:rsidRDefault="00E67AC7" w:rsidP="00710AE6">
      <w:pPr>
        <w:spacing w:after="24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 xml:space="preserve">Za </w:t>
      </w:r>
      <w:r w:rsidR="001E10C9">
        <w:rPr>
          <w:b/>
          <w:bCs/>
          <w:iCs/>
          <w:sz w:val="22"/>
          <w:szCs w:val="22"/>
        </w:rPr>
        <w:t>Poskytovatele</w:t>
      </w:r>
      <w:r w:rsidRPr="00A56D58">
        <w:rPr>
          <w:b/>
          <w:bCs/>
          <w:iCs/>
          <w:sz w:val="22"/>
          <w:szCs w:val="22"/>
        </w:rPr>
        <w:t>:</w:t>
      </w:r>
    </w:p>
    <w:p w14:paraId="7E0415C6" w14:textId="0EE3762E" w:rsidR="00E67AC7" w:rsidRPr="00A56D58" w:rsidRDefault="00E67AC7" w:rsidP="00E67AC7">
      <w:pPr>
        <w:spacing w:after="600"/>
        <w:ind w:left="-284"/>
        <w:jc w:val="both"/>
        <w:rPr>
          <w:b/>
          <w:bCs/>
          <w:iCs/>
          <w:sz w:val="22"/>
          <w:szCs w:val="22"/>
        </w:rPr>
      </w:pPr>
      <w:r w:rsidRPr="00A56D58">
        <w:rPr>
          <w:b/>
          <w:bCs/>
          <w:iCs/>
          <w:sz w:val="22"/>
          <w:szCs w:val="22"/>
        </w:rPr>
        <w:t>V</w:t>
      </w:r>
      <w:r w:rsidR="001E10C9">
        <w:rPr>
          <w:b/>
          <w:bCs/>
          <w:iCs/>
          <w:sz w:val="22"/>
          <w:szCs w:val="22"/>
        </w:rPr>
        <w:t> </w:t>
      </w:r>
      <w:r w:rsidR="001E10C9" w:rsidRPr="00AC36EA">
        <w:rPr>
          <w:b/>
          <w:bCs/>
          <w:iCs/>
          <w:sz w:val="22"/>
          <w:szCs w:val="22"/>
        </w:rPr>
        <w:t>Praze</w:t>
      </w:r>
      <w:r w:rsidR="001E10C9">
        <w:rPr>
          <w:iCs/>
          <w:sz w:val="22"/>
          <w:szCs w:val="22"/>
        </w:rPr>
        <w:t xml:space="preserve"> </w:t>
      </w:r>
      <w:r w:rsidRPr="00636413">
        <w:rPr>
          <w:b/>
          <w:bCs/>
          <w:iCs/>
          <w:sz w:val="22"/>
          <w:szCs w:val="22"/>
        </w:rPr>
        <w:t xml:space="preserve">dne </w:t>
      </w:r>
      <w:r w:rsidR="00390C19">
        <w:rPr>
          <w:b/>
          <w:bCs/>
          <w:iCs/>
          <w:sz w:val="22"/>
          <w:szCs w:val="22"/>
        </w:rPr>
        <w:t>8</w:t>
      </w:r>
      <w:r w:rsidR="001E10C9" w:rsidRPr="00636413">
        <w:rPr>
          <w:b/>
          <w:bCs/>
          <w:iCs/>
          <w:sz w:val="22"/>
          <w:szCs w:val="22"/>
        </w:rPr>
        <w:t xml:space="preserve">. </w:t>
      </w:r>
      <w:r w:rsidR="00390C19">
        <w:rPr>
          <w:b/>
          <w:bCs/>
          <w:iCs/>
          <w:sz w:val="22"/>
          <w:szCs w:val="22"/>
        </w:rPr>
        <w:t>4</w:t>
      </w:r>
      <w:r w:rsidR="001E10C9" w:rsidRPr="00636413">
        <w:rPr>
          <w:b/>
          <w:bCs/>
          <w:iCs/>
          <w:sz w:val="22"/>
          <w:szCs w:val="22"/>
        </w:rPr>
        <w:t>. 2024</w:t>
      </w:r>
    </w:p>
    <w:p w14:paraId="7DC44230" w14:textId="77777777" w:rsidR="00E67AC7" w:rsidRPr="00A56D58" w:rsidRDefault="00E67AC7" w:rsidP="00E67AC7">
      <w:pPr>
        <w:tabs>
          <w:tab w:val="left" w:pos="3686"/>
        </w:tabs>
        <w:spacing w:before="720"/>
        <w:jc w:val="both"/>
        <w:rPr>
          <w:sz w:val="22"/>
          <w:szCs w:val="22"/>
        </w:rPr>
      </w:pPr>
      <w:r w:rsidRPr="00A56D58">
        <w:rPr>
          <w:sz w:val="22"/>
          <w:szCs w:val="22"/>
        </w:rPr>
        <w:tab/>
        <w:t>___________________________________</w:t>
      </w:r>
    </w:p>
    <w:p w14:paraId="571FC0F2" w14:textId="77777777" w:rsidR="0011332E" w:rsidRDefault="0011332E" w:rsidP="001E10C9">
      <w:pPr>
        <w:tabs>
          <w:tab w:val="left" w:pos="6820"/>
        </w:tabs>
        <w:ind w:left="3686"/>
        <w:rPr>
          <w:sz w:val="22"/>
          <w:szCs w:val="22"/>
        </w:rPr>
      </w:pPr>
      <w:r w:rsidRPr="0021755A">
        <w:rPr>
          <w:i/>
          <w:iCs/>
          <w:color w:val="FFFFFF" w:themeColor="background1"/>
          <w:szCs w:val="22"/>
          <w:highlight w:val="black"/>
        </w:rPr>
        <w:t>neveřejný údaj</w:t>
      </w:r>
      <w:r>
        <w:rPr>
          <w:sz w:val="22"/>
          <w:szCs w:val="22"/>
        </w:rPr>
        <w:t xml:space="preserve"> </w:t>
      </w:r>
    </w:p>
    <w:p w14:paraId="355E7E82" w14:textId="5F263081" w:rsidR="001E10C9" w:rsidRDefault="001E10C9" w:rsidP="001E10C9">
      <w:pPr>
        <w:tabs>
          <w:tab w:val="left" w:pos="6820"/>
        </w:tabs>
        <w:ind w:left="3686"/>
        <w:rPr>
          <w:sz w:val="22"/>
          <w:szCs w:val="22"/>
        </w:rPr>
      </w:pPr>
      <w:r>
        <w:rPr>
          <w:sz w:val="22"/>
          <w:szCs w:val="22"/>
        </w:rPr>
        <w:t>Ředitel a místopředseda představenstva</w:t>
      </w:r>
    </w:p>
    <w:p w14:paraId="12F9D177" w14:textId="5976E93B" w:rsidR="00710AE6" w:rsidRPr="00710AE6" w:rsidRDefault="001E10C9" w:rsidP="004205A1">
      <w:pPr>
        <w:tabs>
          <w:tab w:val="left" w:pos="6820"/>
        </w:tabs>
        <w:ind w:left="3686"/>
        <w:rPr>
          <w:sz w:val="22"/>
          <w:szCs w:val="22"/>
        </w:rPr>
      </w:pPr>
      <w:r>
        <w:rPr>
          <w:sz w:val="22"/>
          <w:szCs w:val="22"/>
        </w:rPr>
        <w:t>OKsystem a.s.</w:t>
      </w:r>
    </w:p>
    <w:p w14:paraId="72E9148D" w14:textId="1E5376E9" w:rsidR="000D51D1" w:rsidRDefault="000D51D1">
      <w:pPr>
        <w:spacing w:after="160" w:line="259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03059D64" w14:textId="634DCD5A" w:rsidR="00710AE6" w:rsidRDefault="000D51D1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Příloha č. 1 – vzor výkazu</w:t>
      </w:r>
    </w:p>
    <w:p w14:paraId="3ACBD2E8" w14:textId="2FC30398" w:rsidR="000D51D1" w:rsidRDefault="000D51D1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</w:p>
    <w:p w14:paraId="5EAA4185" w14:textId="676DB1FD" w:rsidR="000D51D1" w:rsidRPr="00710AE6" w:rsidRDefault="00780995" w:rsidP="00710AE6">
      <w:pPr>
        <w:tabs>
          <w:tab w:val="left" w:pos="6820"/>
        </w:tabs>
        <w:jc w:val="center"/>
        <w:rPr>
          <w:b/>
          <w:bCs/>
          <w:sz w:val="22"/>
          <w:szCs w:val="22"/>
          <w:u w:val="single"/>
        </w:rPr>
      </w:pPr>
      <w:r w:rsidRPr="00780995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ADCCD2" wp14:editId="47DB3707">
                <wp:simplePos x="0" y="0"/>
                <wp:positionH relativeFrom="column">
                  <wp:posOffset>219710</wp:posOffset>
                </wp:positionH>
                <wp:positionV relativeFrom="paragraph">
                  <wp:posOffset>1007110</wp:posOffset>
                </wp:positionV>
                <wp:extent cx="1422400" cy="1024890"/>
                <wp:effectExtent l="0" t="0" r="2540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0248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E9EE0" w14:textId="650C8946" w:rsidR="00780995" w:rsidRPr="00780995" w:rsidRDefault="00780995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0995"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Neveřejný údaj (vzorek)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DCC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3pt;margin-top:79.3pt;width:112pt;height:8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" fillcolor="black [3213]">
                <v:textbox>
                  <w:txbxContent>
                    <w:p w14:paraId="1A3E9EE0" w14:textId="650C8946" w:rsidR="00780995" w:rsidRPr="00780995" w:rsidRDefault="00780995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0995"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Neveřejný údaj (vzorek)</w:t>
                      </w:r>
                    </w:p>
                  </w:txbxContent>
                </v:textbox>
              </v:shape>
            </w:pict>
          </mc:Fallback>
        </mc:AlternateContent>
      </w:r>
      <w:r w:rsidR="000D51D1">
        <w:rPr>
          <w:noProof/>
          <w14:ligatures w14:val="standardContextual"/>
        </w:rPr>
        <w:drawing>
          <wp:inline distT="0" distB="0" distL="0" distR="0" wp14:anchorId="5951628F" wp14:editId="3BABC027">
            <wp:extent cx="5760720" cy="40563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1D1" w:rsidRPr="00710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511B" w14:textId="77777777" w:rsidR="004B0D9C" w:rsidRDefault="004B0D9C" w:rsidP="007C3AEB">
      <w:r>
        <w:separator/>
      </w:r>
    </w:p>
  </w:endnote>
  <w:endnote w:type="continuationSeparator" w:id="0">
    <w:p w14:paraId="4EB907EE" w14:textId="77777777" w:rsidR="004B0D9C" w:rsidRDefault="004B0D9C" w:rsidP="007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FA97" w14:textId="2BE4676F" w:rsidR="007C3AEB" w:rsidRPr="00E67AC7" w:rsidRDefault="007C3AEB" w:rsidP="00E67AC7">
    <w:pPr>
      <w:spacing w:before="120" w:after="120"/>
      <w:jc w:val="right"/>
      <w:rPr>
        <w:rFonts w:ascii="Arial" w:hAnsi="Arial" w:cs="Arial"/>
        <w:b/>
        <w:sz w:val="15"/>
        <w:szCs w:val="15"/>
        <w:lang w:eastAsia="en-US"/>
      </w:rPr>
    </w:pP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PAGE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1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  <w:r w:rsidRPr="00D503AE">
      <w:rPr>
        <w:rFonts w:ascii="Arial" w:hAnsi="Arial" w:cs="Arial"/>
        <w:b/>
        <w:sz w:val="15"/>
        <w:szCs w:val="15"/>
        <w:lang w:eastAsia="en-US"/>
      </w:rPr>
      <w:t xml:space="preserve"> / 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begin"/>
    </w:r>
    <w:r w:rsidRPr="00D503AE">
      <w:rPr>
        <w:rFonts w:ascii="Arial" w:hAnsi="Arial" w:cs="Arial"/>
        <w:b/>
        <w:sz w:val="15"/>
        <w:szCs w:val="15"/>
        <w:lang w:eastAsia="en-US"/>
      </w:rPr>
      <w:instrText xml:space="preserve"> NUMPAGES </w:instrText>
    </w:r>
    <w:r w:rsidRPr="00D503AE">
      <w:rPr>
        <w:rFonts w:ascii="Arial" w:hAnsi="Arial" w:cs="Arial"/>
        <w:b/>
        <w:sz w:val="15"/>
        <w:szCs w:val="15"/>
        <w:lang w:eastAsia="en-US"/>
      </w:rPr>
      <w:fldChar w:fldCharType="separate"/>
    </w:r>
    <w:r>
      <w:rPr>
        <w:rFonts w:ascii="Arial" w:hAnsi="Arial" w:cs="Arial"/>
        <w:b/>
        <w:sz w:val="15"/>
        <w:szCs w:val="15"/>
        <w:lang w:eastAsia="en-US"/>
      </w:rPr>
      <w:t>2</w:t>
    </w:r>
    <w:r w:rsidRPr="00D503AE">
      <w:rPr>
        <w:rFonts w:ascii="Arial" w:hAnsi="Arial" w:cs="Arial"/>
        <w:b/>
        <w:sz w:val="15"/>
        <w:szCs w:val="15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91D2" w14:textId="77777777" w:rsidR="004B0D9C" w:rsidRDefault="004B0D9C" w:rsidP="007C3AEB">
      <w:r>
        <w:separator/>
      </w:r>
    </w:p>
  </w:footnote>
  <w:footnote w:type="continuationSeparator" w:id="0">
    <w:p w14:paraId="62497110" w14:textId="77777777" w:rsidR="004B0D9C" w:rsidRDefault="004B0D9C" w:rsidP="007C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408D4"/>
    <w:multiLevelType w:val="hybridMultilevel"/>
    <w:tmpl w:val="BFE8E32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D0FBF0"/>
    <w:multiLevelType w:val="hybridMultilevel"/>
    <w:tmpl w:val="89C4A1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7B3007"/>
    <w:multiLevelType w:val="hybridMultilevel"/>
    <w:tmpl w:val="644901E7"/>
    <w:lvl w:ilvl="0" w:tplc="FFFFFFFF">
      <w:start w:val="1"/>
      <w:numFmt w:val="bullet"/>
      <w:lvlText w:val="•"/>
      <w:lvlJc w:val="left"/>
    </w:lvl>
    <w:lvl w:ilvl="1" w:tplc="24C9514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05667E"/>
    <w:multiLevelType w:val="hybridMultilevel"/>
    <w:tmpl w:val="670C954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61C4E"/>
    <w:multiLevelType w:val="hybridMultilevel"/>
    <w:tmpl w:val="583EA9CC"/>
    <w:lvl w:ilvl="0" w:tplc="45461D52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12F1572"/>
    <w:multiLevelType w:val="hybridMultilevel"/>
    <w:tmpl w:val="8858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76C39"/>
    <w:multiLevelType w:val="hybridMultilevel"/>
    <w:tmpl w:val="E2522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C5FC8"/>
    <w:multiLevelType w:val="hybridMultilevel"/>
    <w:tmpl w:val="10B44CB4"/>
    <w:lvl w:ilvl="0" w:tplc="20C8E7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512EF1"/>
    <w:multiLevelType w:val="hybridMultilevel"/>
    <w:tmpl w:val="36FA66A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9B474C"/>
    <w:multiLevelType w:val="hybridMultilevel"/>
    <w:tmpl w:val="06E00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60618"/>
    <w:multiLevelType w:val="hybridMultilevel"/>
    <w:tmpl w:val="6FCEC3F2"/>
    <w:lvl w:ilvl="0" w:tplc="9E6C01A4">
      <w:start w:val="2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7A82B7B"/>
    <w:multiLevelType w:val="hybridMultilevel"/>
    <w:tmpl w:val="B72A6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336AD"/>
    <w:multiLevelType w:val="hybridMultilevel"/>
    <w:tmpl w:val="AB8A7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06B84"/>
    <w:multiLevelType w:val="hybridMultilevel"/>
    <w:tmpl w:val="0D2804A0"/>
    <w:lvl w:ilvl="0" w:tplc="74B23C6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75F30"/>
    <w:multiLevelType w:val="multilevel"/>
    <w:tmpl w:val="0648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2F2677"/>
    <w:multiLevelType w:val="hybridMultilevel"/>
    <w:tmpl w:val="C22ED170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33946CEB"/>
    <w:multiLevelType w:val="hybridMultilevel"/>
    <w:tmpl w:val="83CEE5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35C03B1A"/>
    <w:multiLevelType w:val="hybridMultilevel"/>
    <w:tmpl w:val="0720A4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812A00"/>
    <w:multiLevelType w:val="hybridMultilevel"/>
    <w:tmpl w:val="D818C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E5EFD"/>
    <w:multiLevelType w:val="hybridMultilevel"/>
    <w:tmpl w:val="DEF04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E175E"/>
    <w:multiLevelType w:val="hybridMultilevel"/>
    <w:tmpl w:val="07A4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6465F"/>
    <w:multiLevelType w:val="hybridMultilevel"/>
    <w:tmpl w:val="3918AFFA"/>
    <w:lvl w:ilvl="0" w:tplc="B5F031FC">
      <w:start w:val="1"/>
      <w:numFmt w:val="lowerRoman"/>
      <w:lvlText w:val="(%1)"/>
      <w:lvlJc w:val="left"/>
      <w:pPr>
        <w:ind w:left="2138" w:hanging="72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4D02AFB"/>
    <w:multiLevelType w:val="hybridMultilevel"/>
    <w:tmpl w:val="EF1459AA"/>
    <w:lvl w:ilvl="0" w:tplc="FBDE405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5EE765B"/>
    <w:multiLevelType w:val="hybridMultilevel"/>
    <w:tmpl w:val="7E68F08C"/>
    <w:lvl w:ilvl="0" w:tplc="9B823FF6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A202BEC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B4779"/>
    <w:multiLevelType w:val="hybridMultilevel"/>
    <w:tmpl w:val="63BA2DF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6B454BF"/>
    <w:multiLevelType w:val="hybridMultilevel"/>
    <w:tmpl w:val="25316D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7762F73"/>
    <w:multiLevelType w:val="hybridMultilevel"/>
    <w:tmpl w:val="99D40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E97E3040">
      <w:start w:val="1"/>
      <w:numFmt w:val="lowerLetter"/>
      <w:lvlText w:val="%5)"/>
      <w:lvlJc w:val="right"/>
      <w:pPr>
        <w:ind w:left="3600" w:hanging="360"/>
      </w:pPr>
      <w:rPr>
        <w:rFonts w:asciiTheme="minorHAnsi" w:eastAsia="Calibri" w:hAnsiTheme="minorHAnsi" w:cstheme="minorHAnsi"/>
      </w:r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19">
      <w:start w:val="1"/>
      <w:numFmt w:val="lowerLetter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C00C7"/>
    <w:multiLevelType w:val="hybridMultilevel"/>
    <w:tmpl w:val="8C88C7FA"/>
    <w:lvl w:ilvl="0" w:tplc="9C82C1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8588B"/>
    <w:multiLevelType w:val="hybridMultilevel"/>
    <w:tmpl w:val="6164CA3E"/>
    <w:lvl w:ilvl="0" w:tplc="3F20197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E6860"/>
    <w:multiLevelType w:val="hybridMultilevel"/>
    <w:tmpl w:val="888E0EF2"/>
    <w:lvl w:ilvl="0" w:tplc="AB489EEE">
      <w:start w:val="3"/>
      <w:numFmt w:val="bullet"/>
      <w:lvlText w:val=""/>
      <w:lvlJc w:val="left"/>
      <w:pPr>
        <w:ind w:left="1429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FD60294"/>
    <w:multiLevelType w:val="hybridMultilevel"/>
    <w:tmpl w:val="CA221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53EED"/>
    <w:multiLevelType w:val="hybridMultilevel"/>
    <w:tmpl w:val="B204DF38"/>
    <w:lvl w:ilvl="0" w:tplc="37FAE654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F2827"/>
    <w:multiLevelType w:val="hybridMultilevel"/>
    <w:tmpl w:val="E9643460"/>
    <w:lvl w:ilvl="0" w:tplc="956E34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5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324C2"/>
    <w:multiLevelType w:val="hybridMultilevel"/>
    <w:tmpl w:val="9D50B6B0"/>
    <w:lvl w:ilvl="0" w:tplc="F27886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C49BD"/>
    <w:multiLevelType w:val="hybridMultilevel"/>
    <w:tmpl w:val="36EC460A"/>
    <w:lvl w:ilvl="0" w:tplc="040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37FAE65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ind w:left="3240" w:hanging="360"/>
      </w:pPr>
    </w:lvl>
    <w:lvl w:ilvl="4" w:tplc="0405001B">
      <w:start w:val="1"/>
      <w:numFmt w:val="lowerRoman"/>
      <w:lvlText w:val="%5."/>
      <w:lvlJc w:val="righ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19">
      <w:start w:val="1"/>
      <w:numFmt w:val="lowerLetter"/>
      <w:lvlText w:val="%7."/>
      <w:lvlJc w:val="left"/>
      <w:pPr>
        <w:ind w:left="5400" w:hanging="360"/>
      </w:pPr>
    </w:lvl>
    <w:lvl w:ilvl="7" w:tplc="0405001B">
      <w:start w:val="1"/>
      <w:numFmt w:val="lowerRoman"/>
      <w:lvlText w:val="%8."/>
      <w:lvlJc w:val="righ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4B5D6A"/>
    <w:multiLevelType w:val="multilevel"/>
    <w:tmpl w:val="A75E7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264703"/>
    <w:multiLevelType w:val="hybridMultilevel"/>
    <w:tmpl w:val="1764CF8C"/>
    <w:lvl w:ilvl="0" w:tplc="F30476E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321C06"/>
    <w:multiLevelType w:val="multilevel"/>
    <w:tmpl w:val="7B7A92F0"/>
    <w:lvl w:ilvl="0">
      <w:start w:val="1"/>
      <w:numFmt w:val="bullet"/>
      <w:pStyle w:val="odrazka1lvl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pStyle w:val="odrazka2lvl"/>
      <w:lvlText w:val=""/>
      <w:lvlJc w:val="left"/>
      <w:pPr>
        <w:ind w:left="918" w:firstLine="156"/>
      </w:pPr>
      <w:rPr>
        <w:rFonts w:ascii="Wingdings" w:hAnsi="Wingdings" w:hint="default"/>
        <w:sz w:val="12"/>
      </w:rPr>
    </w:lvl>
    <w:lvl w:ilvl="2">
      <w:start w:val="1"/>
      <w:numFmt w:val="bullet"/>
      <w:pStyle w:val="odrazka3lvl"/>
      <w:lvlText w:val="-"/>
      <w:lvlJc w:val="left"/>
      <w:pPr>
        <w:ind w:left="1434" w:hanging="363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54" w:hanging="360"/>
      </w:pPr>
      <w:rPr>
        <w:rFonts w:ascii="Symbol" w:hAnsi="Symbol" w:hint="default"/>
      </w:rPr>
    </w:lvl>
  </w:abstractNum>
  <w:abstractNum w:abstractNumId="38" w15:restartNumberingAfterBreak="0">
    <w:nsid w:val="734F6189"/>
    <w:multiLevelType w:val="hybridMultilevel"/>
    <w:tmpl w:val="0E32ED42"/>
    <w:lvl w:ilvl="0" w:tplc="3CCAA5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E486C"/>
    <w:multiLevelType w:val="hybridMultilevel"/>
    <w:tmpl w:val="9D66B8AE"/>
    <w:lvl w:ilvl="0" w:tplc="0405001B">
      <w:start w:val="1"/>
      <w:numFmt w:val="lowerRoman"/>
      <w:lvlText w:val="%1."/>
      <w:lvlJc w:val="righ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120A21"/>
    <w:multiLevelType w:val="hybridMultilevel"/>
    <w:tmpl w:val="C8EC850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47645828">
    <w:abstractNumId w:val="35"/>
  </w:num>
  <w:num w:numId="2" w16cid:durableId="1157840853">
    <w:abstractNumId w:val="35"/>
  </w:num>
  <w:num w:numId="3" w16cid:durableId="1264609219">
    <w:abstractNumId w:val="35"/>
  </w:num>
  <w:num w:numId="4" w16cid:durableId="625964112">
    <w:abstractNumId w:val="23"/>
  </w:num>
  <w:num w:numId="5" w16cid:durableId="26175511">
    <w:abstractNumId w:val="23"/>
    <w:lvlOverride w:ilvl="0">
      <w:startOverride w:val="1"/>
    </w:lvlOverride>
  </w:num>
  <w:num w:numId="6" w16cid:durableId="751506773">
    <w:abstractNumId w:val="23"/>
  </w:num>
  <w:num w:numId="7" w16cid:durableId="100154226">
    <w:abstractNumId w:val="23"/>
    <w:lvlOverride w:ilvl="0">
      <w:startOverride w:val="1"/>
    </w:lvlOverride>
  </w:num>
  <w:num w:numId="8" w16cid:durableId="193351851">
    <w:abstractNumId w:val="23"/>
    <w:lvlOverride w:ilvl="0">
      <w:startOverride w:val="1"/>
    </w:lvlOverride>
  </w:num>
  <w:num w:numId="9" w16cid:durableId="2007585958">
    <w:abstractNumId w:val="6"/>
  </w:num>
  <w:num w:numId="10" w16cid:durableId="850997173">
    <w:abstractNumId w:val="9"/>
  </w:num>
  <w:num w:numId="11" w16cid:durableId="101848975">
    <w:abstractNumId w:val="23"/>
  </w:num>
  <w:num w:numId="12" w16cid:durableId="1170292580">
    <w:abstractNumId w:val="3"/>
  </w:num>
  <w:num w:numId="13" w16cid:durableId="1820149772">
    <w:abstractNumId w:val="25"/>
  </w:num>
  <w:num w:numId="14" w16cid:durableId="1274707043">
    <w:abstractNumId w:val="1"/>
  </w:num>
  <w:num w:numId="15" w16cid:durableId="675692290">
    <w:abstractNumId w:val="0"/>
  </w:num>
  <w:num w:numId="16" w16cid:durableId="617445305">
    <w:abstractNumId w:val="2"/>
  </w:num>
  <w:num w:numId="17" w16cid:durableId="1393624510">
    <w:abstractNumId w:val="38"/>
  </w:num>
  <w:num w:numId="18" w16cid:durableId="429473969">
    <w:abstractNumId w:val="20"/>
  </w:num>
  <w:num w:numId="19" w16cid:durableId="198976622">
    <w:abstractNumId w:val="18"/>
  </w:num>
  <w:num w:numId="20" w16cid:durableId="1060641690">
    <w:abstractNumId w:val="12"/>
  </w:num>
  <w:num w:numId="21" w16cid:durableId="34619613">
    <w:abstractNumId w:val="11"/>
  </w:num>
  <w:num w:numId="22" w16cid:durableId="1576894192">
    <w:abstractNumId w:val="17"/>
  </w:num>
  <w:num w:numId="23" w16cid:durableId="241840785">
    <w:abstractNumId w:val="37"/>
  </w:num>
  <w:num w:numId="24" w16cid:durableId="460270913">
    <w:abstractNumId w:val="33"/>
  </w:num>
  <w:num w:numId="25" w16cid:durableId="2119326463">
    <w:abstractNumId w:val="4"/>
  </w:num>
  <w:num w:numId="26" w16cid:durableId="1042902861">
    <w:abstractNumId w:val="5"/>
  </w:num>
  <w:num w:numId="27" w16cid:durableId="1799954967">
    <w:abstractNumId w:val="8"/>
  </w:num>
  <w:num w:numId="28" w16cid:durableId="198862655">
    <w:abstractNumId w:val="7"/>
  </w:num>
  <w:num w:numId="29" w16cid:durableId="1228421233">
    <w:abstractNumId w:val="21"/>
  </w:num>
  <w:num w:numId="30" w16cid:durableId="1546405307">
    <w:abstractNumId w:val="24"/>
  </w:num>
  <w:num w:numId="31" w16cid:durableId="1054743988">
    <w:abstractNumId w:val="16"/>
  </w:num>
  <w:num w:numId="32" w16cid:durableId="1774203899">
    <w:abstractNumId w:val="15"/>
  </w:num>
  <w:num w:numId="33" w16cid:durableId="1235895884">
    <w:abstractNumId w:val="36"/>
  </w:num>
  <w:num w:numId="34" w16cid:durableId="1168255494">
    <w:abstractNumId w:val="39"/>
  </w:num>
  <w:num w:numId="35" w16cid:durableId="371535057">
    <w:abstractNumId w:val="32"/>
  </w:num>
  <w:num w:numId="36" w16cid:durableId="851265575">
    <w:abstractNumId w:val="30"/>
  </w:num>
  <w:num w:numId="37" w16cid:durableId="1861428123">
    <w:abstractNumId w:val="31"/>
  </w:num>
  <w:num w:numId="38" w16cid:durableId="1883781436">
    <w:abstractNumId w:val="28"/>
  </w:num>
  <w:num w:numId="39" w16cid:durableId="1421487683">
    <w:abstractNumId w:val="26"/>
  </w:num>
  <w:num w:numId="40" w16cid:durableId="322587549">
    <w:abstractNumId w:val="34"/>
  </w:num>
  <w:num w:numId="41" w16cid:durableId="886182364">
    <w:abstractNumId w:val="19"/>
  </w:num>
  <w:num w:numId="42" w16cid:durableId="1339309500">
    <w:abstractNumId w:val="40"/>
  </w:num>
  <w:num w:numId="43" w16cid:durableId="1591423407">
    <w:abstractNumId w:val="14"/>
  </w:num>
  <w:num w:numId="44" w16cid:durableId="1945920256">
    <w:abstractNumId w:val="27"/>
  </w:num>
  <w:num w:numId="45" w16cid:durableId="1448282439">
    <w:abstractNumId w:val="13"/>
  </w:num>
  <w:num w:numId="46" w16cid:durableId="1121873342">
    <w:abstractNumId w:val="10"/>
  </w:num>
  <w:num w:numId="47" w16cid:durableId="2055225507">
    <w:abstractNumId w:val="22"/>
  </w:num>
  <w:num w:numId="48" w16cid:durableId="13168352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A"/>
    <w:rsid w:val="00024A3C"/>
    <w:rsid w:val="0004169A"/>
    <w:rsid w:val="00046F80"/>
    <w:rsid w:val="000707C8"/>
    <w:rsid w:val="00083B65"/>
    <w:rsid w:val="000B6DF0"/>
    <w:rsid w:val="000D2513"/>
    <w:rsid w:val="000D40C7"/>
    <w:rsid w:val="000D51D1"/>
    <w:rsid w:val="000E7349"/>
    <w:rsid w:val="000F3059"/>
    <w:rsid w:val="000F68A4"/>
    <w:rsid w:val="0010031C"/>
    <w:rsid w:val="001103FD"/>
    <w:rsid w:val="00112611"/>
    <w:rsid w:val="0011332E"/>
    <w:rsid w:val="00122659"/>
    <w:rsid w:val="00127C7E"/>
    <w:rsid w:val="00142B55"/>
    <w:rsid w:val="0015488C"/>
    <w:rsid w:val="00176472"/>
    <w:rsid w:val="001A70A6"/>
    <w:rsid w:val="001B09D6"/>
    <w:rsid w:val="001C0E00"/>
    <w:rsid w:val="001C79D8"/>
    <w:rsid w:val="001E05E7"/>
    <w:rsid w:val="001E10C9"/>
    <w:rsid w:val="00204064"/>
    <w:rsid w:val="0021492D"/>
    <w:rsid w:val="00233227"/>
    <w:rsid w:val="00274E92"/>
    <w:rsid w:val="00281108"/>
    <w:rsid w:val="002C2FB8"/>
    <w:rsid w:val="002C44EC"/>
    <w:rsid w:val="002F4FCC"/>
    <w:rsid w:val="00320E13"/>
    <w:rsid w:val="00332248"/>
    <w:rsid w:val="00341BDE"/>
    <w:rsid w:val="0035436C"/>
    <w:rsid w:val="0038281F"/>
    <w:rsid w:val="0038325D"/>
    <w:rsid w:val="00390C19"/>
    <w:rsid w:val="003936CA"/>
    <w:rsid w:val="003C0627"/>
    <w:rsid w:val="003F036F"/>
    <w:rsid w:val="00401234"/>
    <w:rsid w:val="004205A1"/>
    <w:rsid w:val="00432936"/>
    <w:rsid w:val="004402DC"/>
    <w:rsid w:val="00457677"/>
    <w:rsid w:val="0046535F"/>
    <w:rsid w:val="0047396F"/>
    <w:rsid w:val="00492D0D"/>
    <w:rsid w:val="004A3825"/>
    <w:rsid w:val="004A4CDA"/>
    <w:rsid w:val="004B0D9C"/>
    <w:rsid w:val="004B409A"/>
    <w:rsid w:val="004B597B"/>
    <w:rsid w:val="004C1774"/>
    <w:rsid w:val="0050104B"/>
    <w:rsid w:val="00502E4D"/>
    <w:rsid w:val="00515D04"/>
    <w:rsid w:val="00516E21"/>
    <w:rsid w:val="00535431"/>
    <w:rsid w:val="00551EED"/>
    <w:rsid w:val="00554575"/>
    <w:rsid w:val="005C4BEA"/>
    <w:rsid w:val="005F6EF3"/>
    <w:rsid w:val="00602188"/>
    <w:rsid w:val="00636413"/>
    <w:rsid w:val="00656841"/>
    <w:rsid w:val="0066033A"/>
    <w:rsid w:val="00666D65"/>
    <w:rsid w:val="006D559C"/>
    <w:rsid w:val="006E3F55"/>
    <w:rsid w:val="006E658C"/>
    <w:rsid w:val="006F15B9"/>
    <w:rsid w:val="007051A5"/>
    <w:rsid w:val="00710AE6"/>
    <w:rsid w:val="007168DE"/>
    <w:rsid w:val="00717967"/>
    <w:rsid w:val="0073498B"/>
    <w:rsid w:val="00747A12"/>
    <w:rsid w:val="00750508"/>
    <w:rsid w:val="00780995"/>
    <w:rsid w:val="0079261D"/>
    <w:rsid w:val="007C3AEB"/>
    <w:rsid w:val="007C7D1D"/>
    <w:rsid w:val="007F7AE1"/>
    <w:rsid w:val="00800BBA"/>
    <w:rsid w:val="00850A24"/>
    <w:rsid w:val="0087684F"/>
    <w:rsid w:val="00883C13"/>
    <w:rsid w:val="00890966"/>
    <w:rsid w:val="0089371E"/>
    <w:rsid w:val="00893CAB"/>
    <w:rsid w:val="008947A1"/>
    <w:rsid w:val="0089592F"/>
    <w:rsid w:val="00895CD1"/>
    <w:rsid w:val="008A7137"/>
    <w:rsid w:val="008D58EF"/>
    <w:rsid w:val="008E0B6F"/>
    <w:rsid w:val="008F125C"/>
    <w:rsid w:val="00905525"/>
    <w:rsid w:val="00966C28"/>
    <w:rsid w:val="00976C32"/>
    <w:rsid w:val="009D2CC2"/>
    <w:rsid w:val="009D4B5C"/>
    <w:rsid w:val="00A13735"/>
    <w:rsid w:val="00A16F2F"/>
    <w:rsid w:val="00A31B75"/>
    <w:rsid w:val="00A446DA"/>
    <w:rsid w:val="00A62FE4"/>
    <w:rsid w:val="00A6403C"/>
    <w:rsid w:val="00A70171"/>
    <w:rsid w:val="00A76C50"/>
    <w:rsid w:val="00A92F0A"/>
    <w:rsid w:val="00AA4867"/>
    <w:rsid w:val="00AB7C2E"/>
    <w:rsid w:val="00AC36EA"/>
    <w:rsid w:val="00AF2598"/>
    <w:rsid w:val="00B33960"/>
    <w:rsid w:val="00B34C85"/>
    <w:rsid w:val="00B53CF4"/>
    <w:rsid w:val="00B62BAA"/>
    <w:rsid w:val="00BA2A31"/>
    <w:rsid w:val="00BA79F6"/>
    <w:rsid w:val="00BB476A"/>
    <w:rsid w:val="00BB5492"/>
    <w:rsid w:val="00BE2E2D"/>
    <w:rsid w:val="00BE35E4"/>
    <w:rsid w:val="00BF460B"/>
    <w:rsid w:val="00BF4902"/>
    <w:rsid w:val="00C3282B"/>
    <w:rsid w:val="00C4078E"/>
    <w:rsid w:val="00C52996"/>
    <w:rsid w:val="00C874E1"/>
    <w:rsid w:val="00C92FCB"/>
    <w:rsid w:val="00CA12CB"/>
    <w:rsid w:val="00CA43C8"/>
    <w:rsid w:val="00CF2464"/>
    <w:rsid w:val="00CF4D8C"/>
    <w:rsid w:val="00D24B6B"/>
    <w:rsid w:val="00D33675"/>
    <w:rsid w:val="00D42C43"/>
    <w:rsid w:val="00D51046"/>
    <w:rsid w:val="00D700D4"/>
    <w:rsid w:val="00D73486"/>
    <w:rsid w:val="00DA430A"/>
    <w:rsid w:val="00DC197B"/>
    <w:rsid w:val="00DC5705"/>
    <w:rsid w:val="00DF19B2"/>
    <w:rsid w:val="00E264E5"/>
    <w:rsid w:val="00E31D33"/>
    <w:rsid w:val="00E345D9"/>
    <w:rsid w:val="00E37B7C"/>
    <w:rsid w:val="00E5330A"/>
    <w:rsid w:val="00E57965"/>
    <w:rsid w:val="00E67AC7"/>
    <w:rsid w:val="00E702FF"/>
    <w:rsid w:val="00E82FA1"/>
    <w:rsid w:val="00E929BC"/>
    <w:rsid w:val="00E92C73"/>
    <w:rsid w:val="00E95E51"/>
    <w:rsid w:val="00EA02A8"/>
    <w:rsid w:val="00EC4BC5"/>
    <w:rsid w:val="00F05CE8"/>
    <w:rsid w:val="00F1308B"/>
    <w:rsid w:val="00F30A29"/>
    <w:rsid w:val="00F51875"/>
    <w:rsid w:val="00F73B51"/>
    <w:rsid w:val="00FB7480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B351"/>
  <w15:chartTrackingRefBased/>
  <w15:docId w15:val="{76A922E3-FEE6-4DC1-A4A6-86D3306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024A3C"/>
    <w:pPr>
      <w:keepNext/>
      <w:keepLines/>
      <w:spacing w:before="480" w:line="312" w:lineRule="auto"/>
      <w:jc w:val="both"/>
      <w:outlineLvl w:val="0"/>
    </w:pPr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0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024A3C"/>
    <w:rPr>
      <w:rFonts w:ascii="Century Gothic" w:eastAsiaTheme="majorEastAsia" w:hAnsi="Century Gothic" w:cstheme="majorBidi"/>
      <w:b/>
      <w:bCs/>
      <w:caps/>
      <w:color w:val="000000" w:themeColor="text1"/>
      <w:spacing w:val="10"/>
      <w:sz w:val="21"/>
      <w:szCs w:val="28"/>
      <w:lang w:val="es-ES"/>
    </w:rPr>
  </w:style>
  <w:style w:type="paragraph" w:customStyle="1" w:styleId="Clanek11">
    <w:name w:val="Clanek 1.1"/>
    <w:basedOn w:val="Nadpis2"/>
    <w:link w:val="Clanek11Char"/>
    <w:qFormat/>
    <w:rsid w:val="00024A3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character" w:customStyle="1" w:styleId="Clanek11Char">
    <w:name w:val="Clanek 1.1 Char"/>
    <w:link w:val="Clanek11"/>
    <w:locked/>
    <w:rsid w:val="00024A3C"/>
    <w:rPr>
      <w:rFonts w:ascii="Times New Roman" w:eastAsia="Times New Roman" w:hAnsi="Times New Roman" w:cs="Arial"/>
      <w:bCs/>
      <w:i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05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neka">
    <w:name w:val="Clanek (a)"/>
    <w:basedOn w:val="Normln"/>
    <w:link w:val="ClanekaChar"/>
    <w:qFormat/>
    <w:rsid w:val="00750508"/>
    <w:pPr>
      <w:keepLines/>
      <w:widowControl w:val="0"/>
      <w:numPr>
        <w:ilvl w:val="2"/>
        <w:numId w:val="3"/>
      </w:numPr>
      <w:spacing w:before="120" w:after="120"/>
      <w:jc w:val="both"/>
    </w:pPr>
  </w:style>
  <w:style w:type="character" w:customStyle="1" w:styleId="ClanekaChar">
    <w:name w:val="Clanek (a) Char"/>
    <w:basedOn w:val="Standardnpsmoodstavce"/>
    <w:link w:val="Claneka"/>
    <w:rsid w:val="00750508"/>
    <w:rPr>
      <w:rFonts w:ascii="Times New Roman" w:eastAsia="Times New Roman" w:hAnsi="Times New Roman" w:cs="Times New Roman"/>
      <w:szCs w:val="24"/>
    </w:rPr>
  </w:style>
  <w:style w:type="paragraph" w:customStyle="1" w:styleId="UStyl2">
    <w:name w:val="U_Styl2"/>
    <w:basedOn w:val="Normln"/>
    <w:uiPriority w:val="99"/>
    <w:rsid w:val="004B409A"/>
    <w:pPr>
      <w:numPr>
        <w:numId w:val="6"/>
      </w:numPr>
      <w:spacing w:after="120" w:line="288" w:lineRule="auto"/>
      <w:jc w:val="both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4653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7C3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C3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AE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A7137"/>
    <w:pPr>
      <w:ind w:left="720"/>
      <w:contextualSpacing/>
    </w:pPr>
  </w:style>
  <w:style w:type="paragraph" w:customStyle="1" w:styleId="Default">
    <w:name w:val="Default"/>
    <w:rsid w:val="00716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10C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E10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10C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0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0C9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A6403C"/>
    <w:rPr>
      <w:color w:val="0563C1" w:themeColor="hyperlink"/>
      <w:u w:val="single"/>
    </w:rPr>
  </w:style>
  <w:style w:type="table" w:styleId="Mkatabulky">
    <w:name w:val="Table Grid"/>
    <w:basedOn w:val="Normlntabulka"/>
    <w:rsid w:val="00A6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0218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customStyle="1" w:styleId="odrazka1lvl">
    <w:name w:val="odrazka 1lvl"/>
    <w:basedOn w:val="Normln"/>
    <w:qFormat/>
    <w:rsid w:val="00602188"/>
    <w:pPr>
      <w:numPr>
        <w:numId w:val="23"/>
      </w:numPr>
      <w:spacing w:before="120" w:after="120"/>
      <w:ind w:left="357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2lvl">
    <w:name w:val="odrazka 2lvl"/>
    <w:basedOn w:val="Normln"/>
    <w:qFormat/>
    <w:rsid w:val="00602188"/>
    <w:pPr>
      <w:numPr>
        <w:ilvl w:val="1"/>
        <w:numId w:val="23"/>
      </w:numPr>
      <w:spacing w:before="120" w:after="120"/>
      <w:ind w:left="714" w:hanging="357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odrazka3lvl">
    <w:name w:val="odrazka 3lvl"/>
    <w:basedOn w:val="Normln"/>
    <w:qFormat/>
    <w:rsid w:val="00602188"/>
    <w:pPr>
      <w:numPr>
        <w:ilvl w:val="2"/>
        <w:numId w:val="23"/>
      </w:numPr>
      <w:spacing w:before="120" w:after="120"/>
      <w:ind w:left="1077" w:hanging="357"/>
      <w:contextualSpacing/>
      <w:jc w:val="both"/>
    </w:pPr>
    <w:rPr>
      <w:rFonts w:ascii="Arial" w:eastAsia="Calibri" w:hAnsi="Arial"/>
      <w:sz w:val="20"/>
      <w:szCs w:val="20"/>
    </w:rPr>
  </w:style>
  <w:style w:type="table" w:customStyle="1" w:styleId="Mkatabulky1">
    <w:name w:val="Mřížka tabulky1"/>
    <w:basedOn w:val="Normlntabulka"/>
    <w:next w:val="Mkatabulky"/>
    <w:rsid w:val="0038325D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710AE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ezmezerChar">
    <w:name w:val="Bez mezer Char"/>
    <w:link w:val="Bezmezer"/>
    <w:uiPriority w:val="1"/>
    <w:rsid w:val="00710AE6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710AE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41">
    <w:name w:val="l41"/>
    <w:basedOn w:val="Normln"/>
    <w:rsid w:val="00710AE6"/>
    <w:pPr>
      <w:spacing w:before="144" w:after="14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1064-9A38-40FE-918A-7C45B030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7626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H&amp;P3</dc:creator>
  <cp:keywords/>
  <dc:description/>
  <cp:lastModifiedBy>Druláková Lenka PhDr. (MPSV)</cp:lastModifiedBy>
  <cp:revision>2</cp:revision>
  <cp:lastPrinted>2024-01-24T10:21:00Z</cp:lastPrinted>
  <dcterms:created xsi:type="dcterms:W3CDTF">2024-04-30T13:55:00Z</dcterms:created>
  <dcterms:modified xsi:type="dcterms:W3CDTF">2024-04-30T13:55:00Z</dcterms:modified>
</cp:coreProperties>
</file>