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AB04" w14:textId="77777777" w:rsidR="0059299D" w:rsidRDefault="002648EF">
      <w:pPr>
        <w:pStyle w:val="Nzev"/>
        <w:spacing w:line="312" w:lineRule="auto"/>
      </w:pPr>
      <w:r>
        <w:rPr>
          <w:color w:val="404040"/>
        </w:rPr>
        <w:t>Dodatek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č.1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pořízení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licence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SW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poskytování souvisejících služeb</w:t>
      </w:r>
    </w:p>
    <w:p w14:paraId="46DCB642" w14:textId="77777777" w:rsidR="0059299D" w:rsidRDefault="002648EF">
      <w:pPr>
        <w:pStyle w:val="Nadpis1"/>
        <w:spacing w:before="62"/>
        <w:ind w:left="3" w:right="385"/>
        <w:jc w:val="center"/>
      </w:pPr>
      <w:r>
        <w:rPr>
          <w:color w:val="404040"/>
        </w:rPr>
        <w:t>číslo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2024/019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NAKIT,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uzavřené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12.1.2024</w:t>
      </w:r>
    </w:p>
    <w:p w14:paraId="1C48DAEB" w14:textId="77777777" w:rsidR="0059299D" w:rsidRDefault="0059299D">
      <w:pPr>
        <w:pStyle w:val="Zkladntext"/>
        <w:rPr>
          <w:b/>
        </w:rPr>
      </w:pPr>
    </w:p>
    <w:p w14:paraId="32033427" w14:textId="77777777" w:rsidR="0059299D" w:rsidRDefault="0059299D">
      <w:pPr>
        <w:pStyle w:val="Zkladntext"/>
        <w:spacing w:before="227"/>
        <w:rPr>
          <w:b/>
        </w:rPr>
      </w:pPr>
    </w:p>
    <w:p w14:paraId="3FF47A49" w14:textId="77777777" w:rsidR="0059299D" w:rsidRDefault="002648EF">
      <w:pPr>
        <w:pStyle w:val="Zkladntext"/>
        <w:ind w:left="115"/>
      </w:pPr>
      <w:r>
        <w:rPr>
          <w:color w:val="404040"/>
        </w:rPr>
        <w:t>Smluvní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strany:</w:t>
      </w:r>
    </w:p>
    <w:p w14:paraId="21040C40" w14:textId="77777777" w:rsidR="0059299D" w:rsidRDefault="0059299D">
      <w:pPr>
        <w:pStyle w:val="Zkladntext"/>
        <w:spacing w:before="152"/>
      </w:pPr>
    </w:p>
    <w:p w14:paraId="3356C2E6" w14:textId="77777777" w:rsidR="0059299D" w:rsidRDefault="002648EF">
      <w:pPr>
        <w:pStyle w:val="Nadpis1"/>
      </w:pPr>
      <w:r>
        <w:rPr>
          <w:color w:val="404040"/>
        </w:rPr>
        <w:t>Národní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5"/>
        </w:rPr>
        <w:t>p.</w:t>
      </w:r>
    </w:p>
    <w:p w14:paraId="227FCE9E" w14:textId="77777777" w:rsidR="0059299D" w:rsidRDefault="002648EF">
      <w:pPr>
        <w:pStyle w:val="Zkladntext"/>
        <w:spacing w:before="76"/>
        <w:ind w:left="115"/>
      </w:pPr>
      <w:r>
        <w:rPr>
          <w:color w:val="404040"/>
        </w:rPr>
        <w:t>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sídlem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Kodaňská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10</w:t>
      </w:r>
    </w:p>
    <w:p w14:paraId="1C264DCE" w14:textId="77777777" w:rsidR="0059299D" w:rsidRDefault="002648EF">
      <w:pPr>
        <w:pStyle w:val="Zkladntext"/>
        <w:spacing w:before="76" w:line="312" w:lineRule="auto"/>
        <w:ind w:left="115" w:right="7662"/>
      </w:pPr>
      <w:r>
        <w:rPr>
          <w:color w:val="404040"/>
        </w:rPr>
        <w:t>IČO: 04767543 DIČ: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CZ04767543</w:t>
      </w:r>
    </w:p>
    <w:p w14:paraId="0483997A" w14:textId="77777777" w:rsidR="0059299D" w:rsidRDefault="002648EF">
      <w:pPr>
        <w:pStyle w:val="Zkladntext"/>
        <w:ind w:left="115"/>
      </w:pPr>
      <w:r>
        <w:rPr>
          <w:color w:val="404040"/>
        </w:rPr>
        <w:t>zastoupen: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xxx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xxx</w:t>
      </w:r>
    </w:p>
    <w:p w14:paraId="47A3954B" w14:textId="77777777" w:rsidR="0059299D" w:rsidRDefault="002648EF">
      <w:pPr>
        <w:pStyle w:val="Zkladntext"/>
        <w:spacing w:before="76" w:line="312" w:lineRule="auto"/>
        <w:ind w:left="115" w:right="205"/>
      </w:pPr>
      <w:r>
        <w:rPr>
          <w:color w:val="404040"/>
        </w:rPr>
        <w:t>zapsán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rejstříku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vedeném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77322 bankovní spojení Československá obchodní banka, a.s.</w:t>
      </w:r>
    </w:p>
    <w:p w14:paraId="69A32C05" w14:textId="0D9C2F53" w:rsidR="0059299D" w:rsidRDefault="002648EF">
      <w:pPr>
        <w:pStyle w:val="Zkladntext"/>
        <w:spacing w:before="1"/>
        <w:ind w:left="115"/>
      </w:pPr>
      <w:r>
        <w:rPr>
          <w:color w:val="404040"/>
          <w:spacing w:val="-2"/>
        </w:rPr>
        <w:t>č.ú.xxx</w:t>
      </w:r>
    </w:p>
    <w:p w14:paraId="33DCAA7D" w14:textId="77777777" w:rsidR="0059299D" w:rsidRDefault="002648EF">
      <w:pPr>
        <w:pStyle w:val="Zkladntext"/>
        <w:spacing w:before="76" w:line="424" w:lineRule="auto"/>
        <w:ind w:left="115" w:right="6313"/>
      </w:pPr>
      <w:r>
        <w:rPr>
          <w:color w:val="404040"/>
        </w:rPr>
        <w:t>ID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datové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schránky: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hkrkpwn (dále jen „</w:t>
      </w:r>
      <w:r>
        <w:rPr>
          <w:b/>
          <w:color w:val="404040"/>
        </w:rPr>
        <w:t>Objednatel</w:t>
      </w:r>
      <w:r>
        <w:rPr>
          <w:color w:val="404040"/>
        </w:rPr>
        <w:t>“)</w:t>
      </w:r>
    </w:p>
    <w:p w14:paraId="33853BC0" w14:textId="77777777" w:rsidR="0059299D" w:rsidRDefault="002648EF">
      <w:pPr>
        <w:pStyle w:val="Zkladntext"/>
        <w:spacing w:before="211"/>
        <w:ind w:left="115"/>
      </w:pPr>
      <w:r>
        <w:rPr>
          <w:color w:val="404040"/>
          <w:spacing w:val="-10"/>
        </w:rPr>
        <w:t>a</w:t>
      </w:r>
    </w:p>
    <w:p w14:paraId="19521363" w14:textId="77777777" w:rsidR="0059299D" w:rsidRDefault="0059299D">
      <w:pPr>
        <w:pStyle w:val="Zkladntext"/>
        <w:spacing w:before="151"/>
      </w:pPr>
    </w:p>
    <w:p w14:paraId="7CBE803F" w14:textId="77777777" w:rsidR="0059299D" w:rsidRDefault="002648EF">
      <w:pPr>
        <w:pStyle w:val="Nadpis1"/>
      </w:pPr>
      <w:r>
        <w:rPr>
          <w:color w:val="404040"/>
          <w:spacing w:val="-4"/>
        </w:rPr>
        <w:t>ALVAO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s.r.o.</w:t>
      </w:r>
    </w:p>
    <w:p w14:paraId="334AF570" w14:textId="77777777" w:rsidR="0059299D" w:rsidRDefault="002648EF">
      <w:pPr>
        <w:pStyle w:val="Zkladntext"/>
        <w:spacing w:before="76" w:line="312" w:lineRule="auto"/>
        <w:ind w:left="115" w:right="3849"/>
      </w:pPr>
      <w:r>
        <w:rPr>
          <w:color w:val="404040"/>
        </w:rPr>
        <w:t>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sídlem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Hlohová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1455/10,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591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01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Žďár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nad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Sázavou IČO: 25561561</w:t>
      </w:r>
    </w:p>
    <w:p w14:paraId="5DB6899A" w14:textId="77777777" w:rsidR="0059299D" w:rsidRDefault="002648EF">
      <w:pPr>
        <w:pStyle w:val="Zkladntext"/>
        <w:ind w:left="115"/>
      </w:pPr>
      <w:r>
        <w:rPr>
          <w:color w:val="404040"/>
        </w:rPr>
        <w:t>DIČ: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CZ25561561</w:t>
      </w:r>
    </w:p>
    <w:p w14:paraId="3EC9B076" w14:textId="77777777" w:rsidR="0059299D" w:rsidRDefault="002648EF">
      <w:pPr>
        <w:pStyle w:val="Zkladntext"/>
        <w:spacing w:before="76"/>
        <w:ind w:left="115"/>
      </w:pPr>
      <w:r>
        <w:rPr>
          <w:color w:val="404040"/>
        </w:rPr>
        <w:t>zastoupen: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5"/>
        </w:rPr>
        <w:t>xxx</w:t>
      </w:r>
    </w:p>
    <w:p w14:paraId="5A837EB3" w14:textId="77777777" w:rsidR="0059299D" w:rsidRDefault="002648EF">
      <w:pPr>
        <w:pStyle w:val="Zkladntext"/>
        <w:spacing w:before="75" w:line="312" w:lineRule="auto"/>
        <w:ind w:left="115" w:right="205"/>
      </w:pPr>
      <w:r>
        <w:rPr>
          <w:color w:val="404040"/>
        </w:rPr>
        <w:t>zapsán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rejstříku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vedeném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Krajského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Brně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33290 bankovní spojení Československá obchodní banka, a.s.</w:t>
      </w:r>
    </w:p>
    <w:p w14:paraId="01A07F15" w14:textId="2E97888F" w:rsidR="0059299D" w:rsidRDefault="002648EF">
      <w:pPr>
        <w:pStyle w:val="Zkladntext"/>
        <w:ind w:left="115"/>
      </w:pPr>
      <w:r>
        <w:rPr>
          <w:color w:val="404040"/>
        </w:rPr>
        <w:t>č.ú.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xxx</w:t>
      </w:r>
    </w:p>
    <w:p w14:paraId="05380B3E" w14:textId="77777777" w:rsidR="0059299D" w:rsidRDefault="002648EF">
      <w:pPr>
        <w:pStyle w:val="Zkladntext"/>
        <w:spacing w:before="76" w:line="424" w:lineRule="auto"/>
        <w:ind w:left="115" w:right="6313"/>
      </w:pPr>
      <w:r>
        <w:rPr>
          <w:color w:val="404040"/>
        </w:rPr>
        <w:t>ID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datové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schránky: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4qakexh (dále jen „</w:t>
      </w:r>
      <w:r>
        <w:rPr>
          <w:b/>
          <w:color w:val="404040"/>
        </w:rPr>
        <w:t>Dodavatel</w:t>
      </w:r>
      <w:r>
        <w:rPr>
          <w:color w:val="404040"/>
        </w:rPr>
        <w:t>“)</w:t>
      </w:r>
    </w:p>
    <w:p w14:paraId="52140F5B" w14:textId="77777777" w:rsidR="0059299D" w:rsidRDefault="002648EF">
      <w:pPr>
        <w:spacing w:before="211"/>
        <w:ind w:left="116"/>
      </w:pPr>
      <w:r>
        <w:rPr>
          <w:color w:val="404040"/>
        </w:rPr>
        <w:t>(dále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společně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strany</w:t>
      </w:r>
      <w:r>
        <w:rPr>
          <w:color w:val="404040"/>
        </w:rPr>
        <w:t>“,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Smlouva</w:t>
      </w:r>
    </w:p>
    <w:p w14:paraId="669E067B" w14:textId="77777777" w:rsidR="0059299D" w:rsidRDefault="002648EF">
      <w:pPr>
        <w:pStyle w:val="Zkladntext"/>
        <w:spacing w:before="109" w:line="312" w:lineRule="auto"/>
        <w:ind w:left="115"/>
      </w:pP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pořízení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licence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SW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číslo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2024/019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NAKIT,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dne 12.1.2024 dále jen „</w:t>
      </w:r>
      <w:r>
        <w:rPr>
          <w:b/>
          <w:color w:val="404040"/>
        </w:rPr>
        <w:t>Smlouva</w:t>
      </w:r>
      <w:r>
        <w:rPr>
          <w:color w:val="404040"/>
        </w:rPr>
        <w:t>“)</w:t>
      </w:r>
    </w:p>
    <w:p w14:paraId="576B9744" w14:textId="77777777" w:rsidR="0059299D" w:rsidRDefault="0059299D">
      <w:pPr>
        <w:pStyle w:val="Zkladntext"/>
      </w:pPr>
    </w:p>
    <w:p w14:paraId="5596EBD6" w14:textId="77777777" w:rsidR="0059299D" w:rsidRDefault="0059299D">
      <w:pPr>
        <w:pStyle w:val="Zkladntext"/>
        <w:spacing w:before="118"/>
      </w:pPr>
    </w:p>
    <w:p w14:paraId="19E24C4F" w14:textId="77777777" w:rsidR="0059299D" w:rsidRDefault="002648EF">
      <w:pPr>
        <w:pStyle w:val="Zkladntext"/>
        <w:ind w:left="115"/>
      </w:pPr>
      <w:r>
        <w:rPr>
          <w:color w:val="404040"/>
        </w:rPr>
        <w:t>uzavírají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Dodatek</w:t>
      </w:r>
      <w:r>
        <w:rPr>
          <w:color w:val="404040"/>
          <w:spacing w:val="-2"/>
        </w:rPr>
        <w:t>“):</w:t>
      </w:r>
    </w:p>
    <w:p w14:paraId="199624D4" w14:textId="77777777" w:rsidR="0059299D" w:rsidRDefault="0059299D">
      <w:pPr>
        <w:sectPr w:rsidR="0059299D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440" w:right="920" w:bottom="500" w:left="1300" w:header="0" w:footer="302" w:gutter="0"/>
          <w:pgNumType w:start="1"/>
          <w:cols w:space="708"/>
        </w:sectPr>
      </w:pPr>
    </w:p>
    <w:p w14:paraId="300FA059" w14:textId="77777777" w:rsidR="0059299D" w:rsidRDefault="002648EF">
      <w:pPr>
        <w:pStyle w:val="Nadpis1"/>
        <w:numPr>
          <w:ilvl w:val="0"/>
          <w:numId w:val="3"/>
        </w:numPr>
        <w:tabs>
          <w:tab w:val="left" w:pos="3918"/>
        </w:tabs>
        <w:spacing w:before="77"/>
        <w:ind w:left="3918" w:hanging="358"/>
        <w:jc w:val="left"/>
      </w:pPr>
      <w:r>
        <w:rPr>
          <w:color w:val="404040"/>
        </w:rPr>
        <w:lastRenderedPageBreak/>
        <w:t>Předmět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Dodatku</w:t>
      </w:r>
    </w:p>
    <w:p w14:paraId="62874D2C" w14:textId="77777777" w:rsidR="0059299D" w:rsidRDefault="0059299D">
      <w:pPr>
        <w:pStyle w:val="Zkladntext"/>
        <w:spacing w:before="152"/>
        <w:rPr>
          <w:b/>
        </w:rPr>
      </w:pPr>
    </w:p>
    <w:p w14:paraId="7BA87ED3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before="0" w:line="312" w:lineRule="auto"/>
        <w:ind w:right="491"/>
        <w:jc w:val="both"/>
      </w:pPr>
      <w:r>
        <w:rPr>
          <w:color w:val="404040"/>
        </w:rPr>
        <w:t>Předmětem tohoto Dodatku je rozšíření množstevního rozsahu licence systému ServiceDesk pro podporu systému e-Sbírka a e-Legislativa Ministerstva vnitra České republiky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úrovně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L1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až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L2,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konkrétně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kategorie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Service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Desk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External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Příloze č. 1 Smlouvy, a to z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původního počtu řešitelů 9 na nový počet řešitelů 12, 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tím, že změna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účinná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počínaje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5.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2024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31.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11.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2024,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stejných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podmínek jako byly poskytnuty původní licence. V souvislosti 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rozšířením dojde i 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poměrnému navýšení ceny o částku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26.388,- bez DPH, přičemž celková cena pak bude činit částku 497.604,- Kč bez DPH.</w:t>
      </w:r>
    </w:p>
    <w:p w14:paraId="0A166FCC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before="122" w:line="312" w:lineRule="auto"/>
        <w:ind w:right="493"/>
        <w:jc w:val="both"/>
      </w:pPr>
      <w:r>
        <w:rPr>
          <w:color w:val="404040"/>
        </w:rPr>
        <w:t xml:space="preserve">Na základě shora uvedeného se článek 3 odst. 3.1. a 3.2. Smlouvy mění a nově zní </w:t>
      </w:r>
      <w:r>
        <w:rPr>
          <w:color w:val="404040"/>
          <w:spacing w:val="-2"/>
        </w:rPr>
        <w:t>takto:</w:t>
      </w:r>
    </w:p>
    <w:p w14:paraId="19CBA46D" w14:textId="77777777" w:rsidR="0059299D" w:rsidRDefault="002648EF">
      <w:pPr>
        <w:pStyle w:val="Odstavecseseznamem"/>
        <w:numPr>
          <w:ilvl w:val="1"/>
          <w:numId w:val="2"/>
        </w:numPr>
        <w:tabs>
          <w:tab w:val="left" w:pos="1247"/>
        </w:tabs>
        <w:ind w:left="1247" w:hanging="565"/>
        <w:jc w:val="both"/>
        <w:rPr>
          <w:i/>
        </w:rPr>
      </w:pPr>
      <w:r>
        <w:rPr>
          <w:i/>
          <w:color w:val="404040"/>
        </w:rPr>
        <w:t>Smluvní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strany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prohlašují,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  <w:spacing w:val="-5"/>
        </w:rPr>
        <w:t>že:</w:t>
      </w:r>
    </w:p>
    <w:p w14:paraId="346FAFBB" w14:textId="77777777" w:rsidR="0059299D" w:rsidRDefault="002648EF">
      <w:pPr>
        <w:pStyle w:val="Odstavecseseznamem"/>
        <w:numPr>
          <w:ilvl w:val="2"/>
          <w:numId w:val="2"/>
        </w:numPr>
        <w:tabs>
          <w:tab w:val="left" w:pos="1673"/>
          <w:tab w:val="left" w:pos="1675"/>
        </w:tabs>
        <w:spacing w:before="195" w:line="312" w:lineRule="auto"/>
        <w:ind w:right="494"/>
        <w:rPr>
          <w:i/>
        </w:rPr>
      </w:pPr>
      <w:r>
        <w:rPr>
          <w:i/>
          <w:color w:val="404040"/>
        </w:rPr>
        <w:t>podle znění této Smlouvy postupují již od 1. 12. 2023. Objednatel tímto potvrzuje, že licenční klíče byly do e-mailové schránky kontaktní osoby Objednatele uvedené v článku 13 Smlouvy doručeny dne 1. 12. 2023;</w:t>
      </w:r>
    </w:p>
    <w:p w14:paraId="3BB5735F" w14:textId="77777777" w:rsidR="0059299D" w:rsidRDefault="002648EF">
      <w:pPr>
        <w:pStyle w:val="Odstavecseseznamem"/>
        <w:numPr>
          <w:ilvl w:val="2"/>
          <w:numId w:val="2"/>
        </w:numPr>
        <w:tabs>
          <w:tab w:val="left" w:pos="1673"/>
          <w:tab w:val="left" w:pos="1675"/>
        </w:tabs>
        <w:spacing w:before="0" w:line="312" w:lineRule="auto"/>
        <w:ind w:right="493"/>
        <w:rPr>
          <w:i/>
        </w:rPr>
      </w:pPr>
      <w:r>
        <w:rPr>
          <w:i/>
          <w:color w:val="404040"/>
        </w:rPr>
        <w:t>Objednatel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oprávněně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užívá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Software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od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1.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12.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2023,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dodatečná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licence na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Service Desk External uvedená v Příloze č. 1 Smlouvy navýšená o 3 řešitele je poskytována počínaje dnem 1. 5. 2024.</w:t>
      </w:r>
    </w:p>
    <w:p w14:paraId="3B17E691" w14:textId="77777777" w:rsidR="0059299D" w:rsidRDefault="002648EF">
      <w:pPr>
        <w:pStyle w:val="Odstavecseseznamem"/>
        <w:numPr>
          <w:ilvl w:val="1"/>
          <w:numId w:val="2"/>
        </w:numPr>
        <w:tabs>
          <w:tab w:val="left" w:pos="1247"/>
        </w:tabs>
        <w:ind w:left="1247" w:hanging="565"/>
        <w:jc w:val="both"/>
        <w:rPr>
          <w:i/>
        </w:rPr>
      </w:pPr>
      <w:r>
        <w:rPr>
          <w:i/>
          <w:color w:val="404040"/>
        </w:rPr>
        <w:t>Předmět</w:t>
      </w:r>
      <w:r>
        <w:rPr>
          <w:i/>
          <w:color w:val="404040"/>
          <w:spacing w:val="24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24"/>
        </w:rPr>
        <w:t xml:space="preserve"> </w:t>
      </w:r>
      <w:r>
        <w:rPr>
          <w:i/>
          <w:color w:val="404040"/>
        </w:rPr>
        <w:t>je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Poskytovatelem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poskytován</w:t>
      </w:r>
      <w:r>
        <w:rPr>
          <w:i/>
          <w:color w:val="404040"/>
          <w:spacing w:val="20"/>
        </w:rPr>
        <w:t xml:space="preserve"> </w:t>
      </w:r>
      <w:r>
        <w:rPr>
          <w:i/>
          <w:color w:val="404040"/>
        </w:rPr>
        <w:t>po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dobu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určitou,</w:t>
      </w:r>
      <w:r>
        <w:rPr>
          <w:i/>
          <w:color w:val="404040"/>
          <w:spacing w:val="23"/>
        </w:rPr>
        <w:t xml:space="preserve"> </w:t>
      </w:r>
      <w:r>
        <w:rPr>
          <w:i/>
          <w:color w:val="404040"/>
        </w:rPr>
        <w:t>od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1.</w:t>
      </w:r>
      <w:r>
        <w:rPr>
          <w:i/>
          <w:color w:val="404040"/>
          <w:spacing w:val="24"/>
        </w:rPr>
        <w:t xml:space="preserve"> </w:t>
      </w:r>
      <w:r>
        <w:rPr>
          <w:i/>
          <w:color w:val="404040"/>
        </w:rPr>
        <w:t>12.</w:t>
      </w:r>
      <w:r>
        <w:rPr>
          <w:i/>
          <w:color w:val="404040"/>
          <w:spacing w:val="27"/>
        </w:rPr>
        <w:t xml:space="preserve"> </w:t>
      </w:r>
      <w:r>
        <w:rPr>
          <w:i/>
          <w:color w:val="404040"/>
          <w:spacing w:val="-4"/>
        </w:rPr>
        <w:t>2023</w:t>
      </w:r>
    </w:p>
    <w:p w14:paraId="1EF52776" w14:textId="77777777" w:rsidR="0059299D" w:rsidRDefault="002648EF">
      <w:pPr>
        <w:spacing w:before="76"/>
        <w:ind w:left="1248"/>
        <w:jc w:val="both"/>
        <w:rPr>
          <w:i/>
        </w:rPr>
      </w:pPr>
      <w:r>
        <w:rPr>
          <w:i/>
          <w:color w:val="404040"/>
        </w:rPr>
        <w:t>do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30.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11.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2024,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není-li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Smlouvou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stanoveno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  <w:spacing w:val="-2"/>
        </w:rPr>
        <w:t>jinak.</w:t>
      </w:r>
    </w:p>
    <w:p w14:paraId="3DF7AB17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1"/>
        </w:tabs>
        <w:spacing w:before="196"/>
        <w:ind w:left="681" w:hanging="565"/>
        <w:jc w:val="both"/>
      </w:pPr>
      <w:r>
        <w:rPr>
          <w:color w:val="404040"/>
        </w:rPr>
        <w:t>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nově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článek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4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4.1.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takto:</w:t>
      </w:r>
    </w:p>
    <w:p w14:paraId="616B674C" w14:textId="77777777" w:rsidR="0059299D" w:rsidRDefault="002648EF">
      <w:pPr>
        <w:pStyle w:val="Odstavecseseznamem"/>
        <w:numPr>
          <w:ilvl w:val="1"/>
          <w:numId w:val="1"/>
        </w:numPr>
        <w:tabs>
          <w:tab w:val="left" w:pos="1246"/>
          <w:tab w:val="left" w:pos="1248"/>
        </w:tabs>
        <w:spacing w:before="196" w:line="312" w:lineRule="auto"/>
        <w:ind w:right="495"/>
        <w:jc w:val="both"/>
        <w:rPr>
          <w:i/>
        </w:rPr>
      </w:pPr>
      <w:r>
        <w:rPr>
          <w:i/>
          <w:color w:val="404040"/>
        </w:rPr>
        <w:t>Cena za poskytování Předmětu plnění (tj. odměna za poskytnutí Licence a cena za poskytování Podpory) činí 497.604,- Kč (slovy: čtyři sta devadesát sedm tisíc šest set čtyři korun českých) bez DPH, tj.:</w:t>
      </w:r>
    </w:p>
    <w:p w14:paraId="7066B58F" w14:textId="77777777" w:rsidR="0059299D" w:rsidRDefault="002648EF">
      <w:pPr>
        <w:pStyle w:val="Odstavecseseznamem"/>
        <w:numPr>
          <w:ilvl w:val="2"/>
          <w:numId w:val="1"/>
        </w:numPr>
        <w:tabs>
          <w:tab w:val="left" w:pos="1533"/>
          <w:tab w:val="left" w:pos="1535"/>
        </w:tabs>
        <w:spacing w:before="119" w:line="312" w:lineRule="auto"/>
        <w:ind w:right="494"/>
        <w:rPr>
          <w:i/>
        </w:rPr>
      </w:pPr>
      <w:r>
        <w:rPr>
          <w:i/>
          <w:color w:val="404040"/>
        </w:rPr>
        <w:t>39.268,- Kč (slovy: třicet devět tisíc dvě sta šedesát osm korun českých) bez DPH / měsíc za období od 1.12.2023 do 30.4.2024 a</w:t>
      </w:r>
    </w:p>
    <w:p w14:paraId="2F501ED2" w14:textId="77777777" w:rsidR="0059299D" w:rsidRDefault="002648EF">
      <w:pPr>
        <w:pStyle w:val="Odstavecseseznamem"/>
        <w:numPr>
          <w:ilvl w:val="2"/>
          <w:numId w:val="1"/>
        </w:numPr>
        <w:tabs>
          <w:tab w:val="left" w:pos="1533"/>
          <w:tab w:val="left" w:pos="1535"/>
        </w:tabs>
        <w:spacing w:before="0" w:line="312" w:lineRule="auto"/>
        <w:ind w:right="493"/>
        <w:rPr>
          <w:i/>
        </w:rPr>
      </w:pPr>
      <w:r>
        <w:rPr>
          <w:i/>
          <w:color w:val="404040"/>
        </w:rPr>
        <w:t>43.666,- Kč (slovy: čtyřicet tři tisíce šest set šedesát šest korun českých) bez DPH / měsíc za období od 1.5.2024 do 30.11.2024.</w:t>
      </w:r>
    </w:p>
    <w:p w14:paraId="2FBB191C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2"/>
        </w:tabs>
        <w:ind w:hanging="565"/>
        <w:jc w:val="both"/>
      </w:pPr>
      <w:r>
        <w:rPr>
          <w:color w:val="404040"/>
        </w:rPr>
        <w:t>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nově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článek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6.1.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takto:</w:t>
      </w:r>
    </w:p>
    <w:p w14:paraId="37BF1134" w14:textId="77777777" w:rsidR="0059299D" w:rsidRDefault="002648EF">
      <w:pPr>
        <w:pStyle w:val="Odstavecseseznamem"/>
        <w:numPr>
          <w:ilvl w:val="2"/>
          <w:numId w:val="3"/>
        </w:numPr>
        <w:tabs>
          <w:tab w:val="left" w:pos="1247"/>
          <w:tab w:val="left" w:pos="1249"/>
        </w:tabs>
        <w:spacing w:before="196" w:line="312" w:lineRule="auto"/>
        <w:ind w:left="1249" w:right="494"/>
        <w:jc w:val="both"/>
        <w:rPr>
          <w:i/>
        </w:rPr>
      </w:pPr>
      <w:r>
        <w:rPr>
          <w:i/>
          <w:color w:val="404040"/>
        </w:rPr>
        <w:t>na dobu určitou, od 1. 12. 2023 do 30. 11. 2024, dodatečná licence na Service</w:t>
      </w:r>
      <w:r>
        <w:rPr>
          <w:i/>
          <w:color w:val="404040"/>
        </w:rPr>
        <w:t xml:space="preserve"> Desk External uvedená v Příloze č. 1 Smlouvy navýšená o 3 řešitele je poskytována počínaje dnem 1. 5. 2024;</w:t>
      </w:r>
    </w:p>
    <w:p w14:paraId="3803BD0D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1"/>
          <w:tab w:val="left" w:pos="683"/>
        </w:tabs>
        <w:spacing w:line="312" w:lineRule="auto"/>
        <w:ind w:left="683" w:right="492"/>
        <w:jc w:val="both"/>
      </w:pPr>
      <w:r>
        <w:rPr>
          <w:color w:val="404040"/>
        </w:rPr>
        <w:t>Dále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nově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tabulka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názvem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„Množstevní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licencí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6.1 písm. b) Smlouvy) uvedená v Příloze č. 1 Smlouvy s názvem „Technická specifikace Software“ takto:</w:t>
      </w:r>
    </w:p>
    <w:p w14:paraId="0278684E" w14:textId="77777777" w:rsidR="0059299D" w:rsidRDefault="0059299D">
      <w:pPr>
        <w:spacing w:line="312" w:lineRule="auto"/>
        <w:jc w:val="both"/>
        <w:sectPr w:rsidR="0059299D">
          <w:pgSz w:w="11910" w:h="16840"/>
          <w:pgMar w:top="1320" w:right="920" w:bottom="500" w:left="1300" w:header="0" w:footer="302" w:gutter="0"/>
          <w:cols w:space="708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204"/>
        <w:gridCol w:w="3204"/>
      </w:tblGrid>
      <w:tr w:rsidR="0059299D" w14:paraId="0436C966" w14:textId="77777777">
        <w:trPr>
          <w:trHeight w:val="330"/>
        </w:trPr>
        <w:tc>
          <w:tcPr>
            <w:tcW w:w="2477" w:type="dxa"/>
          </w:tcPr>
          <w:p w14:paraId="60461DE0" w14:textId="77777777" w:rsidR="0059299D" w:rsidRDefault="002648EF">
            <w:pPr>
              <w:pStyle w:val="TableParagraph"/>
              <w:spacing w:before="2"/>
              <w:ind w:left="110"/>
            </w:pPr>
            <w:r>
              <w:rPr>
                <w:color w:val="404040"/>
              </w:rPr>
              <w:lastRenderedPageBreak/>
              <w:t>Service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  <w:spacing w:val="-4"/>
              </w:rPr>
              <w:t>Desk</w:t>
            </w:r>
          </w:p>
        </w:tc>
        <w:tc>
          <w:tcPr>
            <w:tcW w:w="3204" w:type="dxa"/>
          </w:tcPr>
          <w:p w14:paraId="7CF4F44A" w14:textId="77777777" w:rsidR="0059299D" w:rsidRDefault="002648EF">
            <w:pPr>
              <w:pStyle w:val="TableParagraph"/>
              <w:spacing w:before="2"/>
            </w:pPr>
            <w:r>
              <w:rPr>
                <w:color w:val="404040"/>
                <w:spacing w:val="-5"/>
              </w:rPr>
              <w:t>500</w:t>
            </w:r>
          </w:p>
        </w:tc>
        <w:tc>
          <w:tcPr>
            <w:tcW w:w="3204" w:type="dxa"/>
          </w:tcPr>
          <w:p w14:paraId="5C4CAA86" w14:textId="77777777" w:rsidR="0059299D" w:rsidRDefault="002648EF">
            <w:pPr>
              <w:pStyle w:val="TableParagraph"/>
              <w:spacing w:before="2"/>
            </w:pPr>
            <w:r>
              <w:rPr>
                <w:color w:val="404040"/>
                <w:spacing w:val="-2"/>
              </w:rPr>
              <w:t>uživatelů</w:t>
            </w:r>
          </w:p>
        </w:tc>
      </w:tr>
      <w:tr w:rsidR="0059299D" w14:paraId="11A3D113" w14:textId="77777777">
        <w:trPr>
          <w:trHeight w:val="657"/>
        </w:trPr>
        <w:tc>
          <w:tcPr>
            <w:tcW w:w="2477" w:type="dxa"/>
          </w:tcPr>
          <w:p w14:paraId="44D9050D" w14:textId="77777777" w:rsidR="0059299D" w:rsidRDefault="002648EF">
            <w:pPr>
              <w:pStyle w:val="TableParagraph"/>
              <w:ind w:left="110"/>
            </w:pPr>
            <w:r>
              <w:rPr>
                <w:color w:val="404040"/>
              </w:rPr>
              <w:t>Service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Desk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External</w:t>
            </w:r>
          </w:p>
        </w:tc>
        <w:tc>
          <w:tcPr>
            <w:tcW w:w="3204" w:type="dxa"/>
          </w:tcPr>
          <w:p w14:paraId="54A3AA00" w14:textId="77777777" w:rsidR="0059299D" w:rsidRDefault="002648EF">
            <w:pPr>
              <w:pStyle w:val="TableParagraph"/>
            </w:pPr>
            <w:r>
              <w:rPr>
                <w:color w:val="404040"/>
              </w:rPr>
              <w:t>9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(počínaje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dnem</w:t>
            </w:r>
            <w:r>
              <w:rPr>
                <w:color w:val="404040"/>
                <w:spacing w:val="-2"/>
              </w:rPr>
              <w:t xml:space="preserve"> 1.5.2024</w:t>
            </w:r>
          </w:p>
          <w:p w14:paraId="25BD9985" w14:textId="77777777" w:rsidR="0059299D" w:rsidRDefault="002648EF">
            <w:pPr>
              <w:pStyle w:val="TableParagraph"/>
              <w:spacing w:before="75"/>
            </w:pPr>
            <w:r>
              <w:rPr>
                <w:color w:val="404040"/>
              </w:rPr>
              <w:t>dochází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k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navýšení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5"/>
              </w:rPr>
              <w:t>12)</w:t>
            </w:r>
          </w:p>
        </w:tc>
        <w:tc>
          <w:tcPr>
            <w:tcW w:w="3204" w:type="dxa"/>
          </w:tcPr>
          <w:p w14:paraId="75B73CC9" w14:textId="77777777" w:rsidR="0059299D" w:rsidRDefault="002648EF">
            <w:pPr>
              <w:pStyle w:val="TableParagraph"/>
            </w:pPr>
            <w:r>
              <w:rPr>
                <w:color w:val="404040"/>
                <w:spacing w:val="-2"/>
              </w:rPr>
              <w:t>řešitelů</w:t>
            </w:r>
          </w:p>
        </w:tc>
      </w:tr>
      <w:tr w:rsidR="0059299D" w14:paraId="53BE4BEF" w14:textId="77777777">
        <w:trPr>
          <w:trHeight w:val="328"/>
        </w:trPr>
        <w:tc>
          <w:tcPr>
            <w:tcW w:w="2477" w:type="dxa"/>
          </w:tcPr>
          <w:p w14:paraId="549888AA" w14:textId="77777777" w:rsidR="0059299D" w:rsidRDefault="002648EF">
            <w:pPr>
              <w:pStyle w:val="TableParagraph"/>
              <w:ind w:left="110"/>
            </w:pPr>
            <w:r>
              <w:rPr>
                <w:color w:val="404040"/>
              </w:rPr>
              <w:t>Advanced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Workflows</w:t>
            </w:r>
          </w:p>
        </w:tc>
        <w:tc>
          <w:tcPr>
            <w:tcW w:w="3204" w:type="dxa"/>
          </w:tcPr>
          <w:p w14:paraId="7ABFB586" w14:textId="77777777" w:rsidR="0059299D" w:rsidRDefault="002648EF">
            <w:pPr>
              <w:pStyle w:val="TableParagraph"/>
            </w:pPr>
            <w:r>
              <w:rPr>
                <w:color w:val="404040"/>
                <w:spacing w:val="-5"/>
              </w:rPr>
              <w:t>500</w:t>
            </w:r>
          </w:p>
        </w:tc>
        <w:tc>
          <w:tcPr>
            <w:tcW w:w="3204" w:type="dxa"/>
          </w:tcPr>
          <w:p w14:paraId="27A3D8BB" w14:textId="77777777" w:rsidR="0059299D" w:rsidRDefault="002648EF">
            <w:pPr>
              <w:pStyle w:val="TableParagraph"/>
            </w:pPr>
            <w:r>
              <w:rPr>
                <w:color w:val="404040"/>
                <w:spacing w:val="-2"/>
              </w:rPr>
              <w:t>uživatelů</w:t>
            </w:r>
          </w:p>
        </w:tc>
      </w:tr>
      <w:tr w:rsidR="0059299D" w14:paraId="6C7F5417" w14:textId="77777777">
        <w:trPr>
          <w:trHeight w:val="657"/>
        </w:trPr>
        <w:tc>
          <w:tcPr>
            <w:tcW w:w="2477" w:type="dxa"/>
          </w:tcPr>
          <w:p w14:paraId="4673ED09" w14:textId="77777777" w:rsidR="0059299D" w:rsidRDefault="002648EF">
            <w:pPr>
              <w:pStyle w:val="TableParagraph"/>
              <w:ind w:left="110"/>
            </w:pPr>
            <w:r>
              <w:rPr>
                <w:color w:val="404040"/>
              </w:rPr>
              <w:t>Service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Desk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Custom</w:t>
            </w:r>
          </w:p>
          <w:p w14:paraId="68594A9C" w14:textId="77777777" w:rsidR="0059299D" w:rsidRDefault="002648EF">
            <w:pPr>
              <w:pStyle w:val="TableParagraph"/>
              <w:spacing w:before="75"/>
              <w:ind w:left="110"/>
            </w:pPr>
            <w:r>
              <w:rPr>
                <w:color w:val="404040"/>
                <w:spacing w:val="-4"/>
              </w:rPr>
              <w:t>Apps</w:t>
            </w:r>
          </w:p>
        </w:tc>
        <w:tc>
          <w:tcPr>
            <w:tcW w:w="3204" w:type="dxa"/>
          </w:tcPr>
          <w:p w14:paraId="4490226E" w14:textId="77777777" w:rsidR="0059299D" w:rsidRDefault="002648EF">
            <w:pPr>
              <w:pStyle w:val="TableParagraph"/>
            </w:pPr>
            <w:r>
              <w:rPr>
                <w:color w:val="404040"/>
                <w:spacing w:val="-5"/>
              </w:rPr>
              <w:t>500</w:t>
            </w:r>
          </w:p>
        </w:tc>
        <w:tc>
          <w:tcPr>
            <w:tcW w:w="3204" w:type="dxa"/>
          </w:tcPr>
          <w:p w14:paraId="6885B50B" w14:textId="77777777" w:rsidR="0059299D" w:rsidRDefault="002648EF">
            <w:pPr>
              <w:pStyle w:val="TableParagraph"/>
            </w:pPr>
            <w:r>
              <w:rPr>
                <w:color w:val="404040"/>
                <w:spacing w:val="-2"/>
              </w:rPr>
              <w:t>uživatelů</w:t>
            </w:r>
          </w:p>
        </w:tc>
      </w:tr>
    </w:tbl>
    <w:p w14:paraId="6BC9E22D" w14:textId="77777777" w:rsidR="0059299D" w:rsidRDefault="0059299D">
      <w:pPr>
        <w:pStyle w:val="Zkladntext"/>
        <w:spacing w:before="94"/>
      </w:pPr>
    </w:p>
    <w:p w14:paraId="3AF6C0E0" w14:textId="77777777" w:rsidR="0059299D" w:rsidRDefault="002648EF">
      <w:pPr>
        <w:pStyle w:val="Nadpis1"/>
        <w:numPr>
          <w:ilvl w:val="0"/>
          <w:numId w:val="3"/>
        </w:numPr>
        <w:tabs>
          <w:tab w:val="left" w:pos="3673"/>
        </w:tabs>
        <w:ind w:left="3673" w:hanging="358"/>
        <w:jc w:val="left"/>
      </w:pPr>
      <w:r>
        <w:rPr>
          <w:color w:val="404040"/>
        </w:rPr>
        <w:t>Závěrečná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ustanovení</w:t>
      </w:r>
    </w:p>
    <w:p w14:paraId="275213D7" w14:textId="77777777" w:rsidR="0059299D" w:rsidRDefault="0059299D">
      <w:pPr>
        <w:pStyle w:val="Zkladntext"/>
        <w:spacing w:before="154"/>
        <w:rPr>
          <w:b/>
        </w:rPr>
      </w:pPr>
    </w:p>
    <w:p w14:paraId="12CFD701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before="0" w:line="312" w:lineRule="auto"/>
        <w:ind w:right="498"/>
        <w:jc w:val="both"/>
      </w:pPr>
      <w:r>
        <w:rPr>
          <w:color w:val="404040"/>
        </w:rPr>
        <w:t>Tento Dodatek je nedílnou součástí Smlouvy o pořízení licence SW a poskytování souvisejících služeb číslo 2024/019 NAKIT uzavřené dne 12.1.2024.</w:t>
      </w:r>
    </w:p>
    <w:p w14:paraId="4A78082C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line="312" w:lineRule="auto"/>
        <w:ind w:right="495"/>
        <w:jc w:val="both"/>
      </w:pPr>
      <w:r>
        <w:rPr>
          <w:color w:val="404040"/>
        </w:rPr>
        <w:t xml:space="preserve">Jednotlivá ustanovení Smlouvy, která nejsou tímto Dodatkem dotčena zůstávají beze </w:t>
      </w:r>
      <w:r>
        <w:rPr>
          <w:color w:val="404040"/>
          <w:spacing w:val="-2"/>
        </w:rPr>
        <w:t>změn.</w:t>
      </w:r>
    </w:p>
    <w:p w14:paraId="79DE4C68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line="312" w:lineRule="auto"/>
        <w:ind w:right="495"/>
        <w:jc w:val="both"/>
      </w:pPr>
      <w:r>
        <w:rPr>
          <w:color w:val="404040"/>
        </w:rPr>
        <w:t>Dodatek je vyhotoven elektronicky a podepsána oběma zástupci Smluvních stran zaručeným elektronickým podpisem.</w:t>
      </w:r>
    </w:p>
    <w:p w14:paraId="60263C79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line="312" w:lineRule="auto"/>
        <w:ind w:right="495"/>
        <w:jc w:val="both"/>
      </w:pPr>
      <w:r>
        <w:rPr>
          <w:color w:val="404040"/>
        </w:rPr>
        <w:t>Smluvní strany si sjednávají, že uveřejnění tohoto Dodatku v registru smluv zajistí Objednatel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bezodkladně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tohoto Dodatku oběma Smluvními stranami.</w:t>
      </w:r>
    </w:p>
    <w:p w14:paraId="35EAD030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line="312" w:lineRule="auto"/>
        <w:ind w:right="497"/>
        <w:jc w:val="both"/>
      </w:pPr>
      <w:r>
        <w:rPr>
          <w:color w:val="404040"/>
        </w:rPr>
        <w:t>Tento Dodatek nabývá platnosti dnem podpisu obou stran a účinnosti dnem uveřejnění Dodatku v registru smluv.</w:t>
      </w:r>
    </w:p>
    <w:p w14:paraId="0C41A04D" w14:textId="77777777" w:rsidR="0059299D" w:rsidRDefault="002648EF">
      <w:pPr>
        <w:pStyle w:val="Odstavecseseznamem"/>
        <w:numPr>
          <w:ilvl w:val="1"/>
          <w:numId w:val="3"/>
        </w:numPr>
        <w:tabs>
          <w:tab w:val="left" w:pos="680"/>
          <w:tab w:val="left" w:pos="682"/>
        </w:tabs>
        <w:spacing w:line="312" w:lineRule="auto"/>
        <w:ind w:right="563"/>
        <w:jc w:val="both"/>
      </w:pPr>
      <w:r>
        <w:rPr>
          <w:color w:val="404040"/>
        </w:rPr>
        <w:t>Smluvní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potvrzují,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podpisem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přečetly,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porozuměly jeho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obsahu,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uzavírají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jej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svobodně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vzájemně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výhodných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podmínek.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důkaz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toho připojují své níže uvedené podpisy.</w:t>
      </w:r>
    </w:p>
    <w:p w14:paraId="4CAF5BCD" w14:textId="77777777" w:rsidR="0059299D" w:rsidRDefault="0059299D">
      <w:pPr>
        <w:pStyle w:val="Zkladntext"/>
      </w:pPr>
    </w:p>
    <w:p w14:paraId="7E61994A" w14:textId="77777777" w:rsidR="0059299D" w:rsidRDefault="0059299D">
      <w:pPr>
        <w:pStyle w:val="Zkladntext"/>
        <w:spacing w:before="151"/>
      </w:pPr>
    </w:p>
    <w:p w14:paraId="0142B994" w14:textId="77777777" w:rsidR="0059299D" w:rsidRDefault="002648EF">
      <w:pPr>
        <w:pStyle w:val="Nadpis1"/>
        <w:tabs>
          <w:tab w:val="left" w:pos="5071"/>
        </w:tabs>
      </w:pPr>
      <w:r>
        <w:rPr>
          <w:color w:val="404040"/>
        </w:rPr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Objednatele:</w:t>
      </w:r>
      <w:r>
        <w:rPr>
          <w:color w:val="404040"/>
        </w:rPr>
        <w:tab/>
        <w:t>Za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Dodavatele:</w:t>
      </w:r>
    </w:p>
    <w:p w14:paraId="77D60275" w14:textId="77777777" w:rsidR="0059299D" w:rsidRDefault="002648EF">
      <w:pPr>
        <w:pStyle w:val="Zkladntext"/>
        <w:tabs>
          <w:tab w:val="left" w:pos="5072"/>
        </w:tabs>
        <w:spacing w:before="196"/>
        <w:ind w:left="116"/>
      </w:pP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………………..</w:t>
      </w:r>
      <w:r>
        <w:rPr>
          <w:color w:val="404040"/>
        </w:rPr>
        <w:tab/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……………</w:t>
      </w:r>
    </w:p>
    <w:p w14:paraId="68293C56" w14:textId="77777777" w:rsidR="0059299D" w:rsidRDefault="0059299D">
      <w:pPr>
        <w:pStyle w:val="Zkladntext"/>
      </w:pPr>
    </w:p>
    <w:p w14:paraId="10FCA1F6" w14:textId="77777777" w:rsidR="0059299D" w:rsidRDefault="0059299D">
      <w:pPr>
        <w:pStyle w:val="Zkladntext"/>
      </w:pPr>
    </w:p>
    <w:p w14:paraId="46DE115D" w14:textId="77777777" w:rsidR="0059299D" w:rsidRDefault="0059299D">
      <w:pPr>
        <w:pStyle w:val="Zkladntext"/>
      </w:pPr>
    </w:p>
    <w:p w14:paraId="504D0310" w14:textId="77777777" w:rsidR="0059299D" w:rsidRDefault="0059299D">
      <w:pPr>
        <w:pStyle w:val="Zkladntext"/>
        <w:spacing w:before="50"/>
      </w:pPr>
    </w:p>
    <w:p w14:paraId="357B5454" w14:textId="77777777" w:rsidR="0059299D" w:rsidRDefault="002648EF">
      <w:pPr>
        <w:pStyle w:val="Zkladntext"/>
        <w:tabs>
          <w:tab w:val="right" w:pos="5404"/>
        </w:tabs>
        <w:ind w:left="116"/>
      </w:pPr>
      <w:r>
        <w:rPr>
          <w:color w:val="404040"/>
          <w:spacing w:val="-5"/>
        </w:rPr>
        <w:t>xxx</w:t>
      </w:r>
      <w:r>
        <w:rPr>
          <w:rFonts w:ascii="Times New Roman"/>
          <w:color w:val="404040"/>
        </w:rPr>
        <w:tab/>
      </w:r>
      <w:r>
        <w:rPr>
          <w:color w:val="404040"/>
          <w:spacing w:val="-5"/>
        </w:rPr>
        <w:t>xxx</w:t>
      </w:r>
    </w:p>
    <w:p w14:paraId="575EFA59" w14:textId="77777777" w:rsidR="0059299D" w:rsidRDefault="0059299D">
      <w:pPr>
        <w:pStyle w:val="Zkladntext"/>
      </w:pPr>
    </w:p>
    <w:p w14:paraId="71B70E62" w14:textId="77777777" w:rsidR="0059299D" w:rsidRDefault="0059299D">
      <w:pPr>
        <w:pStyle w:val="Zkladntext"/>
      </w:pPr>
    </w:p>
    <w:p w14:paraId="16AFAE94" w14:textId="77777777" w:rsidR="0059299D" w:rsidRDefault="0059299D">
      <w:pPr>
        <w:pStyle w:val="Zkladntext"/>
      </w:pPr>
    </w:p>
    <w:p w14:paraId="6CC929AC" w14:textId="77777777" w:rsidR="0059299D" w:rsidRDefault="0059299D">
      <w:pPr>
        <w:pStyle w:val="Zkladntext"/>
      </w:pPr>
    </w:p>
    <w:p w14:paraId="7C509761" w14:textId="77777777" w:rsidR="0059299D" w:rsidRDefault="0059299D">
      <w:pPr>
        <w:pStyle w:val="Zkladntext"/>
      </w:pPr>
    </w:p>
    <w:p w14:paraId="3ACC53A8" w14:textId="77777777" w:rsidR="0059299D" w:rsidRDefault="0059299D">
      <w:pPr>
        <w:pStyle w:val="Zkladntext"/>
        <w:spacing w:before="202"/>
      </w:pPr>
    </w:p>
    <w:p w14:paraId="4BB231C4" w14:textId="77777777" w:rsidR="0059299D" w:rsidRDefault="002648EF">
      <w:pPr>
        <w:pStyle w:val="Zkladntext"/>
        <w:ind w:left="116"/>
      </w:pPr>
      <w:r>
        <w:rPr>
          <w:color w:val="404040"/>
          <w:spacing w:val="-5"/>
        </w:rPr>
        <w:t>xxx</w:t>
      </w:r>
    </w:p>
    <w:sectPr w:rsidR="0059299D">
      <w:pgSz w:w="11910" w:h="16840"/>
      <w:pgMar w:top="1380" w:right="920" w:bottom="500" w:left="1300" w:header="0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9AEC" w14:textId="77777777" w:rsidR="002648EF" w:rsidRDefault="002648EF">
      <w:r>
        <w:separator/>
      </w:r>
    </w:p>
  </w:endnote>
  <w:endnote w:type="continuationSeparator" w:id="0">
    <w:p w14:paraId="497FC35C" w14:textId="77777777" w:rsidR="002648EF" w:rsidRDefault="0026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6D18" w14:textId="04FE91DC" w:rsidR="002648EF" w:rsidRDefault="002648E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52E6523" wp14:editId="0F63D9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3016613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3E80F" w14:textId="674A88D9" w:rsidR="002648EF" w:rsidRPr="002648EF" w:rsidRDefault="002648EF" w:rsidP="002648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648E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65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34.95pt;height:34.95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E3E80F" w14:textId="674A88D9" w:rsidR="002648EF" w:rsidRPr="002648EF" w:rsidRDefault="002648EF" w:rsidP="002648E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648E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1F86" w14:textId="3188A96C" w:rsidR="0059299D" w:rsidRDefault="002648E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62D85831" wp14:editId="1EDCA294">
              <wp:simplePos x="828675" y="10496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88063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3BEC4" w14:textId="6BBA2976" w:rsidR="002648EF" w:rsidRPr="002648EF" w:rsidRDefault="002648EF" w:rsidP="002648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648E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8583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34.95pt;height:34.95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503BEC4" w14:textId="6BBA2976" w:rsidR="002648EF" w:rsidRPr="002648EF" w:rsidRDefault="002648EF" w:rsidP="002648E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648E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19802D99" wp14:editId="65620871">
              <wp:simplePos x="0" y="0"/>
              <wp:positionH relativeFrom="page">
                <wp:posOffset>3309620</wp:posOffset>
              </wp:positionH>
              <wp:positionV relativeFrom="page">
                <wp:posOffset>10360786</wp:posOffset>
              </wp:positionV>
              <wp:extent cx="9239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ACA49" w14:textId="77777777" w:rsidR="0059299D" w:rsidRDefault="002648E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2D99" id="Textbox 1" o:spid="_x0000_s1028" type="#_x0000_t202" style="position:absolute;margin-left:260.6pt;margin-top:815.8pt;width:72.75pt;height:1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" filled="f" stroked="f">
              <v:textbox inset="0,0,0,0">
                <w:txbxContent>
                  <w:p w14:paraId="7CEACA49" w14:textId="77777777" w:rsidR="0059299D" w:rsidRDefault="002648EF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966D" w14:textId="6F28C66F" w:rsidR="002648EF" w:rsidRDefault="002648E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A518CB5" wp14:editId="1C5455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2949108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F8C0D" w14:textId="086C75D7" w:rsidR="002648EF" w:rsidRPr="002648EF" w:rsidRDefault="002648EF" w:rsidP="002648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648E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18CB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34.95pt;height:34.95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DBF8C0D" w14:textId="086C75D7" w:rsidR="002648EF" w:rsidRPr="002648EF" w:rsidRDefault="002648EF" w:rsidP="002648E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648E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B647" w14:textId="77777777" w:rsidR="002648EF" w:rsidRDefault="002648EF">
      <w:r>
        <w:separator/>
      </w:r>
    </w:p>
  </w:footnote>
  <w:footnote w:type="continuationSeparator" w:id="0">
    <w:p w14:paraId="094C39F3" w14:textId="77777777" w:rsidR="002648EF" w:rsidRDefault="0026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E6C77"/>
    <w:multiLevelType w:val="multilevel"/>
    <w:tmpl w:val="1F882DA0"/>
    <w:lvl w:ilvl="0">
      <w:start w:val="4"/>
      <w:numFmt w:val="decimal"/>
      <w:lvlText w:val="%1"/>
      <w:lvlJc w:val="left"/>
      <w:pPr>
        <w:ind w:left="1248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48" w:hanging="567"/>
        <w:jc w:val="left"/>
      </w:pPr>
      <w:rPr>
        <w:rFonts w:ascii="Arial" w:eastAsia="Arial" w:hAnsi="Arial" w:cs="Arial" w:hint="default"/>
        <w:b w:val="0"/>
        <w:bCs w:val="0"/>
        <w:i/>
        <w:iCs/>
        <w:color w:val="40404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535" w:hanging="286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50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5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0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65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70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6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3FCD6648"/>
    <w:multiLevelType w:val="multilevel"/>
    <w:tmpl w:val="D1DA53C6"/>
    <w:lvl w:ilvl="0">
      <w:start w:val="3"/>
      <w:numFmt w:val="decimal"/>
      <w:lvlText w:val="%1"/>
      <w:lvlJc w:val="left"/>
      <w:pPr>
        <w:ind w:left="1248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48" w:hanging="567"/>
        <w:jc w:val="left"/>
      </w:pPr>
      <w:rPr>
        <w:rFonts w:ascii="Arial" w:eastAsia="Arial" w:hAnsi="Arial" w:cs="Arial" w:hint="default"/>
        <w:b w:val="0"/>
        <w:bCs w:val="0"/>
        <w:i/>
        <w:iCs/>
        <w:color w:val="40404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675" w:hanging="428"/>
      </w:pPr>
      <w:rPr>
        <w:rFonts w:ascii="Arial" w:eastAsia="Arial" w:hAnsi="Arial" w:cs="Arial" w:hint="default"/>
        <w:b w:val="0"/>
        <w:bCs w:val="0"/>
        <w:i/>
        <w:iCs/>
        <w:color w:val="40404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45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8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38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8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1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07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7EF96B47"/>
    <w:multiLevelType w:val="multilevel"/>
    <w:tmpl w:val="2FFC3198"/>
    <w:lvl w:ilvl="0">
      <w:start w:val="1"/>
      <w:numFmt w:val="decimal"/>
      <w:lvlText w:val="%1."/>
      <w:lvlJc w:val="left"/>
      <w:pPr>
        <w:ind w:left="3919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50" w:hanging="567"/>
        <w:jc w:val="left"/>
      </w:pPr>
      <w:rPr>
        <w:rFonts w:ascii="Arial" w:eastAsia="Arial" w:hAnsi="Arial" w:cs="Arial" w:hint="default"/>
        <w:b w:val="0"/>
        <w:bCs w:val="0"/>
        <w:i/>
        <w:iCs/>
        <w:color w:val="40404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64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361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8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44" w:hanging="567"/>
      </w:pPr>
      <w:rPr>
        <w:rFonts w:hint="default"/>
        <w:lang w:val="cs-CZ" w:eastAsia="en-US" w:bidi="ar-SA"/>
      </w:rPr>
    </w:lvl>
  </w:abstractNum>
  <w:num w:numId="1" w16cid:durableId="1302151717">
    <w:abstractNumId w:val="0"/>
  </w:num>
  <w:num w:numId="2" w16cid:durableId="1240796243">
    <w:abstractNumId w:val="1"/>
  </w:num>
  <w:num w:numId="3" w16cid:durableId="129271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99D"/>
    <w:rsid w:val="002648EF"/>
    <w:rsid w:val="005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10D2"/>
  <w15:docId w15:val="{122B67CB-1411-4842-8F2B-AAA4BE9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6"/>
      <w:ind w:right="385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pat">
    <w:name w:val="footer"/>
    <w:basedOn w:val="Normln"/>
    <w:link w:val="ZpatChar"/>
    <w:uiPriority w:val="99"/>
    <w:unhideWhenUsed/>
    <w:rsid w:val="00264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8E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Petra</dc:creator>
  <dc:description/>
  <cp:lastModifiedBy>Baloun Matěj</cp:lastModifiedBy>
  <cp:revision>2</cp:revision>
  <dcterms:created xsi:type="dcterms:W3CDTF">2024-05-01T19:39:00Z</dcterms:created>
  <dcterms:modified xsi:type="dcterms:W3CDTF">2024-05-01T19:40:00Z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30eded5,43256425,69de258a,78f7938b,37713575,e30f7f</vt:lpwstr>
  </property>
  <property fmtid="{D5CDD505-2E9C-101B-9397-08002B2CF9AE}" pid="4" name="ClassificationContentMarkingFooterText">
    <vt:lpwstr>Interní informace</vt:lpwstr>
  </property>
  <property fmtid="{D5CDD505-2E9C-101B-9397-08002B2CF9AE}" pid="5" name="Created">
    <vt:filetime>2024-04-30T00:00:00Z</vt:filetime>
  </property>
  <property fmtid="{D5CDD505-2E9C-101B-9397-08002B2CF9AE}" pid="6" name="Creator">
    <vt:lpwstr>Acrobat PDFMaker 24 pro Word</vt:lpwstr>
  </property>
  <property fmtid="{D5CDD505-2E9C-101B-9397-08002B2CF9AE}" pid="7" name="LastSaved">
    <vt:filetime>2024-05-01T00:00:00Z</vt:filetime>
  </property>
  <property fmtid="{D5CDD505-2E9C-101B-9397-08002B2CF9AE}" pid="8" name="Producer">
    <vt:lpwstr>Adobe PDF Library 24.1.163</vt:lpwstr>
  </property>
  <property fmtid="{D5CDD505-2E9C-101B-9397-08002B2CF9AE}" pid="9" name="SourceModified">
    <vt:lpwstr>D:20240429075700</vt:lpwstr>
  </property>
</Properties>
</file>