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627EE">
        <w:rPr>
          <w:u w:val="single"/>
        </w:rPr>
        <w:t>22</w:t>
      </w:r>
      <w:r w:rsidR="00520C68">
        <w:rPr>
          <w:u w:val="single"/>
        </w:rPr>
        <w:t>8</w:t>
      </w:r>
      <w:r w:rsidR="008031F7">
        <w:rPr>
          <w:u w:val="single"/>
        </w:rPr>
        <w:t>-202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</w:t>
      </w:r>
      <w:r w:rsidR="00520C68">
        <w:rPr>
          <w:b w:val="0"/>
          <w:sz w:val="14"/>
          <w:szCs w:val="14"/>
          <w:u w:val="single"/>
          <w:lang w:eastAsia="cs-CZ"/>
        </w:rPr>
        <w:t>a – chodba mezi vrátnicí a budovou B; chodba mezi A1 a reminiscenční místností</w:t>
      </w:r>
    </w:p>
    <w:p w:rsidR="004627EE" w:rsidRDefault="004627EE" w:rsidP="004C0B20">
      <w:pPr>
        <w:ind w:left="7788"/>
        <w:rPr>
          <w:sz w:val="20"/>
          <w:szCs w:val="20"/>
        </w:rPr>
      </w:pPr>
    </w:p>
    <w:p w:rsidR="004627EE" w:rsidRDefault="004627EE" w:rsidP="004C0B20">
      <w:pPr>
        <w:ind w:left="7788"/>
        <w:rPr>
          <w:sz w:val="20"/>
          <w:szCs w:val="20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4627EE">
        <w:rPr>
          <w:sz w:val="20"/>
          <w:szCs w:val="20"/>
        </w:rPr>
        <w:t>30</w:t>
      </w:r>
      <w:r w:rsidR="00EE61B6">
        <w:rPr>
          <w:sz w:val="20"/>
          <w:szCs w:val="20"/>
        </w:rPr>
        <w:t>.4.2024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9605A7">
        <w:rPr>
          <w:rFonts w:cs="Arial"/>
          <w:sz w:val="18"/>
          <w:szCs w:val="20"/>
          <w:lang w:eastAsia="cs-CZ"/>
        </w:rPr>
        <w:t>xxxxxxxxxxxx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9605A7">
        <w:rPr>
          <w:rFonts w:cs="Arial"/>
          <w:sz w:val="18"/>
          <w:szCs w:val="20"/>
          <w:lang w:eastAsia="cs-CZ"/>
        </w:rPr>
        <w:t>xxxxxxxxxxx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520C68" w:rsidRPr="00520C68">
        <w:rPr>
          <w:rFonts w:cs="Arial"/>
          <w:sz w:val="20"/>
          <w:szCs w:val="20"/>
          <w:lang w:eastAsia="cs-CZ"/>
        </w:rPr>
        <w:t>– chodba mezi vrátnicí a budovou B; chodba mezi A1 a reminiscenční místnosti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520C68">
        <w:rPr>
          <w:rFonts w:cs="Arial"/>
          <w:sz w:val="20"/>
          <w:szCs w:val="20"/>
          <w:lang w:eastAsia="cs-CZ"/>
        </w:rPr>
        <w:t>45</w:t>
      </w:r>
      <w:r w:rsidR="004627EE">
        <w:rPr>
          <w:rFonts w:cs="Arial"/>
          <w:sz w:val="20"/>
          <w:szCs w:val="20"/>
          <w:lang w:eastAsia="cs-CZ"/>
        </w:rPr>
        <w:t>.</w:t>
      </w:r>
      <w:r w:rsidR="00520C68">
        <w:rPr>
          <w:rFonts w:cs="Arial"/>
          <w:sz w:val="20"/>
          <w:szCs w:val="20"/>
          <w:lang w:eastAsia="cs-CZ"/>
        </w:rPr>
        <w:t>248</w:t>
      </w:r>
      <w:r w:rsidR="00CA0547">
        <w:rPr>
          <w:rFonts w:cs="Arial"/>
          <w:sz w:val="20"/>
          <w:szCs w:val="20"/>
          <w:lang w:eastAsia="cs-CZ"/>
        </w:rPr>
        <w:t>,- Kč včetně DPH.</w:t>
      </w:r>
      <w:r w:rsidR="004627EE" w:rsidRPr="004627EE">
        <w:rPr>
          <w:noProof/>
          <w:lang w:eastAsia="cs-CZ"/>
        </w:rPr>
        <w:t xml:space="preserve"> </w:t>
      </w:r>
    </w:p>
    <w:p w:rsidR="000450FA" w:rsidRPr="00022AEF" w:rsidRDefault="000450FA" w:rsidP="00022AEF">
      <w:pPr>
        <w:rPr>
          <w:rFonts w:cs="Arial"/>
          <w:sz w:val="20"/>
          <w:szCs w:val="20"/>
          <w:lang w:eastAsia="cs-CZ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627EE" w:rsidRDefault="004627EE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DB5444" w:rsidRDefault="00DB5444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9605A7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605A7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9605A7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9605A7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9605A7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9605A7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9605A7">
        <w:rPr>
          <w:sz w:val="20"/>
          <w:szCs w:val="20"/>
          <w:lang w:eastAsia="cs-CZ"/>
        </w:rPr>
        <w:t>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939"/>
        <w:gridCol w:w="1131"/>
        <w:gridCol w:w="418"/>
        <w:gridCol w:w="921"/>
        <w:gridCol w:w="960"/>
        <w:gridCol w:w="960"/>
      </w:tblGrid>
      <w:tr w:rsidR="009605A7" w:rsidRPr="009605A7" w:rsidTr="009605A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10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xxxxxxxxxxxxx</w:t>
              </w:r>
              <w:r w:rsidRPr="009605A7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z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</w:t>
            </w: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Opravy po chodbách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spojovací chodba mezi vrátnicí a budovou B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potažení zdí stěrkou broušení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6000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oblepování,průběžný</w:t>
            </w:r>
            <w:proofErr w:type="spellEnd"/>
            <w:proofErr w:type="gramEnd"/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úklid,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3600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mě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790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oprava spojovací chodby mezi A1 a reminiscenční místností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škrábání prostor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2800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1600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3700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oblepování,průběžný</w:t>
            </w:r>
            <w:proofErr w:type="spellEnd"/>
            <w:proofErr w:type="gramEnd"/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úklid,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2800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1760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6000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potažení zdí stěrkou broušení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7200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40400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4848</w:t>
            </w:r>
          </w:p>
        </w:tc>
      </w:tr>
      <w:tr w:rsidR="009605A7" w:rsidRPr="009605A7" w:rsidTr="009605A7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5A7" w:rsidRPr="009605A7" w:rsidRDefault="009605A7" w:rsidP="009605A7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9605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45248</w:t>
            </w:r>
          </w:p>
        </w:tc>
      </w:tr>
    </w:tbl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sz w:val="20"/>
          <w:szCs w:val="20"/>
          <w:lang w:eastAsia="cs-CZ"/>
        </w:rPr>
      </w:pPr>
    </w:p>
    <w:p w:rsidR="009605A7" w:rsidRDefault="009605A7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</w:p>
    <w:sectPr w:rsidR="009605A7" w:rsidSect="00E121E1">
      <w:headerReference w:type="default" r:id="rId11"/>
      <w:footerReference w:type="default" r:id="rId12"/>
      <w:head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A8" w:rsidRDefault="002B7EA8" w:rsidP="003D2616">
      <w:pPr>
        <w:spacing w:before="0" w:line="240" w:lineRule="auto"/>
      </w:pPr>
      <w:r>
        <w:separator/>
      </w:r>
    </w:p>
  </w:endnote>
  <w:endnote w:type="continuationSeparator" w:id="0">
    <w:p w:rsidR="002B7EA8" w:rsidRDefault="002B7EA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A8" w:rsidRDefault="002B7EA8" w:rsidP="003D2616">
      <w:pPr>
        <w:spacing w:before="0" w:line="240" w:lineRule="auto"/>
      </w:pPr>
      <w:r>
        <w:separator/>
      </w:r>
    </w:p>
  </w:footnote>
  <w:footnote w:type="continuationSeparator" w:id="0">
    <w:p w:rsidR="002B7EA8" w:rsidRDefault="002B7EA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B7EA8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20C6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605A7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avo.gort@atl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D8B2-6F88-4ACC-AA8D-FAE866AD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2024-04-30T12:54:00Z</cp:lastPrinted>
  <dcterms:created xsi:type="dcterms:W3CDTF">2024-04-30T13:02:00Z</dcterms:created>
  <dcterms:modified xsi:type="dcterms:W3CDTF">2024-04-30T13:02:00Z</dcterms:modified>
</cp:coreProperties>
</file>