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75E4087D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2C62FA">
        <w:rPr>
          <w:rFonts w:eastAsia="Times New Roman" w:cstheme="minorHAnsi"/>
          <w:b/>
          <w:bCs/>
          <w:sz w:val="28"/>
          <w:szCs w:val="28"/>
          <w:lang w:eastAsia="cs-CZ"/>
        </w:rPr>
        <w:t>17</w:t>
      </w:r>
      <w:r w:rsidR="0096216F">
        <w:rPr>
          <w:rFonts w:eastAsia="Times New Roman" w:cstheme="minorHAnsi"/>
          <w:b/>
          <w:bCs/>
          <w:sz w:val="28"/>
          <w:szCs w:val="28"/>
          <w:lang w:eastAsia="cs-CZ"/>
        </w:rPr>
        <w:t>6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/202</w:t>
      </w:r>
      <w:r w:rsidR="003750FD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6782AEA2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</w:t>
      </w:r>
      <w:r w:rsidR="003750FD">
        <w:rPr>
          <w:rFonts w:eastAsia="Times New Roman" w:cstheme="minorHAnsi"/>
          <w:lang w:eastAsia="cs-CZ"/>
        </w:rPr>
        <w:t>4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6A4C05C6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50C6D07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  <w:t>Římskokatolická farnost Holice</w:t>
      </w:r>
    </w:p>
    <w:p w14:paraId="78BFA2E5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PhDr. Radek Martinek Ph.D., farář</w:t>
      </w:r>
    </w:p>
    <w:p w14:paraId="6AD9270C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církevní právnická osoba</w:t>
      </w:r>
    </w:p>
    <w:p w14:paraId="27BBDAF1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>
        <w:t>Jungmannova 7, 534 01 Holice</w:t>
      </w:r>
    </w:p>
    <w:p w14:paraId="6CCB1276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60161264</w:t>
      </w:r>
    </w:p>
    <w:p w14:paraId="45901A93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Česká spořitelna, a.s.</w:t>
      </w:r>
    </w:p>
    <w:p w14:paraId="44584DD9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1200334309/0800</w:t>
      </w:r>
    </w:p>
    <w:p w14:paraId="0AAF4C83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>
        <w:t>Ministerstvo kultury, číslo evidence 8/1-04-133/1994</w:t>
      </w:r>
    </w:p>
    <w:p w14:paraId="0B85CA91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(dále jen </w:t>
      </w:r>
      <w:r w:rsidRPr="00BD4FD9">
        <w:rPr>
          <w:rFonts w:eastAsia="Times New Roman" w:cstheme="minorHAnsi"/>
          <w:lang w:eastAsia="cs-CZ"/>
        </w:rPr>
        <w:t>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17A5FE00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</w:t>
      </w:r>
      <w:r w:rsidRPr="00882880">
        <w:rPr>
          <w:rFonts w:eastAsia="Times New Roman" w:cstheme="minorHAnsi"/>
          <w:lang w:eastAsia="cs-CZ"/>
        </w:rPr>
        <w:t xml:space="preserve">poskytnutí </w:t>
      </w:r>
      <w:r w:rsidRPr="00882880">
        <w:rPr>
          <w:rFonts w:eastAsia="Times New Roman" w:cstheme="minorHAnsi"/>
          <w:b/>
          <w:bCs/>
          <w:lang w:eastAsia="cs-CZ"/>
        </w:rPr>
        <w:t>investiční účelové dotace</w:t>
      </w:r>
      <w:r w:rsidRPr="00BD4FD9">
        <w:rPr>
          <w:rFonts w:eastAsia="Times New Roman" w:cstheme="minorHAnsi"/>
          <w:lang w:eastAsia="cs-CZ"/>
        </w:rPr>
        <w:t xml:space="preserve">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>ěsta Holic na:</w:t>
      </w: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143A52B" w14:textId="764C52EB" w:rsidR="00BD2B41" w:rsidRPr="00BD4FD9" w:rsidRDefault="0096216F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96216F">
        <w:rPr>
          <w:rFonts w:eastAsia="Times New Roman" w:cstheme="minorHAnsi"/>
          <w:b/>
          <w:sz w:val="32"/>
          <w:szCs w:val="32"/>
          <w:lang w:eastAsia="cs-CZ"/>
        </w:rPr>
        <w:t xml:space="preserve">Holice, městská část </w:t>
      </w:r>
      <w:r w:rsidRPr="0096216F">
        <w:rPr>
          <w:rFonts w:eastAsia="Times New Roman" w:cstheme="minorHAnsi"/>
          <w:b/>
          <w:sz w:val="32"/>
          <w:szCs w:val="32"/>
          <w:lang w:eastAsia="cs-CZ"/>
        </w:rPr>
        <w:t>Koudelka – celková</w:t>
      </w:r>
      <w:r w:rsidRPr="0096216F">
        <w:rPr>
          <w:rFonts w:eastAsia="Times New Roman" w:cstheme="minorHAnsi"/>
          <w:b/>
          <w:sz w:val="32"/>
          <w:szCs w:val="32"/>
          <w:lang w:eastAsia="cs-CZ"/>
        </w:rPr>
        <w:t xml:space="preserve"> obnova kaple (III.etapa) dokončení věže</w:t>
      </w:r>
    </w:p>
    <w:p w14:paraId="3B2429BB" w14:textId="77777777" w:rsidR="00BD2B41" w:rsidRPr="00BD4FD9" w:rsidRDefault="00BD2B41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7561ACDE" w14:textId="77777777" w:rsidR="00BD2B41" w:rsidRPr="00BD4FD9" w:rsidRDefault="00BD2B41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F31BADB" w14:textId="77777777" w:rsidR="006B1D73" w:rsidRPr="00BD4FD9" w:rsidRDefault="006B1D73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71DA4749" w14:textId="77777777" w:rsidR="006B1D73" w:rsidRDefault="006B1D73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2EBA9AE" w14:textId="77777777" w:rsidR="00C628DA" w:rsidRPr="00BD4FD9" w:rsidRDefault="00C628DA" w:rsidP="0096216F">
      <w:pPr>
        <w:spacing w:after="0" w:line="240" w:lineRule="auto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Default="008323B0" w:rsidP="0094285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396BFE4A" w14:textId="77777777" w:rsidR="00454FA5" w:rsidRPr="00BD4FD9" w:rsidRDefault="00454FA5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624EB7F" w14:textId="59839304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 </w:t>
      </w:r>
      <w:r w:rsidR="00454FA5">
        <w:rPr>
          <w:rFonts w:eastAsia="Times New Roman" w:cstheme="minorHAnsi"/>
          <w:lang w:eastAsia="cs-CZ"/>
        </w:rPr>
        <w:t>Z/210/2024</w:t>
      </w:r>
      <w:r w:rsidRPr="00BD4FD9">
        <w:rPr>
          <w:rFonts w:eastAsia="Times New Roman" w:cstheme="minorHAnsi"/>
          <w:lang w:eastAsia="cs-CZ"/>
        </w:rPr>
        <w:t xml:space="preserve"> ze dne </w:t>
      </w:r>
      <w:r w:rsidR="00454FA5">
        <w:rPr>
          <w:rFonts w:eastAsia="Times New Roman" w:cstheme="minorHAnsi"/>
          <w:lang w:eastAsia="cs-CZ"/>
        </w:rPr>
        <w:t>18. března 2024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96216F">
        <w:rPr>
          <w:rFonts w:eastAsia="Times New Roman" w:cstheme="minorHAnsi"/>
          <w:b/>
          <w:lang w:eastAsia="cs-CZ"/>
        </w:rPr>
        <w:t>75</w:t>
      </w:r>
      <w:r w:rsidR="00454FA5">
        <w:rPr>
          <w:rFonts w:eastAsia="Times New Roman" w:cstheme="minorHAnsi"/>
          <w:b/>
          <w:lang w:eastAsia="cs-CZ"/>
        </w:rPr>
        <w:t>.000</w:t>
      </w:r>
      <w:r w:rsidRPr="00BD4FD9">
        <w:rPr>
          <w:rFonts w:eastAsia="Times New Roman" w:cstheme="minorHAnsi"/>
          <w:b/>
          <w:bCs/>
          <w:lang w:eastAsia="cs-CZ"/>
        </w:rPr>
        <w:t xml:space="preserve"> Kč</w:t>
      </w:r>
      <w:r w:rsidRPr="00BD4FD9">
        <w:rPr>
          <w:rFonts w:eastAsia="Times New Roman" w:cstheme="minorHAnsi"/>
          <w:lang w:eastAsia="cs-CZ"/>
        </w:rPr>
        <w:t xml:space="preserve">, slovy: </w:t>
      </w:r>
      <w:r w:rsidR="0096216F">
        <w:rPr>
          <w:rFonts w:eastAsia="Times New Roman" w:cstheme="minorHAnsi"/>
          <w:b/>
          <w:bCs/>
          <w:lang w:eastAsia="cs-CZ"/>
        </w:rPr>
        <w:t>Sedmdesátpěttisíc</w:t>
      </w:r>
      <w:r w:rsidR="00454FA5">
        <w:rPr>
          <w:rFonts w:eastAsia="Times New Roman" w:cstheme="minorHAnsi"/>
          <w:b/>
          <w:bCs/>
          <w:lang w:eastAsia="cs-CZ"/>
        </w:rPr>
        <w:t xml:space="preserve"> korun českých</w:t>
      </w:r>
    </w:p>
    <w:p w14:paraId="516B22A1" w14:textId="77777777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55F7F57A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750FD" w:rsidRPr="003750FD">
        <w:rPr>
          <w:rFonts w:ascii="Calibri" w:hAnsi="Calibri" w:cs="Calibri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0CAA93AE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úhradu nákladů spojených s realizací </w:t>
      </w:r>
      <w:r w:rsidR="00B00C4F">
        <w:rPr>
          <w:rFonts w:eastAsia="Times New Roman" w:cstheme="minorHAnsi"/>
          <w:lang w:eastAsia="cs-CZ"/>
        </w:rPr>
        <w:t>předmětu podpory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</w:p>
    <w:p w14:paraId="73440587" w14:textId="098A61D6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="00D03DA7">
        <w:rPr>
          <w:rFonts w:eastAsia="Times New Roman" w:cstheme="minorHAnsi"/>
          <w:b/>
          <w:bCs/>
          <w:lang w:eastAsia="cs-CZ"/>
        </w:rPr>
        <w:t>0</w:t>
      </w:r>
      <w:r w:rsidR="00C628DA">
        <w:rPr>
          <w:rFonts w:eastAsia="Times New Roman" w:cstheme="minorHAnsi"/>
          <w:b/>
          <w:bCs/>
          <w:lang w:eastAsia="cs-CZ"/>
        </w:rPr>
        <w:t>.</w:t>
      </w:r>
      <w:r w:rsidRPr="00BD4FD9">
        <w:rPr>
          <w:rFonts w:eastAsia="Times New Roman" w:cstheme="minorHAnsi"/>
          <w:b/>
          <w:bCs/>
          <w:lang w:eastAsia="cs-CZ"/>
        </w:rPr>
        <w:t>12.</w:t>
      </w:r>
      <w:r w:rsidR="003750FD">
        <w:rPr>
          <w:rFonts w:eastAsia="Times New Roman" w:cstheme="minorHAnsi"/>
          <w:b/>
          <w:bCs/>
          <w:lang w:eastAsia="cs-CZ"/>
        </w:rPr>
        <w:t>2024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1D6C6F">
        <w:rPr>
          <w:rFonts w:eastAsia="Times New Roman" w:cstheme="minorHAnsi"/>
          <w:bCs/>
          <w:lang w:eastAsia="cs-CZ"/>
        </w:rPr>
        <w:t xml:space="preserve">, </w:t>
      </w:r>
      <w:r w:rsidR="001D6C6F" w:rsidRPr="00AC00E9">
        <w:rPr>
          <w:rFonts w:eastAsia="Times New Roman" w:cstheme="minorHAnsi"/>
          <w:lang w:eastAsia="cs-CZ"/>
        </w:rPr>
        <w:t xml:space="preserve">a to na předloženém formuláři dle </w:t>
      </w:r>
      <w:r w:rsidR="001D6C6F">
        <w:rPr>
          <w:rFonts w:eastAsia="Times New Roman" w:cstheme="minorHAnsi"/>
          <w:lang w:eastAsia="cs-CZ"/>
        </w:rPr>
        <w:t>P</w:t>
      </w:r>
      <w:r w:rsidR="001D6C6F" w:rsidRPr="00AC00E9">
        <w:rPr>
          <w:rFonts w:eastAsia="Times New Roman" w:cstheme="minorHAnsi"/>
          <w:lang w:eastAsia="cs-CZ"/>
        </w:rPr>
        <w:t>řílohy</w:t>
      </w:r>
      <w:r w:rsidR="001D6C6F">
        <w:rPr>
          <w:rFonts w:eastAsia="Times New Roman" w:cstheme="minorHAnsi"/>
          <w:lang w:eastAsia="cs-CZ"/>
        </w:rPr>
        <w:t> </w:t>
      </w:r>
      <w:r w:rsidR="001D6C6F" w:rsidRPr="00AC00E9">
        <w:rPr>
          <w:rFonts w:eastAsia="Times New Roman" w:cstheme="minorHAnsi"/>
          <w:lang w:eastAsia="cs-CZ"/>
        </w:rPr>
        <w:t>č.</w:t>
      </w:r>
      <w:r w:rsidR="001D6C6F">
        <w:rPr>
          <w:rFonts w:eastAsia="Times New Roman" w:cstheme="minorHAnsi"/>
          <w:lang w:eastAsia="cs-CZ"/>
        </w:rPr>
        <w:t> </w:t>
      </w:r>
      <w:r w:rsidR="001D6C6F" w:rsidRPr="00AC00E9">
        <w:rPr>
          <w:rFonts w:eastAsia="Times New Roman" w:cstheme="minorHAnsi"/>
          <w:lang w:eastAsia="cs-CZ"/>
        </w:rPr>
        <w:t>1_</w:t>
      </w:r>
      <w:r w:rsidR="001D6C6F">
        <w:rPr>
          <w:rFonts w:eastAsia="Times New Roman" w:cstheme="minorHAnsi"/>
          <w:lang w:eastAsia="cs-CZ"/>
        </w:rPr>
        <w:t>mimořádaná_podpora</w:t>
      </w:r>
      <w:r w:rsidR="001D6C6F" w:rsidRPr="00AC00E9">
        <w:rPr>
          <w:rFonts w:eastAsia="Times New Roman" w:cstheme="minorHAnsi"/>
          <w:lang w:eastAsia="cs-CZ"/>
        </w:rPr>
        <w:t xml:space="preserve"> této Smlouvy (</w:t>
      </w:r>
      <w:r w:rsidR="001D6C6F">
        <w:rPr>
          <w:rFonts w:eastAsia="Times New Roman" w:cstheme="minorHAnsi"/>
          <w:lang w:eastAsia="cs-CZ"/>
        </w:rPr>
        <w:t>formulář</w:t>
      </w:r>
      <w:r w:rsidR="001D6C6F" w:rsidRPr="00AC00E9">
        <w:rPr>
          <w:rFonts w:eastAsia="Times New Roman" w:cstheme="minorHAnsi"/>
          <w:lang w:eastAsia="cs-CZ"/>
        </w:rPr>
        <w:t xml:space="preserve"> lze stáhnout elektronicky na </w:t>
      </w:r>
      <w:r w:rsidR="001D6C6F">
        <w:rPr>
          <w:rFonts w:eastAsia="Times New Roman" w:cstheme="minorHAnsi"/>
          <w:lang w:eastAsia="cs-CZ"/>
        </w:rPr>
        <w:t>w</w:t>
      </w:r>
      <w:r w:rsidR="001D6C6F" w:rsidRPr="00AC00E9">
        <w:rPr>
          <w:rFonts w:eastAsia="Times New Roman" w:cstheme="minorHAnsi"/>
          <w:lang w:eastAsia="cs-CZ"/>
        </w:rPr>
        <w:t xml:space="preserve">ebových stránkách města v sekci </w:t>
      </w:r>
      <w:r w:rsidR="001D6C6F" w:rsidRPr="0040546D">
        <w:t>Veřejná finanční podpora – dotace města</w:t>
      </w:r>
      <w:r w:rsidR="001D6C6F">
        <w:t>)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612893E1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</w:t>
      </w:r>
      <w:r w:rsidR="00B00C4F">
        <w:rPr>
          <w:rFonts w:eastAsia="Times New Roman" w:cstheme="minorHAnsi"/>
          <w:lang w:eastAsia="cs-CZ"/>
        </w:rPr>
        <w:t>.</w:t>
      </w:r>
      <w:r w:rsidRPr="00BD4FD9">
        <w:rPr>
          <w:rFonts w:eastAsia="Times New Roman" w:cstheme="minorHAnsi"/>
          <w:lang w:eastAsia="cs-CZ"/>
        </w:rPr>
        <w:t xml:space="preserve">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2F6C3BE4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7BC6FDFA" w14:textId="6C6A9EC7" w:rsidR="00147289" w:rsidRPr="00882880" w:rsidRDefault="008323B0" w:rsidP="00147289">
      <w:pPr>
        <w:numPr>
          <w:ilvl w:val="0"/>
          <w:numId w:val="5"/>
        </w:numPr>
        <w:spacing w:after="120"/>
        <w:ind w:left="0" w:hanging="426"/>
        <w:jc w:val="both"/>
        <w:rPr>
          <w:rFonts w:eastAsia="Times New Roman" w:cstheme="minorHAnsi"/>
          <w:lang w:eastAsia="cs-CZ"/>
        </w:rPr>
      </w:pPr>
      <w:r w:rsidRPr="00882880">
        <w:rPr>
          <w:rFonts w:eastAsia="Times New Roman" w:cstheme="minorHAnsi"/>
          <w:lang w:eastAsia="cs-CZ"/>
        </w:rPr>
        <w:t xml:space="preserve">Příjemce dotace smí použít dotaci </w:t>
      </w:r>
      <w:r w:rsidR="00B00C4F" w:rsidRPr="00882880">
        <w:rPr>
          <w:rFonts w:eastAsia="Times New Roman" w:cstheme="minorHAnsi"/>
          <w:lang w:eastAsia="cs-CZ"/>
        </w:rPr>
        <w:t>výlučně na investiční část podpořené akce</w:t>
      </w:r>
      <w:r w:rsidR="001D6C6F" w:rsidRPr="00882880">
        <w:rPr>
          <w:rFonts w:eastAsia="Times New Roman" w:cstheme="minorHAnsi"/>
          <w:lang w:eastAsia="cs-CZ"/>
        </w:rPr>
        <w:t xml:space="preserve"> – viz článek II – Předmět smlouvy.</w:t>
      </w:r>
    </w:p>
    <w:p w14:paraId="282CF53F" w14:textId="77777777" w:rsidR="001D6C6F" w:rsidRDefault="001D6C6F" w:rsidP="001D6C6F">
      <w:pPr>
        <w:spacing w:after="120"/>
        <w:jc w:val="both"/>
        <w:rPr>
          <w:rFonts w:eastAsia="Times New Roman" w:cstheme="minorHAnsi"/>
          <w:highlight w:val="yellow"/>
          <w:lang w:eastAsia="cs-CZ"/>
        </w:rPr>
      </w:pPr>
    </w:p>
    <w:p w14:paraId="46FDE0AB" w14:textId="77777777" w:rsidR="001D6C6F" w:rsidRDefault="001D6C6F" w:rsidP="001D6C6F">
      <w:pPr>
        <w:spacing w:after="120"/>
        <w:jc w:val="both"/>
        <w:rPr>
          <w:rFonts w:eastAsia="Times New Roman" w:cstheme="minorHAnsi"/>
          <w:highlight w:val="yellow"/>
          <w:lang w:eastAsia="cs-CZ"/>
        </w:rPr>
      </w:pPr>
    </w:p>
    <w:p w14:paraId="77B73C7B" w14:textId="77777777" w:rsidR="001D6C6F" w:rsidRPr="001D6C6F" w:rsidRDefault="001D6C6F" w:rsidP="001D6C6F">
      <w:pPr>
        <w:spacing w:after="120"/>
        <w:jc w:val="both"/>
        <w:rPr>
          <w:rFonts w:eastAsia="Times New Roman" w:cstheme="minorHAnsi"/>
          <w:highlight w:val="yellow"/>
          <w:lang w:eastAsia="cs-CZ"/>
        </w:rPr>
      </w:pPr>
    </w:p>
    <w:p w14:paraId="204A82D1" w14:textId="77777777" w:rsidR="00147289" w:rsidRDefault="00147289" w:rsidP="00147289">
      <w:pPr>
        <w:spacing w:after="120"/>
        <w:jc w:val="center"/>
        <w:rPr>
          <w:rFonts w:eastAsia="Times New Roman" w:cstheme="minorHAnsi"/>
          <w:lang w:eastAsia="cs-CZ"/>
        </w:rPr>
      </w:pPr>
    </w:p>
    <w:p w14:paraId="6E41B196" w14:textId="28354FFE" w:rsidR="008323B0" w:rsidRPr="00BD4FD9" w:rsidRDefault="008323B0" w:rsidP="00147289">
      <w:pPr>
        <w:spacing w:after="120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65894099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Pr="00BD4FD9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Pr="009C7229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06B8825A" w:rsidR="008323B0" w:rsidRPr="00BD4FD9" w:rsidRDefault="0096216F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PhDr. Radek Martinek Ph.D.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01B48E02" w:rsidR="006B1D73" w:rsidRPr="00BD4FD9" w:rsidRDefault="0096216F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farář</w:t>
      </w:r>
      <w:r w:rsidR="009C7229"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sectPr w:rsidR="006B1D73" w:rsidRPr="00BD4FD9" w:rsidSect="009900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A82A" w14:textId="77777777" w:rsidR="00990047" w:rsidRDefault="00990047" w:rsidP="00920F0E">
      <w:pPr>
        <w:spacing w:after="0" w:line="240" w:lineRule="auto"/>
      </w:pPr>
      <w:r>
        <w:separator/>
      </w:r>
    </w:p>
  </w:endnote>
  <w:endnote w:type="continuationSeparator" w:id="0">
    <w:p w14:paraId="50836E4C" w14:textId="77777777" w:rsidR="00990047" w:rsidRDefault="00990047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5755" w14:textId="77777777" w:rsidR="00990047" w:rsidRDefault="00990047" w:rsidP="00920F0E">
      <w:pPr>
        <w:spacing w:after="0" w:line="240" w:lineRule="auto"/>
      </w:pPr>
      <w:r>
        <w:separator/>
      </w:r>
    </w:p>
  </w:footnote>
  <w:footnote w:type="continuationSeparator" w:id="0">
    <w:p w14:paraId="0E98E5C8" w14:textId="77777777" w:rsidR="00990047" w:rsidRDefault="00990047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576291">
    <w:abstractNumId w:val="2"/>
  </w:num>
  <w:num w:numId="2" w16cid:durableId="380055536">
    <w:abstractNumId w:val="4"/>
  </w:num>
  <w:num w:numId="3" w16cid:durableId="1055854944">
    <w:abstractNumId w:val="6"/>
  </w:num>
  <w:num w:numId="4" w16cid:durableId="1507787262">
    <w:abstractNumId w:val="5"/>
  </w:num>
  <w:num w:numId="5" w16cid:durableId="369916364">
    <w:abstractNumId w:val="0"/>
  </w:num>
  <w:num w:numId="6" w16cid:durableId="652610319">
    <w:abstractNumId w:val="3"/>
  </w:num>
  <w:num w:numId="7" w16cid:durableId="619067638">
    <w:abstractNumId w:val="1"/>
  </w:num>
  <w:num w:numId="8" w16cid:durableId="8284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A24C4"/>
    <w:rsid w:val="000A5E00"/>
    <w:rsid w:val="000C4936"/>
    <w:rsid w:val="000E4711"/>
    <w:rsid w:val="00135D55"/>
    <w:rsid w:val="00147289"/>
    <w:rsid w:val="001676F7"/>
    <w:rsid w:val="001B4D88"/>
    <w:rsid w:val="001D2091"/>
    <w:rsid w:val="001D24C2"/>
    <w:rsid w:val="001D3334"/>
    <w:rsid w:val="001D6C6F"/>
    <w:rsid w:val="00203716"/>
    <w:rsid w:val="002867A6"/>
    <w:rsid w:val="002959B6"/>
    <w:rsid w:val="002C62FA"/>
    <w:rsid w:val="002F2331"/>
    <w:rsid w:val="003012F1"/>
    <w:rsid w:val="003221E3"/>
    <w:rsid w:val="003230E4"/>
    <w:rsid w:val="0035571E"/>
    <w:rsid w:val="003750FD"/>
    <w:rsid w:val="003942F1"/>
    <w:rsid w:val="003B6107"/>
    <w:rsid w:val="00401F8B"/>
    <w:rsid w:val="00423CF6"/>
    <w:rsid w:val="00445B04"/>
    <w:rsid w:val="00450735"/>
    <w:rsid w:val="00454FA5"/>
    <w:rsid w:val="005253FF"/>
    <w:rsid w:val="00531F4F"/>
    <w:rsid w:val="00535DDC"/>
    <w:rsid w:val="005557F7"/>
    <w:rsid w:val="0055742F"/>
    <w:rsid w:val="005A2ED0"/>
    <w:rsid w:val="005C24F3"/>
    <w:rsid w:val="006228AD"/>
    <w:rsid w:val="00632FC2"/>
    <w:rsid w:val="00635034"/>
    <w:rsid w:val="006B1D73"/>
    <w:rsid w:val="006D6F71"/>
    <w:rsid w:val="006E2F64"/>
    <w:rsid w:val="006E433E"/>
    <w:rsid w:val="00701092"/>
    <w:rsid w:val="00712A0F"/>
    <w:rsid w:val="00726FB2"/>
    <w:rsid w:val="007444C7"/>
    <w:rsid w:val="007500CE"/>
    <w:rsid w:val="007E2611"/>
    <w:rsid w:val="007F79ED"/>
    <w:rsid w:val="00817C1A"/>
    <w:rsid w:val="008323B0"/>
    <w:rsid w:val="008519E0"/>
    <w:rsid w:val="00882880"/>
    <w:rsid w:val="008D2545"/>
    <w:rsid w:val="008F11F8"/>
    <w:rsid w:val="00920F0E"/>
    <w:rsid w:val="00942856"/>
    <w:rsid w:val="0095783B"/>
    <w:rsid w:val="0096216F"/>
    <w:rsid w:val="009629E7"/>
    <w:rsid w:val="00990047"/>
    <w:rsid w:val="00997A61"/>
    <w:rsid w:val="009C7229"/>
    <w:rsid w:val="00A04790"/>
    <w:rsid w:val="00A22316"/>
    <w:rsid w:val="00A66BD6"/>
    <w:rsid w:val="00A84289"/>
    <w:rsid w:val="00A8794D"/>
    <w:rsid w:val="00AE22BA"/>
    <w:rsid w:val="00B00C4F"/>
    <w:rsid w:val="00B31AA6"/>
    <w:rsid w:val="00B32185"/>
    <w:rsid w:val="00B4688B"/>
    <w:rsid w:val="00B81BC5"/>
    <w:rsid w:val="00B83483"/>
    <w:rsid w:val="00BB687C"/>
    <w:rsid w:val="00BD2B41"/>
    <w:rsid w:val="00BD4FD9"/>
    <w:rsid w:val="00C220F3"/>
    <w:rsid w:val="00C34D4E"/>
    <w:rsid w:val="00C628DA"/>
    <w:rsid w:val="00C658E5"/>
    <w:rsid w:val="00C82B84"/>
    <w:rsid w:val="00C97AC9"/>
    <w:rsid w:val="00D005DC"/>
    <w:rsid w:val="00D03DA7"/>
    <w:rsid w:val="00D4775A"/>
    <w:rsid w:val="00D57FA1"/>
    <w:rsid w:val="00D66CF9"/>
    <w:rsid w:val="00DC28DD"/>
    <w:rsid w:val="00DD2B68"/>
    <w:rsid w:val="00DE08DD"/>
    <w:rsid w:val="00DE3946"/>
    <w:rsid w:val="00DF4533"/>
    <w:rsid w:val="00E043A1"/>
    <w:rsid w:val="00E050EF"/>
    <w:rsid w:val="00E82F2A"/>
    <w:rsid w:val="00E84DC3"/>
    <w:rsid w:val="00E91D97"/>
    <w:rsid w:val="00EB2706"/>
    <w:rsid w:val="00EB36C6"/>
    <w:rsid w:val="00ED271B"/>
    <w:rsid w:val="00F140D3"/>
    <w:rsid w:val="00F35966"/>
    <w:rsid w:val="00F41E90"/>
    <w:rsid w:val="00F44D3E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3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6E3-B590-4904-9647-CCC2C19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Martina Výborná</cp:lastModifiedBy>
  <cp:revision>3</cp:revision>
  <cp:lastPrinted>2024-04-09T12:05:00Z</cp:lastPrinted>
  <dcterms:created xsi:type="dcterms:W3CDTF">2024-04-09T12:10:00Z</dcterms:created>
  <dcterms:modified xsi:type="dcterms:W3CDTF">2024-04-09T12:12:00Z</dcterms:modified>
</cp:coreProperties>
</file>