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CE75B" w14:textId="77777777" w:rsidR="006E50AF" w:rsidRDefault="006E50AF">
      <w:pPr>
        <w:spacing w:after="97" w:line="259" w:lineRule="auto"/>
        <w:ind w:left="10" w:right="0"/>
        <w:jc w:val="center"/>
        <w:rPr>
          <w:b/>
          <w:color w:val="CD1316"/>
          <w:sz w:val="28"/>
        </w:rPr>
      </w:pPr>
    </w:p>
    <w:p w14:paraId="72C44F2B" w14:textId="77777777" w:rsidR="00B80607" w:rsidRDefault="00CB4226">
      <w:pPr>
        <w:spacing w:after="97" w:line="259" w:lineRule="auto"/>
        <w:ind w:left="10" w:right="0"/>
        <w:jc w:val="center"/>
        <w:rPr>
          <w:b/>
          <w:color w:val="CD1316"/>
          <w:sz w:val="28"/>
        </w:rPr>
      </w:pPr>
      <w:r>
        <w:rPr>
          <w:b/>
          <w:color w:val="CD1316"/>
          <w:sz w:val="28"/>
        </w:rPr>
        <w:t xml:space="preserve">Smlouva o výpůjčce  </w:t>
      </w:r>
    </w:p>
    <w:p w14:paraId="701E1EE7" w14:textId="77777777" w:rsidR="005C14C4" w:rsidRPr="005C14C4" w:rsidRDefault="005C14C4" w:rsidP="005C14C4">
      <w:pPr>
        <w:spacing w:after="247" w:line="259" w:lineRule="auto"/>
        <w:ind w:right="2"/>
        <w:jc w:val="center"/>
        <w:rPr>
          <w:color w:val="C00000"/>
        </w:rPr>
      </w:pPr>
      <w:r w:rsidRPr="005C14C4">
        <w:rPr>
          <w:b/>
          <w:color w:val="C00000"/>
        </w:rPr>
        <w:t>č. ŠKS/OVYP-202</w:t>
      </w:r>
      <w:r>
        <w:rPr>
          <w:b/>
          <w:color w:val="C00000"/>
        </w:rPr>
        <w:t>4</w:t>
      </w:r>
      <w:r w:rsidRPr="005C14C4">
        <w:rPr>
          <w:b/>
          <w:color w:val="C00000"/>
        </w:rPr>
        <w:t>/</w:t>
      </w:r>
      <w:r w:rsidR="00F0060D">
        <w:rPr>
          <w:b/>
          <w:color w:val="C00000"/>
        </w:rPr>
        <w:t>0144</w:t>
      </w:r>
    </w:p>
    <w:p w14:paraId="4E946E8A" w14:textId="77777777" w:rsidR="005C14C4" w:rsidRDefault="005C14C4">
      <w:pPr>
        <w:spacing w:after="97" w:line="259" w:lineRule="auto"/>
        <w:ind w:left="10" w:right="0"/>
        <w:jc w:val="center"/>
      </w:pPr>
    </w:p>
    <w:p w14:paraId="2F619041" w14:textId="77777777" w:rsidR="00B80607" w:rsidRDefault="00CB4226">
      <w:pPr>
        <w:spacing w:after="261"/>
        <w:ind w:left="-1" w:right="0"/>
      </w:pPr>
      <w:r>
        <w:t xml:space="preserve">uzavřená ve smyslu § 2193 a násl. zákona č. 89/2012, občanský zákoník, ve znění pozdějších předpisů a v souladu s § 102 odst. 2 písm. m) zákona č. 128/2000 Sb., o obcích (obecní zřízení), ve znění pozdějších předpisů, dále jen zákon o obcích, mezi níže uvedenými smluvními stranami </w:t>
      </w:r>
    </w:p>
    <w:p w14:paraId="4CE7EB93" w14:textId="77777777" w:rsidR="003257E1" w:rsidRDefault="003257E1">
      <w:pPr>
        <w:spacing w:after="261"/>
        <w:ind w:left="-1" w:right="0"/>
      </w:pPr>
    </w:p>
    <w:p w14:paraId="784537B2" w14:textId="77777777" w:rsidR="00B5598E" w:rsidRDefault="00B5598E" w:rsidP="00F0060D">
      <w:pPr>
        <w:spacing w:after="0" w:line="259" w:lineRule="auto"/>
        <w:ind w:left="740" w:right="733" w:hanging="10"/>
        <w:jc w:val="center"/>
      </w:pPr>
      <w:r>
        <w:rPr>
          <w:color w:val="CD1316"/>
          <w:sz w:val="24"/>
        </w:rPr>
        <w:t>1.</w:t>
      </w:r>
      <w:r>
        <w:rPr>
          <w:rFonts w:ascii="Arial" w:eastAsia="Arial" w:hAnsi="Arial" w:cs="Arial"/>
          <w:color w:val="CD1316"/>
          <w:sz w:val="24"/>
        </w:rPr>
        <w:t xml:space="preserve"> </w:t>
      </w:r>
      <w:r>
        <w:rPr>
          <w:color w:val="CD1316"/>
          <w:sz w:val="24"/>
        </w:rPr>
        <w:t xml:space="preserve">Článek </w:t>
      </w:r>
    </w:p>
    <w:p w14:paraId="1276AAF1" w14:textId="77777777" w:rsidR="00B5598E" w:rsidRDefault="00B5598E" w:rsidP="00B5598E">
      <w:pPr>
        <w:spacing w:after="254" w:line="259" w:lineRule="auto"/>
        <w:ind w:left="740" w:right="733" w:hanging="10"/>
        <w:jc w:val="center"/>
      </w:pPr>
      <w:r>
        <w:rPr>
          <w:color w:val="CD1316"/>
          <w:sz w:val="24"/>
        </w:rPr>
        <w:t xml:space="preserve">Smluvní strany  </w:t>
      </w:r>
    </w:p>
    <w:p w14:paraId="6D889C04" w14:textId="77777777" w:rsidR="002A677C" w:rsidRDefault="002A677C" w:rsidP="00B5598E">
      <w:pPr>
        <w:spacing w:after="0" w:line="259" w:lineRule="auto"/>
        <w:ind w:left="9" w:right="3844" w:hanging="10"/>
        <w:jc w:val="center"/>
      </w:pPr>
    </w:p>
    <w:p w14:paraId="2CD635B2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b/>
          <w:szCs w:val="20"/>
        </w:rPr>
      </w:pPr>
      <w:r w:rsidRPr="006B0D0A">
        <w:rPr>
          <w:b/>
          <w:szCs w:val="20"/>
        </w:rPr>
        <w:t>Město Dvůr Králové nad Labem</w:t>
      </w:r>
    </w:p>
    <w:p w14:paraId="30D6CB67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6B0D0A">
        <w:rPr>
          <w:szCs w:val="20"/>
        </w:rPr>
        <w:t>Sídlo: náměstí T. G. Masaryka 38, 544 17 Dvůr Králové nad Labem</w:t>
      </w:r>
    </w:p>
    <w:p w14:paraId="3B45EAD0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6B0D0A">
        <w:rPr>
          <w:szCs w:val="20"/>
        </w:rPr>
        <w:t>Zastoupené starostou města Ing. Janem Jarolímem</w:t>
      </w:r>
    </w:p>
    <w:p w14:paraId="044DF07A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6B0D0A">
        <w:rPr>
          <w:szCs w:val="20"/>
        </w:rPr>
        <w:t>IČ: 00277819</w:t>
      </w:r>
    </w:p>
    <w:p w14:paraId="3D0F33AA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6B0D0A">
        <w:rPr>
          <w:szCs w:val="20"/>
        </w:rPr>
        <w:t>DIČ: CZ00277819</w:t>
      </w:r>
    </w:p>
    <w:p w14:paraId="0B3DD535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6B0D0A">
        <w:rPr>
          <w:szCs w:val="20"/>
        </w:rPr>
        <w:t>(dále jen „</w:t>
      </w:r>
      <w:proofErr w:type="spellStart"/>
      <w:r w:rsidRPr="006B0D0A">
        <w:rPr>
          <w:szCs w:val="20"/>
        </w:rPr>
        <w:t>půjčitel</w:t>
      </w:r>
      <w:proofErr w:type="spellEnd"/>
      <w:r w:rsidRPr="006B0D0A">
        <w:rPr>
          <w:szCs w:val="20"/>
        </w:rPr>
        <w:t>“)</w:t>
      </w:r>
    </w:p>
    <w:p w14:paraId="5E28FA90" w14:textId="77777777" w:rsidR="003A2393" w:rsidRDefault="003A2393" w:rsidP="003A2393">
      <w:pPr>
        <w:spacing w:after="0" w:line="240" w:lineRule="auto"/>
        <w:ind w:right="6747"/>
      </w:pPr>
    </w:p>
    <w:p w14:paraId="65215BDF" w14:textId="77777777" w:rsidR="00B80607" w:rsidRDefault="00CB4226">
      <w:pPr>
        <w:spacing w:line="511" w:lineRule="auto"/>
        <w:ind w:left="-1" w:right="6729"/>
      </w:pPr>
      <w:r>
        <w:t xml:space="preserve">a </w:t>
      </w:r>
    </w:p>
    <w:p w14:paraId="4BCE79FD" w14:textId="77777777" w:rsidR="003A2393" w:rsidRPr="006B0D0A" w:rsidRDefault="003A2393" w:rsidP="003A2393">
      <w:pPr>
        <w:tabs>
          <w:tab w:val="num" w:pos="0"/>
        </w:tabs>
        <w:spacing w:after="0" w:line="266" w:lineRule="auto"/>
        <w:ind w:left="-6" w:hanging="11"/>
        <w:rPr>
          <w:b/>
          <w:szCs w:val="20"/>
        </w:rPr>
      </w:pPr>
      <w:r>
        <w:rPr>
          <w:b/>
          <w:szCs w:val="20"/>
        </w:rPr>
        <w:t xml:space="preserve">Základní škola </w:t>
      </w:r>
      <w:r w:rsidR="00A70C7D">
        <w:rPr>
          <w:b/>
          <w:szCs w:val="20"/>
        </w:rPr>
        <w:t>Podharť</w:t>
      </w:r>
      <w:r>
        <w:rPr>
          <w:b/>
          <w:szCs w:val="20"/>
        </w:rPr>
        <w:t xml:space="preserve">, Dvůr Králové nad Labem, </w:t>
      </w:r>
      <w:r w:rsidR="00A70C7D">
        <w:rPr>
          <w:b/>
          <w:szCs w:val="20"/>
        </w:rPr>
        <w:t>Máchova 884</w:t>
      </w:r>
    </w:p>
    <w:p w14:paraId="4B2AC20A" w14:textId="77777777" w:rsidR="003A2393" w:rsidRPr="003A2393" w:rsidRDefault="003A2393" w:rsidP="003A2393">
      <w:pPr>
        <w:pStyle w:val="Nadpis2"/>
        <w:tabs>
          <w:tab w:val="left" w:pos="2520"/>
        </w:tabs>
        <w:spacing w:line="266" w:lineRule="auto"/>
        <w:ind w:left="-6" w:hanging="11"/>
        <w:jc w:val="left"/>
        <w:rPr>
          <w:rFonts w:ascii="Tahoma" w:hAnsi="Tahoma" w:cs="Tahoma"/>
          <w:b/>
          <w:bCs/>
          <w:color w:val="000000"/>
          <w:sz w:val="20"/>
          <w:szCs w:val="20"/>
        </w:rPr>
      </w:pPr>
      <w:r w:rsidRPr="003A2393">
        <w:rPr>
          <w:rFonts w:ascii="Tahoma" w:hAnsi="Tahoma" w:cs="Tahoma"/>
          <w:color w:val="000000"/>
          <w:sz w:val="20"/>
          <w:szCs w:val="20"/>
        </w:rPr>
        <w:t xml:space="preserve">Sídlo: </w:t>
      </w:r>
      <w:r w:rsidR="00A70C7D">
        <w:rPr>
          <w:rFonts w:ascii="Tahoma" w:hAnsi="Tahoma" w:cs="Tahoma"/>
          <w:color w:val="000000"/>
          <w:sz w:val="20"/>
          <w:szCs w:val="20"/>
        </w:rPr>
        <w:t>Máchova 884</w:t>
      </w:r>
      <w:r w:rsidRPr="003A2393">
        <w:rPr>
          <w:rFonts w:ascii="Tahoma" w:hAnsi="Tahoma" w:cs="Tahoma"/>
          <w:color w:val="000000"/>
          <w:sz w:val="20"/>
          <w:szCs w:val="20"/>
        </w:rPr>
        <w:t>, 544 01 Dvůr Králové nad Labem</w:t>
      </w:r>
    </w:p>
    <w:p w14:paraId="4262DF63" w14:textId="77777777" w:rsidR="003A2393" w:rsidRPr="003A2393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3A2393">
        <w:rPr>
          <w:szCs w:val="20"/>
        </w:rPr>
        <w:t xml:space="preserve">Zastoupené ředitelkou Mgr. </w:t>
      </w:r>
      <w:r w:rsidR="00A70C7D">
        <w:rPr>
          <w:szCs w:val="20"/>
        </w:rPr>
        <w:t>Editou Vaňkovou</w:t>
      </w:r>
    </w:p>
    <w:p w14:paraId="6620A610" w14:textId="77777777" w:rsidR="003A2393" w:rsidRPr="003A2393" w:rsidRDefault="003A2393" w:rsidP="003A2393">
      <w:pPr>
        <w:tabs>
          <w:tab w:val="left" w:pos="2520"/>
        </w:tabs>
        <w:spacing w:after="0" w:line="266" w:lineRule="auto"/>
        <w:ind w:left="-6" w:hanging="11"/>
        <w:rPr>
          <w:rFonts w:eastAsia="Arial Unicode MS"/>
          <w:szCs w:val="20"/>
        </w:rPr>
      </w:pPr>
      <w:r w:rsidRPr="003A2393">
        <w:rPr>
          <w:szCs w:val="20"/>
        </w:rPr>
        <w:t xml:space="preserve">IČ: </w:t>
      </w:r>
      <w:r>
        <w:rPr>
          <w:rFonts w:eastAsia="Arial Unicode MS"/>
          <w:szCs w:val="20"/>
        </w:rPr>
        <w:t>6</w:t>
      </w:r>
      <w:r w:rsidR="00A70C7D">
        <w:rPr>
          <w:rFonts w:eastAsia="Arial Unicode MS"/>
          <w:szCs w:val="20"/>
        </w:rPr>
        <w:t>0154691</w:t>
      </w:r>
    </w:p>
    <w:p w14:paraId="0D8FB07F" w14:textId="77777777" w:rsidR="003A2393" w:rsidRPr="003A2393" w:rsidRDefault="003A2393" w:rsidP="003A2393">
      <w:pPr>
        <w:tabs>
          <w:tab w:val="num" w:pos="0"/>
        </w:tabs>
        <w:spacing w:after="0" w:line="266" w:lineRule="auto"/>
        <w:ind w:left="-6" w:hanging="11"/>
        <w:rPr>
          <w:szCs w:val="20"/>
        </w:rPr>
      </w:pPr>
      <w:r w:rsidRPr="003A2393">
        <w:rPr>
          <w:szCs w:val="20"/>
        </w:rPr>
        <w:t>(dále jen „vypůjčitel“)</w:t>
      </w:r>
    </w:p>
    <w:p w14:paraId="5C72B534" w14:textId="77777777" w:rsidR="003A2393" w:rsidRDefault="003A2393">
      <w:pPr>
        <w:spacing w:after="0" w:line="259" w:lineRule="auto"/>
        <w:ind w:left="9" w:right="0" w:hanging="10"/>
        <w:jc w:val="left"/>
        <w:rPr>
          <w:b/>
        </w:rPr>
      </w:pPr>
    </w:p>
    <w:p w14:paraId="379E6727" w14:textId="77777777" w:rsidR="001C13A6" w:rsidRDefault="001C13A6">
      <w:pPr>
        <w:spacing w:after="0" w:line="259" w:lineRule="auto"/>
        <w:ind w:left="9" w:right="0" w:hanging="10"/>
        <w:jc w:val="left"/>
        <w:rPr>
          <w:b/>
        </w:rPr>
      </w:pPr>
    </w:p>
    <w:p w14:paraId="52E82626" w14:textId="77777777" w:rsidR="00F0060D" w:rsidRDefault="00F0060D">
      <w:pPr>
        <w:spacing w:after="0" w:line="259" w:lineRule="auto"/>
        <w:ind w:left="9" w:right="0" w:hanging="10"/>
        <w:jc w:val="left"/>
        <w:rPr>
          <w:b/>
        </w:rPr>
      </w:pPr>
    </w:p>
    <w:p w14:paraId="2F0C579F" w14:textId="77777777" w:rsidR="00B80607" w:rsidRDefault="00B5598E" w:rsidP="00F0060D">
      <w:pPr>
        <w:spacing w:after="0" w:line="259" w:lineRule="auto"/>
        <w:ind w:left="740" w:right="733" w:hanging="10"/>
        <w:jc w:val="center"/>
      </w:pPr>
      <w:r>
        <w:rPr>
          <w:color w:val="CD1316"/>
          <w:sz w:val="24"/>
        </w:rPr>
        <w:t>2</w:t>
      </w:r>
      <w:r w:rsidR="00CB4226">
        <w:rPr>
          <w:color w:val="CD1316"/>
          <w:sz w:val="24"/>
        </w:rPr>
        <w:t>.</w:t>
      </w:r>
      <w:r w:rsidR="00CB4226">
        <w:rPr>
          <w:rFonts w:ascii="Arial" w:eastAsia="Arial" w:hAnsi="Arial" w:cs="Arial"/>
          <w:color w:val="CD1316"/>
          <w:sz w:val="24"/>
        </w:rPr>
        <w:t xml:space="preserve"> </w:t>
      </w:r>
      <w:r w:rsidR="00CB4226">
        <w:rPr>
          <w:color w:val="CD1316"/>
          <w:sz w:val="24"/>
        </w:rPr>
        <w:t xml:space="preserve">Článek </w:t>
      </w:r>
    </w:p>
    <w:p w14:paraId="078A441C" w14:textId="77777777" w:rsidR="00B80607" w:rsidRDefault="00CB4226">
      <w:pPr>
        <w:spacing w:after="254" w:line="259" w:lineRule="auto"/>
        <w:ind w:left="740" w:right="733" w:hanging="10"/>
        <w:jc w:val="center"/>
      </w:pPr>
      <w:r>
        <w:rPr>
          <w:color w:val="CD1316"/>
          <w:sz w:val="24"/>
        </w:rPr>
        <w:t xml:space="preserve">Předmět smlouvy  </w:t>
      </w:r>
    </w:p>
    <w:p w14:paraId="5E639560" w14:textId="77777777" w:rsidR="00B80607" w:rsidRDefault="00CB4226" w:rsidP="003B5814">
      <w:pPr>
        <w:spacing w:after="138"/>
        <w:ind w:right="0"/>
      </w:pPr>
      <w:r>
        <w:t xml:space="preserve">Předmětem výpůjčky je nemovitý majetek ve vlastnictví </w:t>
      </w:r>
      <w:proofErr w:type="spellStart"/>
      <w:r>
        <w:t>půjčitele</w:t>
      </w:r>
      <w:proofErr w:type="spellEnd"/>
      <w:r>
        <w:t xml:space="preserve"> (stavby, pozemky) specifikovaný </w:t>
      </w:r>
      <w:r w:rsidR="001074AC">
        <w:br/>
      </w:r>
      <w:r>
        <w:t xml:space="preserve">v příloze č. 1 této smlouvy. </w:t>
      </w:r>
    </w:p>
    <w:p w14:paraId="2D666E59" w14:textId="77777777" w:rsidR="00B80607" w:rsidRDefault="00CB4226" w:rsidP="003B5814">
      <w:pPr>
        <w:ind w:right="0"/>
      </w:pPr>
      <w:proofErr w:type="spellStart"/>
      <w:r>
        <w:t>Půjčitel</w:t>
      </w:r>
      <w:proofErr w:type="spellEnd"/>
      <w:r>
        <w:t xml:space="preserve"> je oprávněným vlastníkem předmětu výpůjčky na základě zákona č. 172/1991 Sb., </w:t>
      </w:r>
      <w:r w:rsidR="009F20E0">
        <w:br/>
      </w:r>
      <w:r>
        <w:t xml:space="preserve">o přechodu některých věcí z majetku České republiky do vlastnictví obcí, ve znění pozdějších předpisů. </w:t>
      </w:r>
    </w:p>
    <w:p w14:paraId="4DA42A71" w14:textId="77777777" w:rsidR="00AA4396" w:rsidRDefault="00CB4226" w:rsidP="00AA4396">
      <w:pPr>
        <w:spacing w:after="197" w:line="259" w:lineRule="auto"/>
        <w:ind w:left="430" w:right="0"/>
        <w:jc w:val="left"/>
      </w:pPr>
      <w:r>
        <w:t xml:space="preserve"> </w:t>
      </w:r>
    </w:p>
    <w:p w14:paraId="2DFD1049" w14:textId="77777777" w:rsidR="00B80607" w:rsidRDefault="00CB4226" w:rsidP="00F0060D">
      <w:pPr>
        <w:pStyle w:val="Odstavecseseznamem"/>
        <w:numPr>
          <w:ilvl w:val="0"/>
          <w:numId w:val="11"/>
        </w:numPr>
        <w:spacing w:after="0" w:line="259" w:lineRule="auto"/>
        <w:ind w:left="1134" w:right="733"/>
        <w:jc w:val="center"/>
      </w:pPr>
      <w:r w:rsidRPr="00B5598E">
        <w:rPr>
          <w:color w:val="CD1316"/>
          <w:sz w:val="24"/>
        </w:rPr>
        <w:t>Článek</w:t>
      </w:r>
    </w:p>
    <w:p w14:paraId="60669530" w14:textId="77777777" w:rsidR="00B80607" w:rsidRDefault="00CB4226">
      <w:pPr>
        <w:spacing w:after="217" w:line="259" w:lineRule="auto"/>
        <w:ind w:left="740" w:right="733" w:hanging="10"/>
        <w:jc w:val="center"/>
      </w:pPr>
      <w:r>
        <w:rPr>
          <w:color w:val="CD1316"/>
          <w:sz w:val="24"/>
        </w:rPr>
        <w:t xml:space="preserve">Účel výpůjčky </w:t>
      </w:r>
    </w:p>
    <w:p w14:paraId="5A763604" w14:textId="77777777" w:rsidR="00B80607" w:rsidRDefault="00CB4226">
      <w:pPr>
        <w:ind w:left="-1" w:right="0"/>
      </w:pPr>
      <w:proofErr w:type="spellStart"/>
      <w:r>
        <w:t>Půjčitel</w:t>
      </w:r>
      <w:proofErr w:type="spellEnd"/>
      <w:r>
        <w:t xml:space="preserve"> přenechává k užívání vypůjčiteli bezplatně veškerý nemovitý majetek včetně příslušenství uvedený v příloze č. 1 této smlouvy ve stavu způsobilém k řádnému užívání. Vypůjčitel nemovitý majetek přijímá. </w:t>
      </w:r>
    </w:p>
    <w:p w14:paraId="040320A8" w14:textId="77777777" w:rsidR="001C13A6" w:rsidRDefault="001C13A6">
      <w:pPr>
        <w:ind w:left="-1" w:right="0"/>
      </w:pPr>
    </w:p>
    <w:p w14:paraId="07088169" w14:textId="77777777" w:rsidR="00CB4226" w:rsidRDefault="00CB4226">
      <w:pPr>
        <w:ind w:left="-1" w:right="0"/>
      </w:pPr>
    </w:p>
    <w:p w14:paraId="6C594B58" w14:textId="77777777" w:rsidR="00B80607" w:rsidRDefault="00CB4226" w:rsidP="00F0060D">
      <w:pPr>
        <w:pStyle w:val="Odstavecseseznamem"/>
        <w:numPr>
          <w:ilvl w:val="0"/>
          <w:numId w:val="11"/>
        </w:numPr>
        <w:spacing w:after="0" w:line="259" w:lineRule="auto"/>
        <w:ind w:right="733"/>
        <w:jc w:val="center"/>
      </w:pPr>
      <w:r w:rsidRPr="00B52F81">
        <w:rPr>
          <w:color w:val="CD1316"/>
          <w:sz w:val="24"/>
        </w:rPr>
        <w:lastRenderedPageBreak/>
        <w:t>Článek</w:t>
      </w:r>
    </w:p>
    <w:p w14:paraId="38AC63A2" w14:textId="77777777" w:rsidR="00B80607" w:rsidRDefault="00CB4226">
      <w:pPr>
        <w:spacing w:after="115" w:line="259" w:lineRule="auto"/>
        <w:ind w:left="740" w:right="362" w:hanging="10"/>
        <w:jc w:val="center"/>
      </w:pPr>
      <w:r>
        <w:rPr>
          <w:color w:val="CD1316"/>
          <w:sz w:val="24"/>
        </w:rPr>
        <w:t xml:space="preserve">Práva a povinnosti smluvních stran </w:t>
      </w:r>
    </w:p>
    <w:p w14:paraId="487710A6" w14:textId="77777777" w:rsidR="00B80607" w:rsidRDefault="00CB4226">
      <w:pPr>
        <w:spacing w:after="129" w:line="259" w:lineRule="auto"/>
        <w:ind w:left="9" w:right="0" w:hanging="10"/>
        <w:jc w:val="left"/>
      </w:pPr>
      <w:proofErr w:type="spellStart"/>
      <w:r>
        <w:rPr>
          <w:u w:val="single" w:color="000000"/>
        </w:rPr>
        <w:t>Půjčitel</w:t>
      </w:r>
      <w:proofErr w:type="spellEnd"/>
      <w:r>
        <w:rPr>
          <w:u w:val="single" w:color="000000"/>
        </w:rPr>
        <w:t xml:space="preserve"> je povinen:</w:t>
      </w:r>
      <w:r>
        <w:t xml:space="preserve"> </w:t>
      </w:r>
    </w:p>
    <w:p w14:paraId="1AC67F22" w14:textId="77777777" w:rsidR="00B80607" w:rsidRDefault="00CB4226">
      <w:pPr>
        <w:numPr>
          <w:ilvl w:val="0"/>
          <w:numId w:val="2"/>
        </w:numPr>
        <w:spacing w:after="265"/>
        <w:ind w:right="0" w:hanging="358"/>
      </w:pPr>
      <w:r>
        <w:t xml:space="preserve">ke dni účinnosti této smlouvy předat, prostřednictvím odboru ekonomiky a majetku města (dále jen OEMM), svěřený předmět výpůjčky do užívání vypůjčiteli na základě předávacího protokolu, v němž vypůjčitel zároveň potvrzuje, že byl se stavem předmětu výpůjčky řádně seznámen a bylo mu odevzdáno veškeré příslušenství, </w:t>
      </w:r>
    </w:p>
    <w:p w14:paraId="4C07F220" w14:textId="77777777" w:rsidR="00B80607" w:rsidRDefault="00CB4226">
      <w:pPr>
        <w:numPr>
          <w:ilvl w:val="0"/>
          <w:numId w:val="2"/>
        </w:numPr>
        <w:ind w:right="0" w:hanging="358"/>
      </w:pPr>
      <w:r>
        <w:t xml:space="preserve">pojistit vypůjčené nemovitosti na vlastní náklady. </w:t>
      </w:r>
    </w:p>
    <w:p w14:paraId="67E086FF" w14:textId="77777777" w:rsidR="00B80607" w:rsidRDefault="00CB4226">
      <w:pPr>
        <w:spacing w:after="279" w:line="259" w:lineRule="auto"/>
        <w:ind w:right="0"/>
        <w:jc w:val="left"/>
      </w:pPr>
      <w:r>
        <w:t xml:space="preserve">                                                     </w:t>
      </w:r>
    </w:p>
    <w:p w14:paraId="2BA7C885" w14:textId="77777777" w:rsidR="00B80607" w:rsidRDefault="00CB4226">
      <w:pPr>
        <w:spacing w:after="129" w:line="259" w:lineRule="auto"/>
        <w:ind w:left="9" w:right="0" w:hanging="10"/>
        <w:jc w:val="left"/>
      </w:pPr>
      <w:r>
        <w:rPr>
          <w:u w:val="single" w:color="000000"/>
        </w:rPr>
        <w:t>Vypůjčitel je oprávněn a povinen:</w:t>
      </w:r>
      <w:r>
        <w:t xml:space="preserve"> </w:t>
      </w:r>
    </w:p>
    <w:p w14:paraId="5EC44EA9" w14:textId="77777777" w:rsidR="00B80607" w:rsidRDefault="00CB4226">
      <w:pPr>
        <w:numPr>
          <w:ilvl w:val="0"/>
          <w:numId w:val="3"/>
        </w:numPr>
        <w:spacing w:after="265"/>
        <w:ind w:right="0" w:hanging="360"/>
      </w:pPr>
      <w:r>
        <w:t xml:space="preserve">užívat bezplatně nemovitý majetek výhradně k účelům hlavní a doplňkové činnosti stanovené </w:t>
      </w:r>
      <w:r w:rsidR="002A677C">
        <w:br/>
      </w:r>
      <w:r>
        <w:t xml:space="preserve">v platné zřizovací listině vypůjčitele, a to po dobu sjednanou touto smlouvou, </w:t>
      </w:r>
    </w:p>
    <w:p w14:paraId="2C0A9A03" w14:textId="77777777" w:rsidR="00B80607" w:rsidRDefault="00CB4226">
      <w:pPr>
        <w:numPr>
          <w:ilvl w:val="0"/>
          <w:numId w:val="3"/>
        </w:numPr>
        <w:spacing w:after="265"/>
        <w:ind w:right="0" w:hanging="360"/>
      </w:pPr>
      <w:r>
        <w:t xml:space="preserve">zajišťovat úhrady nákladů energie, vodného, stočného, paliva a jiných služeb, vlastním jménem, dle sjednaných smluv o dodávkách a službách, </w:t>
      </w:r>
    </w:p>
    <w:p w14:paraId="2DC33F28" w14:textId="77777777" w:rsidR="00B80607" w:rsidRDefault="00CB4226">
      <w:pPr>
        <w:numPr>
          <w:ilvl w:val="0"/>
          <w:numId w:val="3"/>
        </w:numPr>
        <w:spacing w:after="265"/>
        <w:ind w:right="0" w:hanging="360"/>
      </w:pPr>
      <w:r>
        <w:t xml:space="preserve">zabezpečovat provádění zákonných revizí a prohlídek, provádět předepsané zkoušky vyhrazených zařízení především elektroinstalace, hromosvodů, plynových spotřebičů, hasicích přístrojů, komínů </w:t>
      </w:r>
      <w:r w:rsidR="00AA4396">
        <w:br/>
      </w:r>
      <w:r>
        <w:t xml:space="preserve">a </w:t>
      </w:r>
      <w:r w:rsidR="00E40DE5">
        <w:t>výtahů</w:t>
      </w:r>
      <w:r>
        <w:t xml:space="preserve"> apod. </w:t>
      </w:r>
    </w:p>
    <w:p w14:paraId="365AA1BF" w14:textId="77777777" w:rsidR="00B80607" w:rsidRDefault="00CB4226">
      <w:pPr>
        <w:numPr>
          <w:ilvl w:val="0"/>
          <w:numId w:val="3"/>
        </w:numPr>
        <w:spacing w:after="265"/>
        <w:ind w:right="0" w:hanging="360"/>
      </w:pPr>
      <w:r>
        <w:t xml:space="preserve">dodržovat bezpečnostní, požární a hygienické předpisy související s vypůjčenými nemovitostmi </w:t>
      </w:r>
      <w:r w:rsidR="002A677C">
        <w:br/>
      </w:r>
      <w:r>
        <w:t xml:space="preserve">a provozovanými činnostmi, </w:t>
      </w:r>
    </w:p>
    <w:p w14:paraId="4DFBE96A" w14:textId="77777777" w:rsidR="00B80607" w:rsidRDefault="00CB4226">
      <w:pPr>
        <w:numPr>
          <w:ilvl w:val="0"/>
          <w:numId w:val="3"/>
        </w:numPr>
        <w:spacing w:after="265"/>
        <w:ind w:right="0" w:hanging="360"/>
      </w:pPr>
      <w:r>
        <w:t xml:space="preserve">chránit nemovitý majetek před poškozením nebo zničením, </w:t>
      </w:r>
    </w:p>
    <w:p w14:paraId="543656DB" w14:textId="77777777" w:rsidR="00B80607" w:rsidRDefault="00CB4226">
      <w:pPr>
        <w:numPr>
          <w:ilvl w:val="0"/>
          <w:numId w:val="3"/>
        </w:numPr>
        <w:spacing w:after="262"/>
        <w:ind w:right="0" w:hanging="360"/>
      </w:pPr>
      <w:r>
        <w:t xml:space="preserve">neprodleně informovat půjčitele o pojistných událostech vzniklých na vypůjčených nemovitostech, </w:t>
      </w:r>
    </w:p>
    <w:p w14:paraId="43AEF71C" w14:textId="77777777" w:rsidR="00B80607" w:rsidRDefault="00CB4226" w:rsidP="00F0060D">
      <w:pPr>
        <w:numPr>
          <w:ilvl w:val="0"/>
          <w:numId w:val="3"/>
        </w:numPr>
        <w:spacing w:after="360" w:line="250" w:lineRule="auto"/>
        <w:ind w:left="357" w:right="0" w:hanging="357"/>
      </w:pPr>
      <w:r>
        <w:t xml:space="preserve">umožnit vstup zástupcům půjčitele do prostor nemovitostí za účelem kontroly dodržování smluvních podmínek a provádění inventarizace vypůjčeného majetku a poskytnout veškerou potřebnou součinnost při této činnosti. </w:t>
      </w:r>
    </w:p>
    <w:p w14:paraId="2A4AC810" w14:textId="77777777" w:rsidR="00AA4396" w:rsidRDefault="00AA4396" w:rsidP="00AA4396">
      <w:pPr>
        <w:spacing w:after="240" w:line="250" w:lineRule="auto"/>
        <w:ind w:left="357" w:right="0"/>
      </w:pPr>
    </w:p>
    <w:p w14:paraId="11E9CDF4" w14:textId="77777777" w:rsidR="00B80607" w:rsidRDefault="00B5598E" w:rsidP="00F0060D">
      <w:pPr>
        <w:spacing w:after="0" w:line="259" w:lineRule="auto"/>
        <w:ind w:left="740" w:right="733" w:hanging="10"/>
        <w:jc w:val="center"/>
      </w:pPr>
      <w:r>
        <w:rPr>
          <w:color w:val="CD1316"/>
          <w:sz w:val="24"/>
        </w:rPr>
        <w:t>5</w:t>
      </w:r>
      <w:r w:rsidR="00CB4226">
        <w:rPr>
          <w:color w:val="CD1316"/>
          <w:sz w:val="24"/>
        </w:rPr>
        <w:t xml:space="preserve">. Článek </w:t>
      </w:r>
    </w:p>
    <w:p w14:paraId="518ECFB3" w14:textId="77777777" w:rsidR="004469A7" w:rsidRDefault="00CB4226">
      <w:pPr>
        <w:spacing w:after="0" w:line="390" w:lineRule="auto"/>
        <w:ind w:left="3579" w:right="2814" w:hanging="487"/>
        <w:jc w:val="left"/>
        <w:rPr>
          <w:color w:val="CD1316"/>
          <w:sz w:val="24"/>
        </w:rPr>
      </w:pPr>
      <w:r>
        <w:rPr>
          <w:color w:val="CD1316"/>
          <w:sz w:val="24"/>
        </w:rPr>
        <w:t xml:space="preserve">    Další podmínky výpůjčky </w:t>
      </w:r>
    </w:p>
    <w:p w14:paraId="6EC2D97F" w14:textId="77777777" w:rsidR="00B80607" w:rsidRDefault="00CB4226" w:rsidP="004469A7">
      <w:pPr>
        <w:spacing w:after="0" w:line="390" w:lineRule="auto"/>
        <w:ind w:left="3579" w:right="2814" w:hanging="487"/>
        <w:jc w:val="center"/>
      </w:pPr>
      <w:r>
        <w:rPr>
          <w:color w:val="CD1316"/>
          <w:sz w:val="24"/>
        </w:rPr>
        <w:t>Nebytové prostory</w:t>
      </w:r>
    </w:p>
    <w:p w14:paraId="441EC450" w14:textId="77777777" w:rsidR="00B80607" w:rsidRDefault="001C13A6" w:rsidP="003B5814">
      <w:pPr>
        <w:numPr>
          <w:ilvl w:val="0"/>
          <w:numId w:val="4"/>
        </w:numPr>
        <w:spacing w:after="291"/>
        <w:ind w:left="442" w:right="0" w:hanging="427"/>
      </w:pPr>
      <w:r>
        <w:t>N</w:t>
      </w:r>
      <w:r w:rsidR="00CB4226">
        <w:t xml:space="preserve">ebytové prostory nacházející se ve vypůjčených nemovitostech, může vypůjčitel pronajímat za účelem provozování doplňkové činnosti uvedené ve zřizovací listině, </w:t>
      </w:r>
    </w:p>
    <w:p w14:paraId="6B5E0F8B" w14:textId="77777777" w:rsidR="00B80607" w:rsidRDefault="00CB4226">
      <w:pPr>
        <w:numPr>
          <w:ilvl w:val="0"/>
          <w:numId w:val="4"/>
        </w:numPr>
        <w:spacing w:after="289"/>
        <w:ind w:right="0" w:hanging="427"/>
      </w:pPr>
      <w:r>
        <w:t xml:space="preserve">ceny nájemného nebytových prostor sjednává vypůjčitel ve výši sazeb schválených radou města. Nájemní smlouvy musí mít písemnou podobu a vypůjčitel v nich sjedná rozsah odpovědnosti nájemce za škody na pronajatém majetku vzniklé v důsledku činnosti nájemce i třetím osobám,  </w:t>
      </w:r>
    </w:p>
    <w:p w14:paraId="12874993" w14:textId="77777777" w:rsidR="00B80607" w:rsidRDefault="00CB4226">
      <w:pPr>
        <w:numPr>
          <w:ilvl w:val="0"/>
          <w:numId w:val="4"/>
        </w:numPr>
        <w:spacing w:after="289"/>
        <w:ind w:right="0" w:hanging="427"/>
      </w:pPr>
      <w:r>
        <w:t xml:space="preserve">finanční prostředky získané z pronájmu nebytových prostor jsou příjmem vypůjčitele, který je povinen je použít ve prospěch hlavní činnosti uvedené ve zřizovací listině.  </w:t>
      </w:r>
    </w:p>
    <w:p w14:paraId="6B1E4C77" w14:textId="77777777" w:rsidR="00B80607" w:rsidRDefault="00CB4226">
      <w:pPr>
        <w:numPr>
          <w:ilvl w:val="0"/>
          <w:numId w:val="4"/>
        </w:numPr>
        <w:ind w:right="0" w:hanging="427"/>
      </w:pPr>
      <w:r>
        <w:lastRenderedPageBreak/>
        <w:t xml:space="preserve">vypůjčitel není oprávněn pronajímat nebytové prostory nacházející se ve vypůjčené nemovitosti, pokud je takový pronájem podmíněn souhlasem třetí strany (např. podle smlouvy o dotaci).  </w:t>
      </w:r>
    </w:p>
    <w:p w14:paraId="046856B0" w14:textId="77777777" w:rsidR="00CB4226" w:rsidRDefault="00CB4226" w:rsidP="00CB4226">
      <w:pPr>
        <w:ind w:left="427" w:right="0"/>
      </w:pPr>
    </w:p>
    <w:p w14:paraId="31D24F51" w14:textId="77777777" w:rsidR="00B80607" w:rsidRDefault="00CB4226">
      <w:pPr>
        <w:spacing w:after="116" w:line="259" w:lineRule="auto"/>
        <w:ind w:left="740" w:right="359" w:hanging="10"/>
        <w:jc w:val="center"/>
      </w:pPr>
      <w:r>
        <w:rPr>
          <w:color w:val="CD1316"/>
          <w:sz w:val="24"/>
        </w:rPr>
        <w:t xml:space="preserve">Vnější části nemovitostí </w:t>
      </w:r>
    </w:p>
    <w:p w14:paraId="6C39A4CC" w14:textId="77777777" w:rsidR="00B80607" w:rsidRDefault="00CB4226">
      <w:pPr>
        <w:numPr>
          <w:ilvl w:val="0"/>
          <w:numId w:val="5"/>
        </w:numPr>
        <w:spacing w:after="289"/>
        <w:ind w:right="0" w:hanging="360"/>
      </w:pPr>
      <w:r>
        <w:t>vnější části nemovitostí může vypůjčitel pronajímat bez dalších služeb s tímto spojených, pouze pokud pronájem takových nemovitostí není podmíněn souhlasem třetí strany (např. podle smlouvy o dotac</w:t>
      </w:r>
      <w:r w:rsidR="003B5814">
        <w:t>i</w:t>
      </w:r>
      <w:r>
        <w:t xml:space="preserve">), </w:t>
      </w:r>
    </w:p>
    <w:p w14:paraId="7A742629" w14:textId="77777777" w:rsidR="00B80607" w:rsidRDefault="00CB4226">
      <w:pPr>
        <w:numPr>
          <w:ilvl w:val="0"/>
          <w:numId w:val="5"/>
        </w:numPr>
        <w:spacing w:after="287"/>
        <w:ind w:right="0" w:hanging="360"/>
      </w:pPr>
      <w:r>
        <w:t xml:space="preserve">ceny nájemného za tento pronájem sjednává, po schválení radou města, vypůjčitel. Nájemní smlouvy musí mít písemnou podobu, vypůjčitel v nich sjedná rozsah odpovědnosti nájemce za škody na pronajatém majetku vzniklé v důsledku činnosti nájemce i třetím osobám, </w:t>
      </w:r>
    </w:p>
    <w:p w14:paraId="54E8DD11" w14:textId="77777777" w:rsidR="00B80607" w:rsidRDefault="00CB4226" w:rsidP="00F0060D">
      <w:pPr>
        <w:numPr>
          <w:ilvl w:val="0"/>
          <w:numId w:val="5"/>
        </w:numPr>
        <w:spacing w:after="331" w:line="250" w:lineRule="auto"/>
        <w:ind w:left="436" w:right="0" w:hanging="357"/>
      </w:pPr>
      <w:r>
        <w:t xml:space="preserve">finanční prostředky získané z pronájmu vnějších částí nemovitostí jsou příjmem vypůjčitele, který je povinen je použít ve prospěch hlavní činnosti uvedené ve zřizovací listině. </w:t>
      </w:r>
    </w:p>
    <w:p w14:paraId="0475BDDB" w14:textId="77777777" w:rsidR="00B80607" w:rsidRDefault="00CB4226">
      <w:pPr>
        <w:pStyle w:val="Nadpis1"/>
        <w:ind w:left="448" w:right="68"/>
      </w:pPr>
      <w:r>
        <w:t xml:space="preserve">Byty </w:t>
      </w:r>
    </w:p>
    <w:p w14:paraId="34012485" w14:textId="77777777" w:rsidR="00B52F81" w:rsidRDefault="00B52F81" w:rsidP="00F0060D">
      <w:pPr>
        <w:spacing w:after="331" w:line="250" w:lineRule="auto"/>
        <w:ind w:right="0"/>
      </w:pPr>
      <w:r>
        <w:t xml:space="preserve">Ve vypůjčené nemovitosti se nenachází žádný byt. </w:t>
      </w:r>
    </w:p>
    <w:p w14:paraId="2AE2D15E" w14:textId="77777777" w:rsidR="00B80607" w:rsidRDefault="00CB4226" w:rsidP="00F0060D">
      <w:pPr>
        <w:spacing w:before="120" w:after="116" w:line="259" w:lineRule="auto"/>
        <w:ind w:left="742" w:right="295" w:hanging="11"/>
        <w:jc w:val="center"/>
      </w:pPr>
      <w:r>
        <w:rPr>
          <w:color w:val="CD1316"/>
          <w:sz w:val="24"/>
        </w:rPr>
        <w:t>Opravy a udržování</w:t>
      </w:r>
      <w:r>
        <w:t xml:space="preserve"> </w:t>
      </w:r>
    </w:p>
    <w:p w14:paraId="5A86CED3" w14:textId="77777777" w:rsidR="00B80607" w:rsidRDefault="00CB4226">
      <w:pPr>
        <w:numPr>
          <w:ilvl w:val="0"/>
          <w:numId w:val="6"/>
        </w:numPr>
        <w:spacing w:after="265"/>
        <w:ind w:right="0" w:hanging="427"/>
      </w:pPr>
      <w:r>
        <w:t xml:space="preserve">vypůjčitel je povinen o vypůjčený nemovitý majetek řádně pečovat, udržovat jej v dobrém stavu </w:t>
      </w:r>
      <w:r w:rsidR="001074AC">
        <w:br/>
      </w:r>
      <w:r>
        <w:t xml:space="preserve">a opravovat jej. Vypůjčitel provádí opravy a udržování majetku na základě plánu oprav schváleného radou města pro příslušný kalendářní rok,  </w:t>
      </w:r>
    </w:p>
    <w:p w14:paraId="00B96007" w14:textId="77777777" w:rsidR="00B80607" w:rsidRDefault="00CB4226" w:rsidP="00F0060D">
      <w:pPr>
        <w:numPr>
          <w:ilvl w:val="0"/>
          <w:numId w:val="6"/>
        </w:numPr>
        <w:spacing w:after="120" w:line="250" w:lineRule="auto"/>
        <w:ind w:left="425" w:right="0" w:hanging="425"/>
      </w:pPr>
      <w:r>
        <w:t xml:space="preserve">veřejné zakázky na níže uvedené opravy a udržování zadává vypůjčitel prostřednictvím ředitele organizace podle vnitřního předpisu půjčitele – Pravidla pro zadávání zakázek malého rozsahu příspěvkovými organizacemi města Dvůr Králové nad Labem.  </w:t>
      </w:r>
    </w:p>
    <w:p w14:paraId="62A5AB2E" w14:textId="77777777" w:rsidR="00B80607" w:rsidRDefault="00CB4226" w:rsidP="001074AC">
      <w:pPr>
        <w:spacing w:before="240" w:line="250" w:lineRule="auto"/>
        <w:ind w:left="731" w:right="0" w:hanging="357"/>
        <w:jc w:val="left"/>
      </w:pPr>
      <w:r>
        <w:t xml:space="preserve"> </w:t>
      </w:r>
      <w:r>
        <w:rPr>
          <w:u w:val="single" w:color="000000"/>
        </w:rPr>
        <w:t>Jedná se zejména o následující opravy a udržování nemovitostí a jejich vybavení:</w:t>
      </w:r>
      <w:r>
        <w:t xml:space="preserve">  </w:t>
      </w:r>
    </w:p>
    <w:p w14:paraId="08A4FE39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veškeré nátěry s výjimkou nátěrů střešních krytin, </w:t>
      </w:r>
    </w:p>
    <w:p w14:paraId="3CB98EF9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malování vnitřních prostor, popřípadě tapetování,  </w:t>
      </w:r>
    </w:p>
    <w:p w14:paraId="35AEBE20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vnitřních omítek, </w:t>
      </w:r>
    </w:p>
    <w:p w14:paraId="0BC09909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opravy, čištění a výměny vrchních částí podlah a podlahových krytin, </w:t>
      </w:r>
    </w:p>
    <w:p w14:paraId="76BBA5B7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výměny prahů a krycích lišt podlah, </w:t>
      </w:r>
    </w:p>
    <w:p w14:paraId="17D14735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čištění obkladů stěn, </w:t>
      </w:r>
    </w:p>
    <w:p w14:paraId="52A57B1E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a výměny jednotlivých částí oken a dveří, </w:t>
      </w:r>
    </w:p>
    <w:p w14:paraId="317116F3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výměny zámků, klik, kování dveří a oken, </w:t>
      </w:r>
    </w:p>
    <w:p w14:paraId="5A8A3514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a výměny rolet a žaluzií, </w:t>
      </w:r>
    </w:p>
    <w:p w14:paraId="03232114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a výměny elektrických zásuvek, vypínačů, jističů, osvětlovacích těles, zvonků, domácích telefonů včetně elektrických zámků, počítačů a počítačových sítí, elektronických zabezpečovacích zařízení a hlásičů požáru, </w:t>
      </w:r>
    </w:p>
    <w:p w14:paraId="75B8A373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>opravy a výměny uzavíracích armatur a kohoutů na rozvodech vody, sifonů, lapačů tuku, zápachových uzávěrek, mísících baterií, sprch, ohřívačů vody, bidetů, umyvadel,</w:t>
      </w:r>
      <w:r w:rsidR="004F210D" w:rsidRPr="004F210D">
        <w:t xml:space="preserve"> </w:t>
      </w:r>
      <w:r>
        <w:t xml:space="preserve">výlevek, dřezů, splachovačů, </w:t>
      </w:r>
    </w:p>
    <w:p w14:paraId="476372E8" w14:textId="77777777" w:rsidR="004469A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a výměny kuchyňských linek, vestavěných skříní a veškerých spotřebičů např. vařičů, konvektomatů, pečících trub, pánví, varných kotlů, robotů, lednic, praček apod.,   </w:t>
      </w:r>
    </w:p>
    <w:p w14:paraId="4D3C1010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kamen a etážového topení včetně uzavíracích a regulačních armatur, a ovládacích termostatů, </w:t>
      </w:r>
    </w:p>
    <w:p w14:paraId="1441113A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čištění odpadů až ke stoupačkám vnitřního vodovodu, </w:t>
      </w:r>
    </w:p>
    <w:p w14:paraId="1F3EA8A0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čištění, opravy a výměny jednotlivých částí okapových systémů, </w:t>
      </w:r>
    </w:p>
    <w:p w14:paraId="41D7D1B3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opravy a údržby prostranství a areálu budov, včetně jejich oplocení a zařízení těchto prostranství, </w:t>
      </w:r>
    </w:p>
    <w:p w14:paraId="0F949620" w14:textId="77777777" w:rsidR="00F0060D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t xml:space="preserve">údržby přilehlých komunikací k nemovitostem – zejména chodníků a schodišť, </w:t>
      </w:r>
    </w:p>
    <w:p w14:paraId="524FF1C9" w14:textId="77777777" w:rsidR="00B80607" w:rsidRDefault="00CB4226" w:rsidP="001074AC">
      <w:pPr>
        <w:numPr>
          <w:ilvl w:val="1"/>
          <w:numId w:val="6"/>
        </w:numPr>
        <w:spacing w:line="250" w:lineRule="auto"/>
        <w:ind w:left="731" w:right="0" w:hanging="357"/>
      </w:pPr>
      <w:r>
        <w:lastRenderedPageBreak/>
        <w:t xml:space="preserve">čištění omyvatelných částí venkovních fasád a skleněných ploch, </w:t>
      </w:r>
    </w:p>
    <w:p w14:paraId="5FFB93A5" w14:textId="77777777" w:rsidR="004F210D" w:rsidRDefault="00CB4226" w:rsidP="004F210D">
      <w:pPr>
        <w:numPr>
          <w:ilvl w:val="1"/>
          <w:numId w:val="6"/>
        </w:numPr>
        <w:spacing w:after="261" w:line="250" w:lineRule="auto"/>
        <w:ind w:left="731" w:right="0" w:hanging="357"/>
      </w:pPr>
      <w:r>
        <w:t xml:space="preserve">čištění, opravy a servis výtahových a obdobných zařízení, </w:t>
      </w:r>
    </w:p>
    <w:p w14:paraId="515C02CC" w14:textId="77777777" w:rsidR="00B80607" w:rsidRDefault="00CB4226" w:rsidP="004F210D">
      <w:pPr>
        <w:numPr>
          <w:ilvl w:val="0"/>
          <w:numId w:val="6"/>
        </w:numPr>
        <w:spacing w:after="261" w:line="250" w:lineRule="auto"/>
        <w:ind w:left="425" w:right="0" w:hanging="425"/>
      </w:pPr>
      <w:r>
        <w:t xml:space="preserve">opravy a udržování výše uvedeného majetku provádí vypůjčitel v rámci roční částky na opravy </w:t>
      </w:r>
      <w:r w:rsidR="00F0060D">
        <w:br/>
      </w:r>
      <w:r>
        <w:t xml:space="preserve">a udržování dané schváleným finančním plánem. Tuto finanční částku je vypůjčitel povinen rozvrhnout tak, aby pokryla celoroční potřeby oprav a udržování, </w:t>
      </w:r>
    </w:p>
    <w:p w14:paraId="51E42E7D" w14:textId="77777777" w:rsidR="00B80607" w:rsidRDefault="00CB4226" w:rsidP="004469A7">
      <w:pPr>
        <w:numPr>
          <w:ilvl w:val="0"/>
          <w:numId w:val="6"/>
        </w:numPr>
        <w:spacing w:after="0"/>
        <w:ind w:right="0" w:hanging="427"/>
      </w:pPr>
      <w:r>
        <w:t xml:space="preserve">ostatní činnosti výše neuvedené, zejména: </w:t>
      </w:r>
    </w:p>
    <w:p w14:paraId="39D85E35" w14:textId="77777777" w:rsidR="00BB1F3B" w:rsidRDefault="00BB1F3B" w:rsidP="00BB1F3B">
      <w:pPr>
        <w:pStyle w:val="Zkladntextodsazen"/>
        <w:numPr>
          <w:ilvl w:val="0"/>
          <w:numId w:val="6"/>
        </w:numPr>
        <w:spacing w:before="120" w:after="0" w:line="240" w:lineRule="auto"/>
        <w:ind w:right="0"/>
        <w:rPr>
          <w:rFonts w:eastAsiaTheme="minorHAnsi"/>
        </w:rPr>
      </w:pPr>
      <w:r>
        <w:t xml:space="preserve">veřejné zakázky na malování a nátěry vnitřních prostor o ceně 500.000 Kč bez DPH a výše bude vypůjčitel realizovat po dohodě s odborem rozvoje, investic a správy majetku (dále odbor RISM) a po schválení rady města. Ostatní opravy a udržování v ceně 500.000 Kč bez DPH a výše za jednotlivou opravu na jednotlivém majetku vč. havárií je vypůjčitel povinen oznámit </w:t>
      </w:r>
      <w:proofErr w:type="spellStart"/>
      <w:r>
        <w:t>půjčiteli</w:t>
      </w:r>
      <w:proofErr w:type="spellEnd"/>
      <w:r>
        <w:t xml:space="preserve"> (odboru RISM) neprodleně po zjištění závady, či potřeby takové opravy. Tyto činnosti zajišťuje </w:t>
      </w:r>
      <w:proofErr w:type="spellStart"/>
      <w:r>
        <w:t>půjčitel</w:t>
      </w:r>
      <w:proofErr w:type="spellEnd"/>
      <w:r>
        <w:t xml:space="preserve"> prostřednictvím odboru RISM na základě ročního plánu oprav schváleného radou města. </w:t>
      </w:r>
      <w:proofErr w:type="spellStart"/>
      <w:r>
        <w:t>Půjčitel</w:t>
      </w:r>
      <w:proofErr w:type="spellEnd"/>
      <w:r>
        <w:t xml:space="preserve"> zajistí provedení oprav a údržby tak, aby nedošlo k podstatnému omezení činnosti vypůjčitele. Omezení v užívání nemovitostí, jež jsou předmětem této smlouvy, musí vždy předem odsouhlasit vypůjčitel,</w:t>
      </w:r>
    </w:p>
    <w:p w14:paraId="3CA2E734" w14:textId="77777777" w:rsidR="00BB1F3B" w:rsidRDefault="00BB1F3B" w:rsidP="00BB1F3B">
      <w:pPr>
        <w:numPr>
          <w:ilvl w:val="0"/>
          <w:numId w:val="6"/>
        </w:numPr>
        <w:spacing w:after="0" w:line="240" w:lineRule="auto"/>
        <w:ind w:right="0"/>
        <w:rPr>
          <w:rFonts w:eastAsia="Times New Roman"/>
        </w:rPr>
      </w:pPr>
      <w:r>
        <w:rPr>
          <w:rFonts w:eastAsia="Times New Roman"/>
        </w:rPr>
        <w:t xml:space="preserve">náprava havarijních stavů, opravy a výměny elektroinstalace, vnitřního vodovodu, rozvody plynu, stavebních konstrukcí vč. konstrukcí střešních a střešního pláště zajišťuje </w:t>
      </w:r>
      <w:proofErr w:type="spellStart"/>
      <w:r>
        <w:rPr>
          <w:rFonts w:eastAsia="Times New Roman"/>
        </w:rPr>
        <w:t>půjčitel</w:t>
      </w:r>
      <w:proofErr w:type="spellEnd"/>
      <w:r>
        <w:rPr>
          <w:rFonts w:eastAsia="Times New Roman"/>
        </w:rPr>
        <w:t xml:space="preserve"> prostřednictvím odboru OEMM nebo RISM, na základě ročního plánu oprav schváleného radou města,</w:t>
      </w:r>
    </w:p>
    <w:p w14:paraId="508C8876" w14:textId="77777777" w:rsidR="00BB1F3B" w:rsidRDefault="00BB1F3B" w:rsidP="00BB1F3B">
      <w:pPr>
        <w:pStyle w:val="Zkladntext"/>
        <w:numPr>
          <w:ilvl w:val="0"/>
          <w:numId w:val="6"/>
        </w:numPr>
        <w:spacing w:after="0" w:line="240" w:lineRule="auto"/>
        <w:ind w:right="0"/>
        <w:rPr>
          <w:rFonts w:eastAsiaTheme="minorHAnsi"/>
        </w:rPr>
      </w:pPr>
      <w:r>
        <w:t>nápravu havarijních stavů bezprostředně ohrožujících předmět výpůjčky je v případě neodkladného zásahu oprávněn zajistit vypůjčitel. O vzniklé situaci a jejím řešení podá bezodkladně zprávu odboru OEMM.</w:t>
      </w:r>
    </w:p>
    <w:p w14:paraId="3A5BF727" w14:textId="77777777" w:rsidR="00B80607" w:rsidRDefault="00CB4226">
      <w:pPr>
        <w:spacing w:after="0" w:line="259" w:lineRule="auto"/>
        <w:ind w:left="734" w:right="0"/>
        <w:jc w:val="left"/>
      </w:pPr>
      <w:r>
        <w:t xml:space="preserve"> </w:t>
      </w:r>
    </w:p>
    <w:p w14:paraId="7525564D" w14:textId="77777777" w:rsidR="00B80607" w:rsidRDefault="00CB4226">
      <w:pPr>
        <w:ind w:left="-1" w:right="0"/>
      </w:pPr>
      <w:r>
        <w:t xml:space="preserve">Pokud vypůjčitel plánuje provedení technického zhodnocení na věci, která je součástí majetku ve výpůjčce, nebo pokud si není vypůjčitel jistý, zda se bude jednat o opravu, údržbu nebo technické zhodnocení, konzultuje toto s </w:t>
      </w:r>
      <w:proofErr w:type="spellStart"/>
      <w:r>
        <w:t>půjčitelem</w:t>
      </w:r>
      <w:proofErr w:type="spellEnd"/>
      <w:r>
        <w:t xml:space="preserve"> (odbor </w:t>
      </w:r>
      <w:r w:rsidR="005C3B4D">
        <w:t>OEMM</w:t>
      </w:r>
      <w:r w:rsidR="00BB1F3B">
        <w:t xml:space="preserve"> nebo RISM</w:t>
      </w:r>
      <w:r>
        <w:t xml:space="preserve">). Dle zřizovací listiny není příspěvková organizace oprávněna nabývat nemovitý majetek do svého vlastnictví.  </w:t>
      </w:r>
    </w:p>
    <w:p w14:paraId="346CBE96" w14:textId="77777777" w:rsidR="00B80607" w:rsidRDefault="00CB4226">
      <w:pPr>
        <w:spacing w:after="21" w:line="259" w:lineRule="auto"/>
        <w:ind w:left="14" w:right="0"/>
        <w:jc w:val="left"/>
      </w:pPr>
      <w:r>
        <w:t xml:space="preserve"> </w:t>
      </w:r>
    </w:p>
    <w:p w14:paraId="4AD848A6" w14:textId="77777777" w:rsidR="00B80607" w:rsidRDefault="00CB4226" w:rsidP="004469A7">
      <w:pPr>
        <w:spacing w:after="182" w:line="259" w:lineRule="auto"/>
        <w:ind w:left="740" w:right="294" w:hanging="10"/>
        <w:jc w:val="center"/>
      </w:pPr>
      <w:r>
        <w:rPr>
          <w:color w:val="CD1316"/>
          <w:sz w:val="24"/>
        </w:rPr>
        <w:t>Škody</w:t>
      </w:r>
    </w:p>
    <w:p w14:paraId="6667DF12" w14:textId="77777777" w:rsidR="00B80607" w:rsidRDefault="00CB4226" w:rsidP="00F0060D">
      <w:pPr>
        <w:spacing w:after="360" w:line="250" w:lineRule="auto"/>
        <w:ind w:right="0"/>
      </w:pPr>
      <w:r>
        <w:t xml:space="preserve">Při řešení škod na vypůjčeném majetku a jejich náhrad se postupuje podle platného vnitřního předpisu půjčitele.  </w:t>
      </w:r>
    </w:p>
    <w:p w14:paraId="39E59C6B" w14:textId="77777777" w:rsidR="00B80607" w:rsidRDefault="00CB4226">
      <w:pPr>
        <w:spacing w:after="21" w:line="259" w:lineRule="auto"/>
        <w:ind w:left="14" w:right="0"/>
        <w:jc w:val="left"/>
      </w:pPr>
      <w:r>
        <w:t xml:space="preserve"> </w:t>
      </w:r>
    </w:p>
    <w:p w14:paraId="38AE7768" w14:textId="77777777" w:rsidR="00B80607" w:rsidRDefault="00B5598E" w:rsidP="004469A7">
      <w:pPr>
        <w:spacing w:after="51" w:line="259" w:lineRule="auto"/>
        <w:ind w:left="14" w:right="0"/>
        <w:jc w:val="center"/>
      </w:pPr>
      <w:r>
        <w:rPr>
          <w:color w:val="CD1316"/>
          <w:sz w:val="24"/>
        </w:rPr>
        <w:t>6</w:t>
      </w:r>
      <w:r w:rsidR="00CB4226">
        <w:rPr>
          <w:color w:val="CD1316"/>
          <w:sz w:val="24"/>
        </w:rPr>
        <w:t>.</w:t>
      </w:r>
      <w:r w:rsidR="00CB4226">
        <w:rPr>
          <w:rFonts w:ascii="Arial" w:eastAsia="Arial" w:hAnsi="Arial" w:cs="Arial"/>
          <w:color w:val="CD1316"/>
          <w:sz w:val="24"/>
        </w:rPr>
        <w:t xml:space="preserve"> </w:t>
      </w:r>
      <w:r w:rsidR="00CB4226">
        <w:rPr>
          <w:color w:val="CD1316"/>
          <w:sz w:val="24"/>
        </w:rPr>
        <w:t>Článek</w:t>
      </w:r>
    </w:p>
    <w:p w14:paraId="1827B603" w14:textId="77777777" w:rsidR="00B80607" w:rsidRDefault="00CB4226" w:rsidP="004469A7">
      <w:pPr>
        <w:spacing w:after="217" w:line="259" w:lineRule="auto"/>
        <w:ind w:right="0"/>
        <w:jc w:val="center"/>
      </w:pPr>
      <w:r>
        <w:rPr>
          <w:color w:val="CD1316"/>
          <w:sz w:val="24"/>
        </w:rPr>
        <w:t>Závěrečné ustanovení</w:t>
      </w:r>
    </w:p>
    <w:p w14:paraId="467E53C7" w14:textId="77777777" w:rsidR="00B80607" w:rsidRDefault="00CB4226" w:rsidP="00F0060D">
      <w:pPr>
        <w:numPr>
          <w:ilvl w:val="0"/>
          <w:numId w:val="13"/>
        </w:numPr>
        <w:ind w:left="426" w:right="0" w:hanging="426"/>
      </w:pPr>
      <w:r>
        <w:t xml:space="preserve">Smluvní strany se dohodly, že ke dni platnosti této smlouvy se ruší smlouva o výpůjčce </w:t>
      </w:r>
      <w:r w:rsidR="00CE32DB">
        <w:br/>
      </w:r>
      <w:r>
        <w:t>č. ŠKS/OVYP-20</w:t>
      </w:r>
      <w:r w:rsidR="00335DEC">
        <w:t>14</w:t>
      </w:r>
      <w:r>
        <w:t>/0</w:t>
      </w:r>
      <w:r w:rsidR="00335DEC">
        <w:t>713</w:t>
      </w:r>
      <w:r>
        <w:t xml:space="preserve"> schválená radou města usnesením č. R/</w:t>
      </w:r>
      <w:r w:rsidR="00335DEC">
        <w:t>598</w:t>
      </w:r>
      <w:r>
        <w:t>/</w:t>
      </w:r>
      <w:proofErr w:type="gramStart"/>
      <w:r>
        <w:t>20</w:t>
      </w:r>
      <w:r w:rsidR="00335DEC">
        <w:t>14</w:t>
      </w:r>
      <w:r>
        <w:t xml:space="preserve"> – </w:t>
      </w:r>
      <w:r w:rsidR="00335DEC">
        <w:t>145</w:t>
      </w:r>
      <w:proofErr w:type="gramEnd"/>
      <w:r>
        <w:t xml:space="preserve">. RM, ze dne </w:t>
      </w:r>
    </w:p>
    <w:p w14:paraId="7760C617" w14:textId="77777777" w:rsidR="00B80607" w:rsidRDefault="00335DEC" w:rsidP="00F0060D">
      <w:pPr>
        <w:pStyle w:val="Odstavecseseznamem"/>
        <w:spacing w:after="261"/>
        <w:ind w:left="426" w:right="0"/>
      </w:pPr>
      <w:r>
        <w:t>26.08.2014</w:t>
      </w:r>
      <w:r w:rsidR="00CB4226">
        <w:t xml:space="preserve">. </w:t>
      </w:r>
    </w:p>
    <w:p w14:paraId="569C6786" w14:textId="77777777" w:rsidR="00B80607" w:rsidRDefault="00CB4226" w:rsidP="00F0060D">
      <w:pPr>
        <w:numPr>
          <w:ilvl w:val="0"/>
          <w:numId w:val="13"/>
        </w:numPr>
        <w:spacing w:after="259"/>
        <w:ind w:left="426" w:right="0" w:hanging="426"/>
      </w:pPr>
      <w:r>
        <w:t>Výpůjčka je sjednána na dobu právní existence vypůjčitele. Smlouva o výpůjčce nabývá účinnosti dnem podpisu smlouvy.</w:t>
      </w:r>
      <w:r>
        <w:rPr>
          <w:b/>
        </w:rPr>
        <w:t xml:space="preserve">  </w:t>
      </w:r>
    </w:p>
    <w:p w14:paraId="493C7398" w14:textId="77777777" w:rsidR="00B80607" w:rsidRDefault="00CB4226" w:rsidP="00F0060D">
      <w:pPr>
        <w:numPr>
          <w:ilvl w:val="0"/>
          <w:numId w:val="13"/>
        </w:numPr>
        <w:spacing w:after="261"/>
        <w:ind w:left="426" w:right="0" w:hanging="426"/>
      </w:pPr>
      <w:r>
        <w:t xml:space="preserve">Dobu výpůjčky lze změnit dohodou, písemným dodatkem k této smlouvě, tuto smlouvu nelze jednostranně vypovědět, její platnost lze ukončit pouze dohodou smluvních stran.  </w:t>
      </w:r>
    </w:p>
    <w:p w14:paraId="2F2B67FC" w14:textId="77777777" w:rsidR="00B80607" w:rsidRDefault="00CB4226" w:rsidP="00F0060D">
      <w:pPr>
        <w:numPr>
          <w:ilvl w:val="0"/>
          <w:numId w:val="13"/>
        </w:numPr>
        <w:spacing w:after="261"/>
        <w:ind w:left="426" w:right="0" w:hanging="426"/>
      </w:pPr>
      <w:r>
        <w:t xml:space="preserve">Právní vztahy touto smlouvou výslovně neřešené se řídí příslušnými ustanoveními občanského zákoníku, příp. dalších právních předpisů. </w:t>
      </w:r>
    </w:p>
    <w:p w14:paraId="2F40F940" w14:textId="77777777" w:rsidR="00B80607" w:rsidRDefault="00CB4226" w:rsidP="00F0060D">
      <w:pPr>
        <w:numPr>
          <w:ilvl w:val="0"/>
          <w:numId w:val="13"/>
        </w:numPr>
        <w:spacing w:after="272"/>
        <w:ind w:left="426" w:right="0" w:hanging="426"/>
      </w:pPr>
      <w:r>
        <w:t xml:space="preserve">Smlouva je vyhotovena ve dvou vyhotoveních, z nichž jedno obdrží půjčitel a jedno vyhotovení vypůjčitel. </w:t>
      </w:r>
    </w:p>
    <w:p w14:paraId="6AA6E9C2" w14:textId="0D3A2678" w:rsidR="00B80607" w:rsidRDefault="00CB4226" w:rsidP="00F0060D">
      <w:pPr>
        <w:numPr>
          <w:ilvl w:val="0"/>
          <w:numId w:val="13"/>
        </w:numPr>
        <w:spacing w:after="263"/>
        <w:ind w:left="426" w:right="0" w:hanging="426"/>
      </w:pPr>
      <w:r>
        <w:lastRenderedPageBreak/>
        <w:t>O uzavření této smlouvy rozhodla Rada města Dvůr Králové nad Labem usnesením č. R/</w:t>
      </w:r>
      <w:r w:rsidR="00384253">
        <w:t>201/</w:t>
      </w:r>
      <w:r>
        <w:t>202</w:t>
      </w:r>
      <w:r w:rsidR="00CE32DB">
        <w:t>4</w:t>
      </w:r>
      <w:r>
        <w:t xml:space="preserve"> </w:t>
      </w:r>
      <w:r w:rsidR="00384253">
        <w:br/>
      </w:r>
      <w:r>
        <w:t xml:space="preserve">– </w:t>
      </w:r>
      <w:r w:rsidR="00384253">
        <w:t>46</w:t>
      </w:r>
      <w:r>
        <w:t>. RM, ze dn</w:t>
      </w:r>
      <w:r w:rsidR="00E40DE5">
        <w:t xml:space="preserve">e </w:t>
      </w:r>
      <w:r w:rsidR="0011029D">
        <w:t>04.04</w:t>
      </w:r>
      <w:r w:rsidR="00E40DE5">
        <w:t>.</w:t>
      </w:r>
      <w:r>
        <w:t>202</w:t>
      </w:r>
      <w:r w:rsidR="00CE32DB">
        <w:t>4</w:t>
      </w:r>
      <w:r>
        <w:t xml:space="preserve">. </w:t>
      </w:r>
    </w:p>
    <w:p w14:paraId="2062ABB1" w14:textId="77777777" w:rsidR="00B80607" w:rsidRDefault="00CB4226">
      <w:pPr>
        <w:spacing w:after="254" w:line="259" w:lineRule="auto"/>
        <w:ind w:right="0"/>
        <w:jc w:val="left"/>
      </w:pPr>
      <w:r>
        <w:t xml:space="preserve">  </w:t>
      </w:r>
    </w:p>
    <w:p w14:paraId="04617494" w14:textId="77777777" w:rsidR="00B80607" w:rsidRDefault="00CB4226">
      <w:pPr>
        <w:spacing w:after="260"/>
        <w:ind w:left="-1" w:right="0"/>
      </w:pPr>
      <w:r>
        <w:t xml:space="preserve">Dvůr Králové nad Labem dne  </w:t>
      </w:r>
    </w:p>
    <w:p w14:paraId="29C20BFD" w14:textId="77777777" w:rsidR="00B80607" w:rsidRDefault="00CB4226">
      <w:pPr>
        <w:spacing w:after="0" w:line="259" w:lineRule="auto"/>
        <w:ind w:left="14" w:right="0"/>
        <w:jc w:val="left"/>
      </w:pPr>
      <w:r>
        <w:t xml:space="preserve"> </w:t>
      </w:r>
    </w:p>
    <w:p w14:paraId="1452A18F" w14:textId="77777777" w:rsidR="00B80607" w:rsidRDefault="00CB4226">
      <w:pPr>
        <w:spacing w:after="0" w:line="259" w:lineRule="auto"/>
        <w:ind w:left="14" w:right="0"/>
        <w:jc w:val="left"/>
      </w:pPr>
      <w:r>
        <w:t xml:space="preserve"> </w:t>
      </w:r>
    </w:p>
    <w:p w14:paraId="410CAAB7" w14:textId="77777777" w:rsidR="00B80607" w:rsidRDefault="00CB4226">
      <w:pPr>
        <w:spacing w:after="264" w:line="259" w:lineRule="auto"/>
        <w:ind w:right="0"/>
        <w:jc w:val="left"/>
      </w:pPr>
      <w:r>
        <w:t xml:space="preserve"> </w:t>
      </w:r>
    </w:p>
    <w:p w14:paraId="1DFDF810" w14:textId="77777777" w:rsidR="00B80607" w:rsidRDefault="00CB4226">
      <w:pPr>
        <w:tabs>
          <w:tab w:val="center" w:pos="2847"/>
          <w:tab w:val="center" w:pos="3555"/>
          <w:tab w:val="center" w:pos="4263"/>
          <w:tab w:val="center" w:pos="6388"/>
        </w:tabs>
        <w:spacing w:after="280"/>
        <w:ind w:left="-1" w:right="0"/>
        <w:jc w:val="left"/>
      </w:pPr>
      <w:r>
        <w:t xml:space="preserve">        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………………………………. </w:t>
      </w:r>
    </w:p>
    <w:p w14:paraId="33223F87" w14:textId="0D2E0CDB" w:rsidR="00B80607" w:rsidRDefault="00176BB1" w:rsidP="00CB4226">
      <w:pPr>
        <w:tabs>
          <w:tab w:val="center" w:pos="2138"/>
          <w:tab w:val="center" w:pos="2847"/>
          <w:tab w:val="center" w:pos="3555"/>
          <w:tab w:val="center" w:pos="4263"/>
          <w:tab w:val="center" w:pos="6232"/>
        </w:tabs>
        <w:spacing w:after="0"/>
        <w:ind w:left="-1" w:right="0"/>
        <w:jc w:val="left"/>
      </w:pPr>
      <w:r>
        <w:t xml:space="preserve">  </w:t>
      </w:r>
      <w:r w:rsidR="00CB4226">
        <w:t xml:space="preserve">       Ing. Jan Jarolím</w:t>
      </w:r>
      <w:r>
        <w:t>, v.r.</w:t>
      </w:r>
      <w:r w:rsidR="00CB4226">
        <w:t xml:space="preserve"> </w:t>
      </w:r>
      <w:r w:rsidR="00CB4226">
        <w:tab/>
        <w:t xml:space="preserve"> </w:t>
      </w:r>
      <w:r w:rsidR="00CB4226">
        <w:tab/>
        <w:t xml:space="preserve"> </w:t>
      </w:r>
      <w:r w:rsidR="00CB4226">
        <w:tab/>
        <w:t xml:space="preserve"> </w:t>
      </w:r>
      <w:r w:rsidR="00CB4226">
        <w:tab/>
        <w:t xml:space="preserve">              </w:t>
      </w:r>
      <w:r>
        <w:t xml:space="preserve">    </w:t>
      </w:r>
      <w:bookmarkStart w:id="0" w:name="_GoBack"/>
      <w:bookmarkEnd w:id="0"/>
      <w:r w:rsidR="00CB4226">
        <w:t xml:space="preserve"> Mgr. </w:t>
      </w:r>
      <w:r w:rsidR="00335DEC">
        <w:t>Edita Vaňková</w:t>
      </w:r>
      <w:r>
        <w:t>, v.r.</w:t>
      </w:r>
      <w:r w:rsidR="00CB4226">
        <w:t xml:space="preserve"> </w:t>
      </w:r>
    </w:p>
    <w:p w14:paraId="43EBDCFC" w14:textId="0DC59625" w:rsidR="00E40DE5" w:rsidRDefault="00176BB1" w:rsidP="00CB4226">
      <w:pPr>
        <w:tabs>
          <w:tab w:val="center" w:pos="2138"/>
          <w:tab w:val="center" w:pos="2847"/>
          <w:tab w:val="center" w:pos="3555"/>
          <w:tab w:val="center" w:pos="4263"/>
          <w:tab w:val="center" w:pos="6232"/>
        </w:tabs>
        <w:spacing w:after="0"/>
        <w:ind w:left="-1" w:right="0"/>
        <w:jc w:val="left"/>
      </w:pPr>
      <w:r>
        <w:t xml:space="preserve">  </w:t>
      </w:r>
    </w:p>
    <w:p w14:paraId="4A897933" w14:textId="77777777" w:rsidR="00B80607" w:rsidRDefault="00E40DE5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  <w:r>
        <w:tab/>
      </w:r>
      <w:r w:rsidR="00CB4226">
        <w:t xml:space="preserve">za půjčitele </w:t>
      </w:r>
      <w:r w:rsidR="00CB4226">
        <w:tab/>
        <w:t xml:space="preserve"> </w:t>
      </w:r>
      <w:r w:rsidR="00CB4226">
        <w:tab/>
        <w:t xml:space="preserve"> </w:t>
      </w:r>
      <w:r w:rsidR="00CB4226">
        <w:tab/>
        <w:t xml:space="preserve"> </w:t>
      </w:r>
      <w:r w:rsidR="00CB4226">
        <w:tab/>
        <w:t xml:space="preserve"> </w:t>
      </w:r>
      <w:r w:rsidR="00CB4226">
        <w:tab/>
        <w:t xml:space="preserve"> </w:t>
      </w:r>
      <w:r w:rsidR="00CB4226">
        <w:tab/>
        <w:t xml:space="preserve">       za vypůjčitele  </w:t>
      </w:r>
    </w:p>
    <w:p w14:paraId="16FB8893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4AB32A39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566796BC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5F0E95D1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4D9665DE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1DCEC18E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1FE41824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0C7ECF5C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77E5AB53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40EA841E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7FDB3B33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187B1E99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46518BDA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416F13D8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5D5923A7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3FB9A3DF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4FD0728F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p w14:paraId="0AC7BBE8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560"/>
        <w:gridCol w:w="2080"/>
      </w:tblGrid>
      <w:tr w:rsidR="00BB1F3B" w:rsidRPr="00BB1F3B" w14:paraId="52F64D80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299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1DB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BB1F3B">
              <w:rPr>
                <w:rFonts w:ascii="Arial" w:eastAsia="Times New Roman" w:hAnsi="Arial" w:cs="Arial"/>
                <w:b/>
                <w:bCs/>
                <w:sz w:val="22"/>
              </w:rPr>
              <w:t xml:space="preserve">Příloha č. 1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CFEB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</w:tr>
      <w:tr w:rsidR="00BB1F3B" w:rsidRPr="00BB1F3B" w14:paraId="587C0A8A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0D41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43B7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99C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43C8324D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2B6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A4AB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BB1F3B">
              <w:rPr>
                <w:rFonts w:ascii="Arial" w:eastAsia="Times New Roman" w:hAnsi="Arial" w:cs="Arial"/>
                <w:b/>
                <w:bCs/>
                <w:sz w:val="22"/>
              </w:rPr>
              <w:t>Základní škola Podharť, Dvůr Králové nad Labem, Máchova 884</w:t>
            </w:r>
          </w:p>
        </w:tc>
      </w:tr>
      <w:tr w:rsidR="00BB1F3B" w:rsidRPr="00BB1F3B" w14:paraId="4CC3743D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95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DF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A3E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37F5095C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F2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1.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F09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 xml:space="preserve">Budova čp. 884 na </w:t>
            </w:r>
            <w:proofErr w:type="spellStart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st.p.č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 xml:space="preserve">. 1064 v </w:t>
            </w:r>
            <w:proofErr w:type="spellStart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70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</w:pPr>
          </w:p>
        </w:tc>
      </w:tr>
      <w:tr w:rsidR="00BB1F3B" w:rsidRPr="00BB1F3B" w14:paraId="32B903C9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4E3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9D4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ZŠ Podharť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C36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B1F3B" w:rsidRPr="00BB1F3B" w14:paraId="0B449250" w14:textId="77777777" w:rsidTr="00BB1F3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06D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B4C1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ul. Máchova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3C9E1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75 738 293,00 Kč </w:t>
            </w:r>
          </w:p>
        </w:tc>
      </w:tr>
      <w:tr w:rsidR="00BB1F3B" w:rsidRPr="00BB1F3B" w14:paraId="28D97CB0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B04F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B37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F1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4E366998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2B8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2.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23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 xml:space="preserve">Stavba bez čp. na </w:t>
            </w:r>
            <w:proofErr w:type="spellStart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st.p.č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 xml:space="preserve">. 585/2 v </w:t>
            </w:r>
            <w:proofErr w:type="spellStart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B63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</w:pPr>
          </w:p>
        </w:tc>
      </w:tr>
      <w:tr w:rsidR="00BB1F3B" w:rsidRPr="00BB1F3B" w14:paraId="2615BC04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3E3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A2E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Zahradní domek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22D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B1F3B" w:rsidRPr="00BB1F3B" w14:paraId="1D65C712" w14:textId="77777777" w:rsidTr="00BB1F3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45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EA07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ul. Purkyňova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F352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321 700,00 Kč </w:t>
            </w:r>
          </w:p>
        </w:tc>
      </w:tr>
      <w:tr w:rsidR="00BB1F3B" w:rsidRPr="00BB1F3B" w14:paraId="795ED750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B17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B1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EF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288F1797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133F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3.</w:t>
            </w: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230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 xml:space="preserve">Informační tabule prosklená na </w:t>
            </w:r>
            <w:proofErr w:type="spellStart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p.p.č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 xml:space="preserve">. 4768 v </w:t>
            </w:r>
            <w:proofErr w:type="spellStart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  <w:t>. Dvůr Králové nad Labem</w:t>
            </w:r>
          </w:p>
        </w:tc>
      </w:tr>
      <w:tr w:rsidR="00BB1F3B" w:rsidRPr="00BB1F3B" w14:paraId="66115C89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D759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color w:val="76933C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C7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(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ič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 xml:space="preserve"> 00219990417 - část)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D93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B1F3B" w:rsidRPr="00BB1F3B" w14:paraId="11747F52" w14:textId="77777777" w:rsidTr="00BB1F3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523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42B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ul. Husova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0A07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             -   Kč </w:t>
            </w:r>
          </w:p>
        </w:tc>
      </w:tr>
      <w:tr w:rsidR="00BB1F3B" w:rsidRPr="00BB1F3B" w14:paraId="0E91490F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8EC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EF0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8CFB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7F909C84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00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272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stavby celkem: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FC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 xml:space="preserve">      76 059 993,00 Kč </w:t>
            </w:r>
          </w:p>
        </w:tc>
      </w:tr>
      <w:tr w:rsidR="00BB1F3B" w:rsidRPr="00BB1F3B" w14:paraId="129611FB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770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2F5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DFFF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465F77EB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395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3D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A8E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66505065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5AE5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4.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EBF1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st.p.č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. 1064</w:t>
            </w:r>
            <w:r w:rsidRPr="00BB1F3B">
              <w:rPr>
                <w:rFonts w:ascii="Arial" w:eastAsia="Times New Roman" w:hAnsi="Arial" w:cs="Arial"/>
                <w:szCs w:val="20"/>
              </w:rPr>
              <w:t xml:space="preserve"> o výměře 1923 m2 v 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53D9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  97 500,00 Kč </w:t>
            </w:r>
          </w:p>
        </w:tc>
      </w:tr>
      <w:tr w:rsidR="00BB1F3B" w:rsidRPr="00BB1F3B" w14:paraId="50A37CD7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251C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5.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4A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st.p.č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. 585/</w:t>
            </w:r>
            <w:r w:rsidRPr="00BB1F3B">
              <w:rPr>
                <w:rFonts w:ascii="Arial" w:eastAsia="Times New Roman" w:hAnsi="Arial" w:cs="Arial"/>
                <w:szCs w:val="20"/>
              </w:rPr>
              <w:t xml:space="preserve">2 o výměře 38 m2 v 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77CB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   6 000,00 Kč </w:t>
            </w:r>
          </w:p>
        </w:tc>
      </w:tr>
      <w:tr w:rsidR="00BB1F3B" w:rsidRPr="00BB1F3B" w14:paraId="60E292B5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12A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6.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21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p.p.č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. 947/</w:t>
            </w:r>
            <w:r w:rsidRPr="00BB1F3B">
              <w:rPr>
                <w:rFonts w:ascii="Arial" w:eastAsia="Times New Roman" w:hAnsi="Arial" w:cs="Arial"/>
                <w:szCs w:val="20"/>
              </w:rPr>
              <w:t xml:space="preserve">1 o výměře 822 m2 v 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4465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121 813,00 Kč </w:t>
            </w:r>
          </w:p>
        </w:tc>
      </w:tr>
      <w:tr w:rsidR="00BB1F3B" w:rsidRPr="00BB1F3B" w14:paraId="356130BE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168C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7.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EF2C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p.p.č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. 1030/1</w:t>
            </w:r>
            <w:r w:rsidRPr="00BB1F3B">
              <w:rPr>
                <w:rFonts w:ascii="Arial" w:eastAsia="Times New Roman" w:hAnsi="Arial" w:cs="Arial"/>
                <w:szCs w:val="20"/>
              </w:rPr>
              <w:t xml:space="preserve"> o výměře 657 m2 v 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3DA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  76 241,00 Kč </w:t>
            </w:r>
          </w:p>
        </w:tc>
      </w:tr>
      <w:tr w:rsidR="00BB1F3B" w:rsidRPr="00BB1F3B" w14:paraId="60CF8953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A809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8.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84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p.p.č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. 1030/6</w:t>
            </w:r>
            <w:r w:rsidRPr="00BB1F3B">
              <w:rPr>
                <w:rFonts w:ascii="Arial" w:eastAsia="Times New Roman" w:hAnsi="Arial" w:cs="Arial"/>
                <w:szCs w:val="20"/>
              </w:rPr>
              <w:t xml:space="preserve"> o výměře 127 m2 v 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A08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  32 340,00 Kč </w:t>
            </w:r>
          </w:p>
        </w:tc>
      </w:tr>
      <w:tr w:rsidR="00BB1F3B" w:rsidRPr="00BB1F3B" w14:paraId="73198A10" w14:textId="77777777" w:rsidTr="00BB1F3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207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9.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A1719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p.p.č</w:t>
            </w:r>
            <w:proofErr w:type="spellEnd"/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>. 4855</w:t>
            </w:r>
            <w:r w:rsidRPr="00BB1F3B">
              <w:rPr>
                <w:rFonts w:ascii="Arial" w:eastAsia="Times New Roman" w:hAnsi="Arial" w:cs="Arial"/>
                <w:szCs w:val="20"/>
              </w:rPr>
              <w:t xml:space="preserve"> o výměře 142 m2 v </w:t>
            </w:r>
            <w:proofErr w:type="spellStart"/>
            <w:r w:rsidRPr="00BB1F3B">
              <w:rPr>
                <w:rFonts w:ascii="Arial" w:eastAsia="Times New Roman" w:hAnsi="Arial" w:cs="Arial"/>
                <w:szCs w:val="20"/>
              </w:rPr>
              <w:t>k.ú</w:t>
            </w:r>
            <w:proofErr w:type="spellEnd"/>
            <w:r w:rsidRPr="00BB1F3B">
              <w:rPr>
                <w:rFonts w:ascii="Arial" w:eastAsia="Times New Roman" w:hAnsi="Arial" w:cs="Arial"/>
                <w:szCs w:val="20"/>
              </w:rPr>
              <w:t>. Dvůr Králové nad Labem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E88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 xml:space="preserve">             28 500,00 Kč </w:t>
            </w:r>
          </w:p>
        </w:tc>
      </w:tr>
      <w:tr w:rsidR="00BB1F3B" w:rsidRPr="00BB1F3B" w14:paraId="14C9C69B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DC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07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627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3DD4E6CD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D305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2ED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 xml:space="preserve">pozemky celkem: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1D7B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BB1F3B">
              <w:rPr>
                <w:rFonts w:ascii="Arial" w:eastAsia="Times New Roman" w:hAnsi="Arial" w:cs="Arial"/>
                <w:b/>
                <w:bCs/>
                <w:szCs w:val="20"/>
              </w:rPr>
              <w:t xml:space="preserve">           362 394,00 Kč </w:t>
            </w:r>
          </w:p>
        </w:tc>
      </w:tr>
      <w:tr w:rsidR="00BB1F3B" w:rsidRPr="00BB1F3B" w14:paraId="198F33E5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2EA0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760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FCCD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7D9CD87B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8F91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6A11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F774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1E48F154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17F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D8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83D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1E4304E5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E0A8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644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  <w:r w:rsidRPr="00BB1F3B">
              <w:rPr>
                <w:rFonts w:ascii="Arial" w:eastAsia="Times New Roman" w:hAnsi="Arial" w:cs="Arial"/>
                <w:szCs w:val="20"/>
              </w:rPr>
              <w:t>ke dni: 22.03.2024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4A5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BB1F3B" w:rsidRPr="00BB1F3B" w14:paraId="6BA54A8D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8EB3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3C6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25FE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BB1F3B" w:rsidRPr="00BB1F3B" w14:paraId="6988D9B7" w14:textId="77777777" w:rsidTr="00BB1F3B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5C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15E2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4E3A" w14:textId="77777777" w:rsidR="00BB1F3B" w:rsidRPr="00BB1F3B" w:rsidRDefault="00BB1F3B" w:rsidP="00BB1F3B">
            <w:pPr>
              <w:spacing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p w14:paraId="421528BB" w14:textId="77777777" w:rsidR="00BB1F3B" w:rsidRDefault="00BB1F3B" w:rsidP="00CE32DB">
      <w:pPr>
        <w:tabs>
          <w:tab w:val="center" w:pos="1245"/>
          <w:tab w:val="center" w:pos="2138"/>
          <w:tab w:val="center" w:pos="2847"/>
          <w:tab w:val="center" w:pos="3555"/>
          <w:tab w:val="center" w:pos="4263"/>
          <w:tab w:val="center" w:pos="4971"/>
          <w:tab w:val="center" w:pos="6494"/>
        </w:tabs>
        <w:spacing w:after="270"/>
        <w:ind w:right="0"/>
        <w:jc w:val="left"/>
      </w:pPr>
    </w:p>
    <w:sectPr w:rsidR="00BB1F3B" w:rsidSect="00AA4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7" w:right="1133" w:bottom="1418" w:left="1276" w:header="772" w:footer="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09D5" w14:textId="77777777" w:rsidR="00D9542C" w:rsidRDefault="00D9542C">
      <w:pPr>
        <w:spacing w:after="0" w:line="240" w:lineRule="auto"/>
      </w:pPr>
      <w:r>
        <w:separator/>
      </w:r>
    </w:p>
  </w:endnote>
  <w:endnote w:type="continuationSeparator" w:id="0">
    <w:p w14:paraId="02941407" w14:textId="77777777" w:rsidR="00D9542C" w:rsidRDefault="00D9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28E2" w14:textId="77777777" w:rsidR="00F0060D" w:rsidRDefault="00F0060D">
    <w:pPr>
      <w:tabs>
        <w:tab w:val="center" w:pos="4551"/>
        <w:tab w:val="right" w:pos="9090"/>
      </w:tabs>
      <w:spacing w:after="7" w:line="259" w:lineRule="auto"/>
      <w:ind w:right="-1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CD1316"/>
        <w:sz w:val="16"/>
      </w:rPr>
      <w:t>1</w:t>
    </w:r>
    <w:r>
      <w:rPr>
        <w:b/>
        <w:color w:val="CD1316"/>
        <w:sz w:val="16"/>
      </w:rPr>
      <w:fldChar w:fldCharType="end"/>
    </w:r>
    <w:r>
      <w:rPr>
        <w:b/>
        <w:color w:val="CD1316"/>
        <w:sz w:val="16"/>
      </w:rPr>
      <w:t xml:space="preserve"> </w:t>
    </w:r>
    <w:r>
      <w:rPr>
        <w:b/>
        <w:color w:val="CD1316"/>
        <w:sz w:val="16"/>
      </w:rPr>
      <w:tab/>
      <w:t xml:space="preserve"> </w:t>
    </w:r>
    <w:r>
      <w:rPr>
        <w:b/>
        <w:color w:val="CD1316"/>
        <w:sz w:val="16"/>
      </w:rPr>
      <w:tab/>
      <w:t xml:space="preserve">mudk.cz </w:t>
    </w:r>
  </w:p>
  <w:p w14:paraId="292856B8" w14:textId="77777777" w:rsidR="00F0060D" w:rsidRDefault="00F0060D">
    <w:pPr>
      <w:spacing w:after="0" w:line="259" w:lineRule="auto"/>
      <w:ind w:right="-108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24E767F" wp14:editId="17249784">
          <wp:simplePos x="0" y="0"/>
          <wp:positionH relativeFrom="page">
            <wp:posOffset>6225540</wp:posOffset>
          </wp:positionH>
          <wp:positionV relativeFrom="page">
            <wp:posOffset>10280485</wp:posOffset>
          </wp:positionV>
          <wp:extent cx="469265" cy="39370"/>
          <wp:effectExtent l="0" t="0" r="0" b="0"/>
          <wp:wrapSquare wrapText="bothSides"/>
          <wp:docPr id="9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t xml:space="preserve"> </w:t>
    </w:r>
    <w:r>
      <w:rPr>
        <w:b/>
        <w:color w:val="CD1316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6CDC" w14:textId="77777777" w:rsidR="00F0060D" w:rsidRDefault="00F0060D">
    <w:pPr>
      <w:tabs>
        <w:tab w:val="center" w:pos="4551"/>
        <w:tab w:val="right" w:pos="9090"/>
      </w:tabs>
      <w:spacing w:after="7" w:line="259" w:lineRule="auto"/>
      <w:ind w:right="-1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CD1316"/>
        <w:sz w:val="16"/>
      </w:rPr>
      <w:t>1</w:t>
    </w:r>
    <w:r>
      <w:rPr>
        <w:b/>
        <w:color w:val="CD1316"/>
        <w:sz w:val="16"/>
      </w:rPr>
      <w:fldChar w:fldCharType="end"/>
    </w:r>
    <w:r>
      <w:rPr>
        <w:b/>
        <w:color w:val="CD1316"/>
        <w:sz w:val="16"/>
      </w:rPr>
      <w:t xml:space="preserve"> </w:t>
    </w:r>
    <w:r>
      <w:rPr>
        <w:b/>
        <w:color w:val="CD1316"/>
        <w:sz w:val="16"/>
      </w:rPr>
      <w:tab/>
      <w:t xml:space="preserve"> </w:t>
    </w:r>
    <w:r>
      <w:rPr>
        <w:b/>
        <w:color w:val="CD1316"/>
        <w:sz w:val="16"/>
      </w:rPr>
      <w:tab/>
      <w:t xml:space="preserve">mudk.cz </w:t>
    </w:r>
  </w:p>
  <w:p w14:paraId="002D00F4" w14:textId="77777777" w:rsidR="00F0060D" w:rsidRDefault="00F0060D">
    <w:pPr>
      <w:spacing w:after="0" w:line="259" w:lineRule="auto"/>
      <w:ind w:right="-108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57154" wp14:editId="24699436">
          <wp:simplePos x="0" y="0"/>
          <wp:positionH relativeFrom="page">
            <wp:posOffset>6225540</wp:posOffset>
          </wp:positionH>
          <wp:positionV relativeFrom="page">
            <wp:posOffset>10280485</wp:posOffset>
          </wp:positionV>
          <wp:extent cx="469265" cy="39370"/>
          <wp:effectExtent l="0" t="0" r="0" b="0"/>
          <wp:wrapSquare wrapText="bothSides"/>
          <wp:docPr id="9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t xml:space="preserve"> </w:t>
    </w:r>
    <w:r>
      <w:rPr>
        <w:b/>
        <w:color w:val="CD1316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A089" w14:textId="77777777" w:rsidR="00F0060D" w:rsidRDefault="00F0060D">
    <w:pPr>
      <w:tabs>
        <w:tab w:val="center" w:pos="4551"/>
        <w:tab w:val="right" w:pos="9090"/>
      </w:tabs>
      <w:spacing w:after="7" w:line="259" w:lineRule="auto"/>
      <w:ind w:right="-1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CD1316"/>
        <w:sz w:val="16"/>
      </w:rPr>
      <w:t>1</w:t>
    </w:r>
    <w:r>
      <w:rPr>
        <w:b/>
        <w:color w:val="CD1316"/>
        <w:sz w:val="16"/>
      </w:rPr>
      <w:fldChar w:fldCharType="end"/>
    </w:r>
    <w:r>
      <w:rPr>
        <w:b/>
        <w:color w:val="CD1316"/>
        <w:sz w:val="16"/>
      </w:rPr>
      <w:t xml:space="preserve"> </w:t>
    </w:r>
    <w:r>
      <w:rPr>
        <w:b/>
        <w:color w:val="CD1316"/>
        <w:sz w:val="16"/>
      </w:rPr>
      <w:tab/>
      <w:t xml:space="preserve"> </w:t>
    </w:r>
    <w:r>
      <w:rPr>
        <w:b/>
        <w:color w:val="CD1316"/>
        <w:sz w:val="16"/>
      </w:rPr>
      <w:tab/>
      <w:t xml:space="preserve">mudk.cz </w:t>
    </w:r>
  </w:p>
  <w:p w14:paraId="18169CCF" w14:textId="77777777" w:rsidR="00F0060D" w:rsidRDefault="00F0060D">
    <w:pPr>
      <w:spacing w:after="0" w:line="259" w:lineRule="auto"/>
      <w:ind w:right="-108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A185438" wp14:editId="1263E627">
          <wp:simplePos x="0" y="0"/>
          <wp:positionH relativeFrom="page">
            <wp:posOffset>6225540</wp:posOffset>
          </wp:positionH>
          <wp:positionV relativeFrom="page">
            <wp:posOffset>10280485</wp:posOffset>
          </wp:positionV>
          <wp:extent cx="469265" cy="39370"/>
          <wp:effectExtent l="0" t="0" r="0" b="0"/>
          <wp:wrapSquare wrapText="bothSides"/>
          <wp:docPr id="9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265" cy="39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6"/>
      </w:rPr>
      <w:t xml:space="preserve"> </w:t>
    </w:r>
    <w:r>
      <w:rPr>
        <w:b/>
        <w:sz w:val="16"/>
      </w:rPr>
      <w:tab/>
      <w:t xml:space="preserve"> </w:t>
    </w:r>
    <w:r>
      <w:rPr>
        <w:b/>
        <w:sz w:val="16"/>
      </w:rPr>
      <w:tab/>
    </w:r>
    <w:r>
      <w:t xml:space="preserve"> </w:t>
    </w:r>
    <w:r>
      <w:rPr>
        <w:b/>
        <w:color w:val="CD131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C44C3" w14:textId="77777777" w:rsidR="00D9542C" w:rsidRDefault="00D9542C">
      <w:pPr>
        <w:spacing w:after="0" w:line="240" w:lineRule="auto"/>
      </w:pPr>
      <w:r>
        <w:separator/>
      </w:r>
    </w:p>
  </w:footnote>
  <w:footnote w:type="continuationSeparator" w:id="0">
    <w:p w14:paraId="144F2C17" w14:textId="77777777" w:rsidR="00D9542C" w:rsidRDefault="00D9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82C2" w14:textId="77777777" w:rsidR="00F0060D" w:rsidRDefault="00F0060D">
    <w:pPr>
      <w:spacing w:after="180" w:line="259" w:lineRule="auto"/>
      <w:ind w:right="2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A95D41" wp14:editId="606B4613">
          <wp:simplePos x="0" y="0"/>
          <wp:positionH relativeFrom="page">
            <wp:posOffset>819150</wp:posOffset>
          </wp:positionH>
          <wp:positionV relativeFrom="page">
            <wp:posOffset>489966</wp:posOffset>
          </wp:positionV>
          <wp:extent cx="1685163" cy="521335"/>
          <wp:effectExtent l="0" t="0" r="0" b="0"/>
          <wp:wrapSquare wrapText="bothSides"/>
          <wp:docPr id="9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163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D1316"/>
      </w:rPr>
      <w:t>Č. j. MUDK-ŠKS/64464-2023/</w:t>
    </w:r>
    <w:proofErr w:type="spellStart"/>
    <w:r>
      <w:rPr>
        <w:color w:val="CD1316"/>
      </w:rPr>
      <w:t>jon</w:t>
    </w:r>
    <w:proofErr w:type="spellEnd"/>
    <w:r>
      <w:rPr>
        <w:color w:val="CD1316"/>
      </w:rPr>
      <w:t xml:space="preserve"> 18858/2019 </w:t>
    </w:r>
  </w:p>
  <w:p w14:paraId="772145A2" w14:textId="77777777" w:rsidR="00F0060D" w:rsidRDefault="00F0060D">
    <w:pPr>
      <w:spacing w:after="0" w:line="259" w:lineRule="auto"/>
      <w:ind w:right="-57"/>
      <w:jc w:val="right"/>
    </w:pPr>
    <w:r>
      <w:rPr>
        <w:b/>
        <w:color w:val="CD13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55C6" w14:textId="77777777" w:rsidR="00F0060D" w:rsidRDefault="00F0060D">
    <w:pPr>
      <w:spacing w:after="180" w:line="259" w:lineRule="auto"/>
      <w:ind w:right="29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6C4157" wp14:editId="6A135270">
          <wp:simplePos x="0" y="0"/>
          <wp:positionH relativeFrom="page">
            <wp:posOffset>819150</wp:posOffset>
          </wp:positionH>
          <wp:positionV relativeFrom="page">
            <wp:posOffset>489966</wp:posOffset>
          </wp:positionV>
          <wp:extent cx="1685163" cy="521335"/>
          <wp:effectExtent l="0" t="0" r="0" b="0"/>
          <wp:wrapSquare wrapText="bothSides"/>
          <wp:docPr id="9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163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D1316"/>
      </w:rPr>
      <w:t>Č. j. MUDK-ŠKS/</w:t>
    </w:r>
    <w:r w:rsidR="001074AC">
      <w:rPr>
        <w:color w:val="CD1316"/>
      </w:rPr>
      <w:t>20983</w:t>
    </w:r>
    <w:r>
      <w:rPr>
        <w:color w:val="CD1316"/>
      </w:rPr>
      <w:t>-2024/</w:t>
    </w:r>
    <w:proofErr w:type="spellStart"/>
    <w:r>
      <w:rPr>
        <w:color w:val="CD1316"/>
      </w:rPr>
      <w:t>jon</w:t>
    </w:r>
    <w:proofErr w:type="spellEnd"/>
    <w:r>
      <w:rPr>
        <w:color w:val="CD1316"/>
      </w:rPr>
      <w:t xml:space="preserve"> </w:t>
    </w:r>
    <w:r w:rsidR="001074AC">
      <w:rPr>
        <w:color w:val="CD1316"/>
      </w:rPr>
      <w:t>18858/2019</w:t>
    </w:r>
    <w:r>
      <w:rPr>
        <w:color w:val="CD1316"/>
      </w:rPr>
      <w:t xml:space="preserve"> </w:t>
    </w:r>
  </w:p>
  <w:p w14:paraId="532037F0" w14:textId="77777777" w:rsidR="00F0060D" w:rsidRDefault="00F0060D">
    <w:pPr>
      <w:spacing w:after="0" w:line="259" w:lineRule="auto"/>
      <w:ind w:right="-57"/>
      <w:jc w:val="right"/>
    </w:pPr>
    <w:r>
      <w:rPr>
        <w:b/>
        <w:color w:val="CD13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196AE" w14:textId="77777777" w:rsidR="00F0060D" w:rsidRDefault="00F0060D">
    <w:pPr>
      <w:spacing w:after="180" w:line="259" w:lineRule="auto"/>
      <w:ind w:right="29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167964A" wp14:editId="7DFD50F9">
          <wp:simplePos x="0" y="0"/>
          <wp:positionH relativeFrom="page">
            <wp:posOffset>819150</wp:posOffset>
          </wp:positionH>
          <wp:positionV relativeFrom="page">
            <wp:posOffset>489966</wp:posOffset>
          </wp:positionV>
          <wp:extent cx="1685163" cy="521335"/>
          <wp:effectExtent l="0" t="0" r="0" b="0"/>
          <wp:wrapSquare wrapText="bothSides"/>
          <wp:docPr id="9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163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D1316"/>
      </w:rPr>
      <w:t>Č. j. MUDK-ŠKS/64464-2023/</w:t>
    </w:r>
    <w:proofErr w:type="spellStart"/>
    <w:r>
      <w:rPr>
        <w:color w:val="CD1316"/>
      </w:rPr>
      <w:t>jon</w:t>
    </w:r>
    <w:proofErr w:type="spellEnd"/>
    <w:r>
      <w:rPr>
        <w:color w:val="CD1316"/>
      </w:rPr>
      <w:t xml:space="preserve"> 18858/2019 </w:t>
    </w:r>
  </w:p>
  <w:p w14:paraId="518E541F" w14:textId="77777777" w:rsidR="00F0060D" w:rsidRDefault="00F0060D">
    <w:pPr>
      <w:spacing w:after="0" w:line="259" w:lineRule="auto"/>
      <w:ind w:right="-57"/>
      <w:jc w:val="right"/>
    </w:pPr>
    <w:r>
      <w:rPr>
        <w:b/>
        <w:color w:val="CD13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036"/>
    <w:multiLevelType w:val="hybridMultilevel"/>
    <w:tmpl w:val="BFC2F686"/>
    <w:lvl w:ilvl="0" w:tplc="B888D1DE">
      <w:start w:val="3"/>
      <w:numFmt w:val="decimal"/>
      <w:lvlText w:val="%1."/>
      <w:lvlJc w:val="left"/>
      <w:pPr>
        <w:ind w:left="1810" w:hanging="360"/>
      </w:pPr>
      <w:rPr>
        <w:rFonts w:hint="default"/>
        <w:color w:val="CD1316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30" w:hanging="360"/>
      </w:pPr>
    </w:lvl>
    <w:lvl w:ilvl="2" w:tplc="0405001B" w:tentative="1">
      <w:start w:val="1"/>
      <w:numFmt w:val="lowerRoman"/>
      <w:lvlText w:val="%3."/>
      <w:lvlJc w:val="right"/>
      <w:pPr>
        <w:ind w:left="3250" w:hanging="180"/>
      </w:pPr>
    </w:lvl>
    <w:lvl w:ilvl="3" w:tplc="0405000F" w:tentative="1">
      <w:start w:val="1"/>
      <w:numFmt w:val="decimal"/>
      <w:lvlText w:val="%4."/>
      <w:lvlJc w:val="left"/>
      <w:pPr>
        <w:ind w:left="3970" w:hanging="360"/>
      </w:pPr>
    </w:lvl>
    <w:lvl w:ilvl="4" w:tplc="04050019" w:tentative="1">
      <w:start w:val="1"/>
      <w:numFmt w:val="lowerLetter"/>
      <w:lvlText w:val="%5."/>
      <w:lvlJc w:val="left"/>
      <w:pPr>
        <w:ind w:left="4690" w:hanging="360"/>
      </w:pPr>
    </w:lvl>
    <w:lvl w:ilvl="5" w:tplc="0405001B" w:tentative="1">
      <w:start w:val="1"/>
      <w:numFmt w:val="lowerRoman"/>
      <w:lvlText w:val="%6."/>
      <w:lvlJc w:val="right"/>
      <w:pPr>
        <w:ind w:left="5410" w:hanging="180"/>
      </w:pPr>
    </w:lvl>
    <w:lvl w:ilvl="6" w:tplc="0405000F" w:tentative="1">
      <w:start w:val="1"/>
      <w:numFmt w:val="decimal"/>
      <w:lvlText w:val="%7."/>
      <w:lvlJc w:val="left"/>
      <w:pPr>
        <w:ind w:left="6130" w:hanging="360"/>
      </w:pPr>
    </w:lvl>
    <w:lvl w:ilvl="7" w:tplc="04050019" w:tentative="1">
      <w:start w:val="1"/>
      <w:numFmt w:val="lowerLetter"/>
      <w:lvlText w:val="%8."/>
      <w:lvlJc w:val="left"/>
      <w:pPr>
        <w:ind w:left="6850" w:hanging="360"/>
      </w:pPr>
    </w:lvl>
    <w:lvl w:ilvl="8" w:tplc="0405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" w15:restartNumberingAfterBreak="0">
    <w:nsid w:val="0AC42049"/>
    <w:multiLevelType w:val="hybridMultilevel"/>
    <w:tmpl w:val="7B68A698"/>
    <w:lvl w:ilvl="0" w:tplc="A62A38E0">
      <w:start w:val="1"/>
      <w:numFmt w:val="lowerLetter"/>
      <w:lvlText w:val="%1)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4CBB4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2F2C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223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003D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AF1D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6EA96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63DA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43AB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C475C"/>
    <w:multiLevelType w:val="hybridMultilevel"/>
    <w:tmpl w:val="9D10E248"/>
    <w:lvl w:ilvl="0" w:tplc="A7AE5CE4">
      <w:start w:val="1"/>
      <w:numFmt w:val="lowerLetter"/>
      <w:lvlText w:val="%1)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F8D064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0049E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6F034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EA25C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225E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BED904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CED2E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10CFCE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6201E"/>
    <w:multiLevelType w:val="hybridMultilevel"/>
    <w:tmpl w:val="CC684FE2"/>
    <w:lvl w:ilvl="0" w:tplc="FE9C663A">
      <w:start w:val="1"/>
      <w:numFmt w:val="lowerLetter"/>
      <w:lvlText w:val="%1)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07DAC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B68BD6">
      <w:start w:val="1"/>
      <w:numFmt w:val="bullet"/>
      <w:lvlText w:val="▪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24A8C">
      <w:start w:val="1"/>
      <w:numFmt w:val="bullet"/>
      <w:lvlText w:val="•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45C7C">
      <w:start w:val="1"/>
      <w:numFmt w:val="bullet"/>
      <w:lvlText w:val="o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68FCC">
      <w:start w:val="1"/>
      <w:numFmt w:val="bullet"/>
      <w:lvlText w:val="▪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CB05C">
      <w:start w:val="1"/>
      <w:numFmt w:val="bullet"/>
      <w:lvlText w:val="•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60B98">
      <w:start w:val="1"/>
      <w:numFmt w:val="bullet"/>
      <w:lvlText w:val="o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94E718">
      <w:start w:val="1"/>
      <w:numFmt w:val="bullet"/>
      <w:lvlText w:val="▪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2750C"/>
    <w:multiLevelType w:val="hybridMultilevel"/>
    <w:tmpl w:val="529E1200"/>
    <w:lvl w:ilvl="0" w:tplc="FCD03DB4">
      <w:start w:val="1"/>
      <w:numFmt w:val="lowerLetter"/>
      <w:lvlText w:val="%1)"/>
      <w:lvlJc w:val="left"/>
      <w:pPr>
        <w:ind w:left="4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0E5C4">
      <w:start w:val="1"/>
      <w:numFmt w:val="lowerLetter"/>
      <w:lvlText w:val="%2"/>
      <w:lvlJc w:val="left"/>
      <w:pPr>
        <w:ind w:left="11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6581C">
      <w:start w:val="1"/>
      <w:numFmt w:val="lowerRoman"/>
      <w:lvlText w:val="%3"/>
      <w:lvlJc w:val="left"/>
      <w:pPr>
        <w:ind w:left="18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544A70">
      <w:start w:val="1"/>
      <w:numFmt w:val="decimal"/>
      <w:lvlText w:val="%4"/>
      <w:lvlJc w:val="left"/>
      <w:pPr>
        <w:ind w:left="26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CA752">
      <w:start w:val="1"/>
      <w:numFmt w:val="lowerLetter"/>
      <w:lvlText w:val="%5"/>
      <w:lvlJc w:val="left"/>
      <w:pPr>
        <w:ind w:left="33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7A1356">
      <w:start w:val="1"/>
      <w:numFmt w:val="lowerRoman"/>
      <w:lvlText w:val="%6"/>
      <w:lvlJc w:val="left"/>
      <w:pPr>
        <w:ind w:left="40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A9524">
      <w:start w:val="1"/>
      <w:numFmt w:val="decimal"/>
      <w:lvlText w:val="%7"/>
      <w:lvlJc w:val="left"/>
      <w:pPr>
        <w:ind w:left="47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2C85A">
      <w:start w:val="1"/>
      <w:numFmt w:val="lowerLetter"/>
      <w:lvlText w:val="%8"/>
      <w:lvlJc w:val="left"/>
      <w:pPr>
        <w:ind w:left="54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6CE6">
      <w:start w:val="1"/>
      <w:numFmt w:val="lowerRoman"/>
      <w:lvlText w:val="%9"/>
      <w:lvlJc w:val="left"/>
      <w:pPr>
        <w:ind w:left="62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5B33E7"/>
    <w:multiLevelType w:val="hybridMultilevel"/>
    <w:tmpl w:val="AAD2CC2C"/>
    <w:lvl w:ilvl="0" w:tplc="3B64E7A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2CA00E">
      <w:start w:val="2"/>
      <w:numFmt w:val="decimal"/>
      <w:lvlText w:val="%2."/>
      <w:lvlJc w:val="left"/>
      <w:pPr>
        <w:ind w:left="1090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13F8">
      <w:start w:val="1"/>
      <w:numFmt w:val="lowerRoman"/>
      <w:lvlText w:val="%3"/>
      <w:lvlJc w:val="left"/>
      <w:pPr>
        <w:ind w:left="511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61522">
      <w:start w:val="1"/>
      <w:numFmt w:val="decimal"/>
      <w:lvlText w:val="%4"/>
      <w:lvlJc w:val="left"/>
      <w:pPr>
        <w:ind w:left="583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865E8">
      <w:start w:val="1"/>
      <w:numFmt w:val="lowerLetter"/>
      <w:lvlText w:val="%5"/>
      <w:lvlJc w:val="left"/>
      <w:pPr>
        <w:ind w:left="655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0852E">
      <w:start w:val="1"/>
      <w:numFmt w:val="lowerRoman"/>
      <w:lvlText w:val="%6"/>
      <w:lvlJc w:val="left"/>
      <w:pPr>
        <w:ind w:left="727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C9520">
      <w:start w:val="1"/>
      <w:numFmt w:val="decimal"/>
      <w:lvlText w:val="%7"/>
      <w:lvlJc w:val="left"/>
      <w:pPr>
        <w:ind w:left="799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6094E">
      <w:start w:val="1"/>
      <w:numFmt w:val="lowerLetter"/>
      <w:lvlText w:val="%8"/>
      <w:lvlJc w:val="left"/>
      <w:pPr>
        <w:ind w:left="871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C5924">
      <w:start w:val="1"/>
      <w:numFmt w:val="lowerRoman"/>
      <w:lvlText w:val="%9"/>
      <w:lvlJc w:val="left"/>
      <w:pPr>
        <w:ind w:left="9431"/>
      </w:pPr>
      <w:rPr>
        <w:rFonts w:ascii="Tahoma" w:eastAsia="Tahoma" w:hAnsi="Tahoma" w:cs="Tahoma"/>
        <w:b w:val="0"/>
        <w:i w:val="0"/>
        <w:strike w:val="0"/>
        <w:dstrike w:val="0"/>
        <w:color w:val="CD131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5C3C86"/>
    <w:multiLevelType w:val="hybridMultilevel"/>
    <w:tmpl w:val="5F326A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3566"/>
    <w:multiLevelType w:val="hybridMultilevel"/>
    <w:tmpl w:val="9FE822F0"/>
    <w:lvl w:ilvl="0" w:tplc="C1A43A12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80618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2633A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7AE480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CF11A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C61AE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B0564E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CFD6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A8A4A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C536B8"/>
    <w:multiLevelType w:val="hybridMultilevel"/>
    <w:tmpl w:val="C25E36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9028A"/>
    <w:multiLevelType w:val="hybridMultilevel"/>
    <w:tmpl w:val="9EC20A2C"/>
    <w:lvl w:ilvl="0" w:tplc="8F867D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5122A"/>
    <w:multiLevelType w:val="hybridMultilevel"/>
    <w:tmpl w:val="289665FA"/>
    <w:lvl w:ilvl="0" w:tplc="B2282488">
      <w:start w:val="1"/>
      <w:numFmt w:val="lowerLetter"/>
      <w:lvlText w:val="%1)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036F6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8007F6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ADF52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AAB38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BC22F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A79B8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E4C18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AC602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2811B3"/>
    <w:multiLevelType w:val="hybridMultilevel"/>
    <w:tmpl w:val="3CC49B08"/>
    <w:lvl w:ilvl="0" w:tplc="3AC6328A">
      <w:start w:val="3"/>
      <w:numFmt w:val="decimal"/>
      <w:lvlText w:val="%1."/>
      <w:lvlJc w:val="left"/>
      <w:pPr>
        <w:ind w:left="1450" w:hanging="360"/>
      </w:pPr>
      <w:rPr>
        <w:rFonts w:hint="default"/>
        <w:color w:val="CD1316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70" w:hanging="360"/>
      </w:pPr>
    </w:lvl>
    <w:lvl w:ilvl="2" w:tplc="0405001B" w:tentative="1">
      <w:start w:val="1"/>
      <w:numFmt w:val="lowerRoman"/>
      <w:lvlText w:val="%3."/>
      <w:lvlJc w:val="right"/>
      <w:pPr>
        <w:ind w:left="2890" w:hanging="180"/>
      </w:pPr>
    </w:lvl>
    <w:lvl w:ilvl="3" w:tplc="0405000F" w:tentative="1">
      <w:start w:val="1"/>
      <w:numFmt w:val="decimal"/>
      <w:lvlText w:val="%4."/>
      <w:lvlJc w:val="left"/>
      <w:pPr>
        <w:ind w:left="3610" w:hanging="360"/>
      </w:pPr>
    </w:lvl>
    <w:lvl w:ilvl="4" w:tplc="04050019" w:tentative="1">
      <w:start w:val="1"/>
      <w:numFmt w:val="lowerLetter"/>
      <w:lvlText w:val="%5."/>
      <w:lvlJc w:val="left"/>
      <w:pPr>
        <w:ind w:left="4330" w:hanging="360"/>
      </w:pPr>
    </w:lvl>
    <w:lvl w:ilvl="5" w:tplc="0405001B" w:tentative="1">
      <w:start w:val="1"/>
      <w:numFmt w:val="lowerRoman"/>
      <w:lvlText w:val="%6."/>
      <w:lvlJc w:val="right"/>
      <w:pPr>
        <w:ind w:left="5050" w:hanging="180"/>
      </w:pPr>
    </w:lvl>
    <w:lvl w:ilvl="6" w:tplc="0405000F" w:tentative="1">
      <w:start w:val="1"/>
      <w:numFmt w:val="decimal"/>
      <w:lvlText w:val="%7."/>
      <w:lvlJc w:val="left"/>
      <w:pPr>
        <w:ind w:left="5770" w:hanging="360"/>
      </w:pPr>
    </w:lvl>
    <w:lvl w:ilvl="7" w:tplc="04050019" w:tentative="1">
      <w:start w:val="1"/>
      <w:numFmt w:val="lowerLetter"/>
      <w:lvlText w:val="%8."/>
      <w:lvlJc w:val="left"/>
      <w:pPr>
        <w:ind w:left="6490" w:hanging="360"/>
      </w:pPr>
    </w:lvl>
    <w:lvl w:ilvl="8" w:tplc="040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2" w15:restartNumberingAfterBreak="0">
    <w:nsid w:val="6F3E6D39"/>
    <w:multiLevelType w:val="hybridMultilevel"/>
    <w:tmpl w:val="C4EAED22"/>
    <w:lvl w:ilvl="0" w:tplc="A13AB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33320"/>
    <w:multiLevelType w:val="hybridMultilevel"/>
    <w:tmpl w:val="3DC8ADA4"/>
    <w:lvl w:ilvl="0" w:tplc="1EA4C934">
      <w:start w:val="1"/>
      <w:numFmt w:val="lowerLetter"/>
      <w:lvlText w:val="%1)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275B2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9AB4CE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CADAEE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887C0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EB58C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C2E2D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057EC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30773A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07"/>
    <w:rsid w:val="001074AC"/>
    <w:rsid w:val="0011029D"/>
    <w:rsid w:val="00176BB1"/>
    <w:rsid w:val="001C13A6"/>
    <w:rsid w:val="001D3733"/>
    <w:rsid w:val="002A677C"/>
    <w:rsid w:val="002B608C"/>
    <w:rsid w:val="003257E1"/>
    <w:rsid w:val="00335DEC"/>
    <w:rsid w:val="00384253"/>
    <w:rsid w:val="00393607"/>
    <w:rsid w:val="003A2393"/>
    <w:rsid w:val="003A583D"/>
    <w:rsid w:val="003B5814"/>
    <w:rsid w:val="003C0FB3"/>
    <w:rsid w:val="004469A7"/>
    <w:rsid w:val="004F210D"/>
    <w:rsid w:val="00545F2B"/>
    <w:rsid w:val="005C14C4"/>
    <w:rsid w:val="005C3B4D"/>
    <w:rsid w:val="006E50AF"/>
    <w:rsid w:val="007205E4"/>
    <w:rsid w:val="00811F3F"/>
    <w:rsid w:val="008C5B93"/>
    <w:rsid w:val="00954BD0"/>
    <w:rsid w:val="009F20E0"/>
    <w:rsid w:val="00A70C7D"/>
    <w:rsid w:val="00AA4396"/>
    <w:rsid w:val="00B52F81"/>
    <w:rsid w:val="00B5598E"/>
    <w:rsid w:val="00B627EB"/>
    <w:rsid w:val="00B80607"/>
    <w:rsid w:val="00BB1F3B"/>
    <w:rsid w:val="00CB4226"/>
    <w:rsid w:val="00CB5822"/>
    <w:rsid w:val="00CE32DB"/>
    <w:rsid w:val="00D9542C"/>
    <w:rsid w:val="00E40DE5"/>
    <w:rsid w:val="00ED4F35"/>
    <w:rsid w:val="00F0060D"/>
    <w:rsid w:val="00F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2229"/>
  <w15:docId w15:val="{335EDFE9-3E8E-4BEC-82D6-8A62593F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9" w:line="249" w:lineRule="auto"/>
      <w:ind w:right="13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9"/>
      <w:ind w:left="380" w:hanging="10"/>
      <w:jc w:val="center"/>
      <w:outlineLvl w:val="0"/>
    </w:pPr>
    <w:rPr>
      <w:rFonts w:ascii="Tahoma" w:eastAsia="Tahoma" w:hAnsi="Tahoma" w:cs="Tahoma"/>
      <w:color w:val="CD1316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36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color w:val="CD131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2">
    <w:name w:val="Body Text 2"/>
    <w:basedOn w:val="Normln"/>
    <w:link w:val="Zkladntext2Char"/>
    <w:rsid w:val="003B5814"/>
    <w:pPr>
      <w:spacing w:after="0" w:line="240" w:lineRule="auto"/>
      <w:ind w:right="0"/>
    </w:pPr>
    <w:rPr>
      <w:rFonts w:ascii="Times New Roman" w:eastAsia="Times New Roman" w:hAnsi="Times New Roman" w:cs="Times New Roman"/>
      <w:color w:val="FF66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3B5814"/>
    <w:rPr>
      <w:rFonts w:ascii="Times New Roman" w:eastAsia="Times New Roman" w:hAnsi="Times New Roman" w:cs="Times New Roman"/>
      <w:color w:val="FF66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36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559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C7D"/>
    <w:rPr>
      <w:rFonts w:ascii="Segoe UI" w:eastAsia="Tahoma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F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F3B"/>
    <w:rPr>
      <w:rFonts w:ascii="Tahoma" w:eastAsia="Tahoma" w:hAnsi="Tahoma" w:cs="Tahoma"/>
      <w:color w:val="000000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1F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1F3B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Pištorová Kateřina, Bc.</dc:creator>
  <cp:keywords/>
  <cp:lastModifiedBy>Jonová Kamila</cp:lastModifiedBy>
  <cp:revision>2</cp:revision>
  <cp:lastPrinted>2024-03-22T11:52:00Z</cp:lastPrinted>
  <dcterms:created xsi:type="dcterms:W3CDTF">2024-04-30T07:29:00Z</dcterms:created>
  <dcterms:modified xsi:type="dcterms:W3CDTF">2024-04-30T07:29:00Z</dcterms:modified>
</cp:coreProperties>
</file>