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7D52" w14:textId="77777777" w:rsidR="00D31C8F" w:rsidRPr="0084229F" w:rsidRDefault="00D31C8F" w:rsidP="00D31C8F">
      <w:pPr>
        <w:jc w:val="center"/>
        <w:rPr>
          <w:b/>
          <w:sz w:val="32"/>
          <w:szCs w:val="32"/>
        </w:rPr>
      </w:pPr>
      <w:r w:rsidRPr="0084229F">
        <w:rPr>
          <w:b/>
          <w:sz w:val="32"/>
          <w:szCs w:val="32"/>
        </w:rPr>
        <w:t xml:space="preserve">KUPNÍ  SMLOUVA </w:t>
      </w:r>
    </w:p>
    <w:p w14:paraId="1FAA7D53" w14:textId="77777777" w:rsidR="00833A88" w:rsidRPr="00833A88" w:rsidRDefault="00833A88" w:rsidP="00833A88">
      <w:pPr>
        <w:jc w:val="center"/>
      </w:pPr>
      <w:r w:rsidRPr="00833A88">
        <w:t>uzavřená podle ust. § 2079 a násl. zákona č. 89/2012 Sb., občanský zákoník</w:t>
      </w:r>
      <w:r w:rsidR="00BE7471">
        <w:t>, ve znění pozdějších předpisů</w:t>
      </w:r>
      <w:r w:rsidRPr="00833A88">
        <w:t xml:space="preserve"> </w:t>
      </w:r>
    </w:p>
    <w:p w14:paraId="1FAA7D54" w14:textId="77777777" w:rsidR="00ED288D" w:rsidRPr="00833A88" w:rsidRDefault="00ED288D" w:rsidP="00D31C8F"/>
    <w:p w14:paraId="25836644" w14:textId="142AB9E2" w:rsidR="0057175F" w:rsidRDefault="00FA5B35" w:rsidP="00BE7471">
      <w:pPr>
        <w:jc w:val="both"/>
      </w:pPr>
      <w:bookmarkStart w:id="0" w:name="_Hlk70515363"/>
      <w:r>
        <w:rPr>
          <w:b/>
          <w:bCs/>
        </w:rPr>
        <w:t>Jitka Poláčková</w:t>
      </w:r>
      <w:r>
        <w:t xml:space="preserve">, nar. </w:t>
      </w:r>
      <w:r w:rsidR="00471A95">
        <w:t xml:space="preserve">xxxxx </w:t>
      </w:r>
      <w:r w:rsidR="00AD6AA7">
        <w:t>1974</w:t>
      </w:r>
    </w:p>
    <w:p w14:paraId="10846C0F" w14:textId="0BB99970" w:rsidR="00AD6AA7" w:rsidRDefault="00AD6AA7" w:rsidP="00BE7471">
      <w:pPr>
        <w:jc w:val="both"/>
      </w:pPr>
      <w:r>
        <w:t xml:space="preserve">bytem </w:t>
      </w:r>
      <w:r w:rsidR="00471A95">
        <w:t>xxxxx</w:t>
      </w:r>
      <w:r w:rsidR="002A7A90">
        <w:t xml:space="preserve"> Olomouc</w:t>
      </w:r>
    </w:p>
    <w:p w14:paraId="2DB96B7F" w14:textId="77777777" w:rsidR="002A7A90" w:rsidRDefault="002A7A90" w:rsidP="00BE7471">
      <w:pPr>
        <w:jc w:val="both"/>
      </w:pPr>
    </w:p>
    <w:p w14:paraId="511FE439" w14:textId="423FE744" w:rsidR="002A7A90" w:rsidRDefault="007248BD" w:rsidP="00BE7471">
      <w:pPr>
        <w:jc w:val="both"/>
      </w:pPr>
      <w:r>
        <w:rPr>
          <w:b/>
          <w:bCs/>
        </w:rPr>
        <w:t>Ing. Marta Tomigová</w:t>
      </w:r>
      <w:r>
        <w:t xml:space="preserve">, nar. </w:t>
      </w:r>
      <w:r w:rsidR="00471A95">
        <w:t xml:space="preserve">xxxxx </w:t>
      </w:r>
      <w:r w:rsidR="00C4566E">
        <w:t>1967</w:t>
      </w:r>
    </w:p>
    <w:p w14:paraId="0F925206" w14:textId="13F163EF" w:rsidR="00C4566E" w:rsidRDefault="00C4566E" w:rsidP="00BE7471">
      <w:pPr>
        <w:jc w:val="both"/>
      </w:pPr>
      <w:r>
        <w:t xml:space="preserve">bytem </w:t>
      </w:r>
      <w:r w:rsidR="00471A95">
        <w:t>xxxxx</w:t>
      </w:r>
      <w:r w:rsidR="00C82EC6">
        <w:t xml:space="preserve"> Stará Ves</w:t>
      </w:r>
    </w:p>
    <w:p w14:paraId="5A20D717" w14:textId="77777777" w:rsidR="00C82EC6" w:rsidRDefault="00C82EC6" w:rsidP="00BE7471">
      <w:pPr>
        <w:jc w:val="both"/>
      </w:pPr>
    </w:p>
    <w:p w14:paraId="47025861" w14:textId="3041A219" w:rsidR="00C82EC6" w:rsidRDefault="00C82EC6" w:rsidP="00BE7471">
      <w:pPr>
        <w:jc w:val="both"/>
      </w:pPr>
      <w:r>
        <w:rPr>
          <w:b/>
          <w:bCs/>
        </w:rPr>
        <w:t>Václav Urban</w:t>
      </w:r>
      <w:r>
        <w:t xml:space="preserve">, nar. </w:t>
      </w:r>
      <w:r w:rsidR="00000ABD">
        <w:t xml:space="preserve">xxxxx </w:t>
      </w:r>
      <w:r w:rsidR="00A91102">
        <w:t>1972</w:t>
      </w:r>
    </w:p>
    <w:p w14:paraId="21BD40A7" w14:textId="43A85DCE" w:rsidR="00A91102" w:rsidRPr="00C82EC6" w:rsidRDefault="00A91102" w:rsidP="00BE7471">
      <w:pPr>
        <w:jc w:val="both"/>
      </w:pPr>
      <w:r>
        <w:t xml:space="preserve">bytem </w:t>
      </w:r>
      <w:r w:rsidR="00000ABD">
        <w:t>xxxxx</w:t>
      </w:r>
      <w:r w:rsidR="00081C8D">
        <w:t xml:space="preserve"> Brno</w:t>
      </w:r>
      <w:r>
        <w:t xml:space="preserve"> </w:t>
      </w:r>
    </w:p>
    <w:p w14:paraId="6BF17B22" w14:textId="77777777" w:rsidR="0057175F" w:rsidRDefault="0057175F" w:rsidP="00BE7471">
      <w:pPr>
        <w:jc w:val="both"/>
      </w:pPr>
    </w:p>
    <w:p w14:paraId="3CACCA90" w14:textId="1A17476D" w:rsidR="00686762" w:rsidRPr="00BE7471" w:rsidRDefault="00686762" w:rsidP="00BE7471">
      <w:pPr>
        <w:jc w:val="both"/>
        <w:rPr>
          <w:color w:val="000000"/>
        </w:rPr>
      </w:pPr>
      <w:r>
        <w:t xml:space="preserve">(dále </w:t>
      </w:r>
      <w:r w:rsidR="00081C8D">
        <w:t xml:space="preserve">všichni </w:t>
      </w:r>
      <w:r w:rsidR="00613315">
        <w:t xml:space="preserve">jako </w:t>
      </w:r>
      <w:r w:rsidR="00613315" w:rsidRPr="007B6209">
        <w:t>„</w:t>
      </w:r>
      <w:r w:rsidR="00613315" w:rsidRPr="007B6209">
        <w:rPr>
          <w:i/>
          <w:iCs/>
        </w:rPr>
        <w:t>prodávající</w:t>
      </w:r>
      <w:r w:rsidR="007B6209" w:rsidRPr="007B6209">
        <w:t>“</w:t>
      </w:r>
      <w:r w:rsidR="00613315">
        <w:t>)</w:t>
      </w:r>
    </w:p>
    <w:bookmarkEnd w:id="0"/>
    <w:p w14:paraId="1FAA7D5A" w14:textId="77777777" w:rsidR="00D31C8F" w:rsidRDefault="00D31C8F" w:rsidP="00D31C8F"/>
    <w:p w14:paraId="1FAA7D5B" w14:textId="77777777" w:rsidR="00D31C8F" w:rsidRDefault="00D31C8F" w:rsidP="00D31C8F">
      <w:r>
        <w:t>a</w:t>
      </w:r>
    </w:p>
    <w:p w14:paraId="383D3892" w14:textId="77777777" w:rsidR="003A463F" w:rsidRDefault="003A463F" w:rsidP="00BE7471"/>
    <w:p w14:paraId="5C55D017" w14:textId="77777777" w:rsidR="00016C02" w:rsidRDefault="00016C02" w:rsidP="00016C02">
      <w:r>
        <w:rPr>
          <w:b/>
        </w:rPr>
        <w:t>Statutární město Přerov</w:t>
      </w:r>
      <w:r>
        <w:t xml:space="preserve"> </w:t>
      </w:r>
    </w:p>
    <w:p w14:paraId="631CF36C" w14:textId="77777777" w:rsidR="00016C02" w:rsidRDefault="00016C02" w:rsidP="00016C02">
      <w:r>
        <w:t>IČ 00301825</w:t>
      </w:r>
    </w:p>
    <w:p w14:paraId="68B353BE" w14:textId="77777777" w:rsidR="00016C02" w:rsidRDefault="00016C02" w:rsidP="00016C02">
      <w:r>
        <w:t>DIČ CZ00301825</w:t>
      </w:r>
    </w:p>
    <w:p w14:paraId="42A0943D" w14:textId="77777777" w:rsidR="00016C02" w:rsidRDefault="00016C02" w:rsidP="00016C02">
      <w:r>
        <w:t xml:space="preserve">se sídlem Bratrská 709/34, Přerov I-Město, 750 02 Přerov </w:t>
      </w:r>
    </w:p>
    <w:p w14:paraId="2563B770" w14:textId="36C40CC2" w:rsidR="00016C02" w:rsidRPr="00016C02" w:rsidRDefault="00016C02" w:rsidP="00016C02">
      <w:pPr>
        <w:jc w:val="both"/>
        <w:rPr>
          <w:color w:val="000000"/>
        </w:rPr>
      </w:pPr>
      <w:r w:rsidRPr="00BE7471">
        <w:rPr>
          <w:color w:val="000000"/>
        </w:rPr>
        <w:t xml:space="preserve">zastoupené </w:t>
      </w:r>
      <w:r>
        <w:rPr>
          <w:color w:val="000000"/>
        </w:rPr>
        <w:t xml:space="preserve">Ing. Miloslavem Dohnalem, náměstkem primátora </w:t>
      </w:r>
    </w:p>
    <w:p w14:paraId="1FAA7D62" w14:textId="77777777" w:rsidR="000B3799" w:rsidRPr="000B3799" w:rsidRDefault="000B3799" w:rsidP="009C237A">
      <w:r>
        <w:t>(dále j</w:t>
      </w:r>
      <w:r w:rsidR="00663964">
        <w:t>ako</w:t>
      </w:r>
      <w:r>
        <w:t xml:space="preserve"> „</w:t>
      </w:r>
      <w:r w:rsidRPr="007406EB">
        <w:rPr>
          <w:i/>
        </w:rPr>
        <w:t>kupující</w:t>
      </w:r>
      <w:r>
        <w:t>“)</w:t>
      </w:r>
    </w:p>
    <w:p w14:paraId="4C991F44" w14:textId="77777777" w:rsidR="00641984" w:rsidRDefault="00641984" w:rsidP="00D31C8F"/>
    <w:p w14:paraId="2EAB6415" w14:textId="69D24B3B" w:rsidR="00641984" w:rsidRDefault="00D31C8F" w:rsidP="00641984">
      <w:r>
        <w:t xml:space="preserve">uzavírají dnešního dne následující </w:t>
      </w:r>
    </w:p>
    <w:p w14:paraId="439D161D" w14:textId="77777777" w:rsidR="00641984" w:rsidRPr="00641984" w:rsidRDefault="00641984" w:rsidP="00641984"/>
    <w:p w14:paraId="1FAA7D66" w14:textId="29514AB2" w:rsidR="00412FB1" w:rsidRDefault="00D31C8F" w:rsidP="00D31C8F">
      <w:pPr>
        <w:jc w:val="center"/>
        <w:rPr>
          <w:b/>
        </w:rPr>
      </w:pPr>
      <w:r w:rsidRPr="0084229F">
        <w:rPr>
          <w:b/>
          <w:sz w:val="28"/>
          <w:szCs w:val="28"/>
        </w:rPr>
        <w:t>k</w:t>
      </w:r>
      <w:r w:rsidR="00C038F7">
        <w:rPr>
          <w:b/>
          <w:sz w:val="28"/>
          <w:szCs w:val="28"/>
        </w:rPr>
        <w:t> </w:t>
      </w:r>
      <w:r w:rsidRPr="0084229F">
        <w:rPr>
          <w:b/>
          <w:sz w:val="28"/>
          <w:szCs w:val="28"/>
        </w:rPr>
        <w:t>u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p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n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 xml:space="preserve">í </w:t>
      </w:r>
      <w:r w:rsidR="00C038F7">
        <w:rPr>
          <w:b/>
          <w:sz w:val="28"/>
          <w:szCs w:val="28"/>
        </w:rPr>
        <w:t xml:space="preserve">   </w:t>
      </w:r>
      <w:r w:rsidRPr="0084229F">
        <w:rPr>
          <w:b/>
          <w:sz w:val="28"/>
          <w:szCs w:val="28"/>
        </w:rPr>
        <w:t>s</w:t>
      </w:r>
      <w:r w:rsidR="00C038F7">
        <w:rPr>
          <w:b/>
          <w:sz w:val="28"/>
          <w:szCs w:val="28"/>
        </w:rPr>
        <w:t> </w:t>
      </w:r>
      <w:r w:rsidRPr="0084229F">
        <w:rPr>
          <w:b/>
          <w:sz w:val="28"/>
          <w:szCs w:val="28"/>
        </w:rPr>
        <w:t>m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l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o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u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v</w:t>
      </w:r>
      <w:r w:rsidR="00C038F7">
        <w:rPr>
          <w:b/>
          <w:sz w:val="28"/>
          <w:szCs w:val="28"/>
        </w:rPr>
        <w:t xml:space="preserve"> </w:t>
      </w:r>
      <w:r w:rsidRPr="0084229F">
        <w:rPr>
          <w:b/>
          <w:sz w:val="28"/>
          <w:szCs w:val="28"/>
        </w:rPr>
        <w:t>u</w:t>
      </w:r>
      <w:r>
        <w:rPr>
          <w:b/>
        </w:rPr>
        <w:t>:</w:t>
      </w:r>
    </w:p>
    <w:p w14:paraId="1FAA7D67" w14:textId="35CFA781" w:rsidR="00780803" w:rsidRDefault="00780803" w:rsidP="00D31C8F">
      <w:pPr>
        <w:jc w:val="center"/>
        <w:rPr>
          <w:b/>
        </w:rPr>
      </w:pPr>
    </w:p>
    <w:p w14:paraId="7A59DEF2" w14:textId="77777777" w:rsidR="008873AF" w:rsidRDefault="008873AF" w:rsidP="00D31C8F">
      <w:pPr>
        <w:jc w:val="center"/>
        <w:rPr>
          <w:b/>
        </w:rPr>
      </w:pPr>
    </w:p>
    <w:p w14:paraId="1FAA7D68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</w:p>
    <w:p w14:paraId="1FAA7D69" w14:textId="77777777" w:rsidR="00C038F7" w:rsidRDefault="00C038F7" w:rsidP="00212395">
      <w:pPr>
        <w:spacing w:after="240"/>
        <w:jc w:val="center"/>
        <w:rPr>
          <w:b/>
        </w:rPr>
      </w:pPr>
      <w:r>
        <w:rPr>
          <w:b/>
        </w:rPr>
        <w:t>Úvodní ustanovení</w:t>
      </w:r>
    </w:p>
    <w:p w14:paraId="7DBE3835" w14:textId="7CA83C7A" w:rsidR="00704484" w:rsidRPr="00C45C03" w:rsidRDefault="00D34C36" w:rsidP="00A03FE5">
      <w:pPr>
        <w:jc w:val="both"/>
      </w:pPr>
      <w:r w:rsidRPr="00C45C03">
        <w:t>Prodávající prohlašuj</w:t>
      </w:r>
      <w:r w:rsidR="00683926" w:rsidRPr="00C45C03">
        <w:t>í</w:t>
      </w:r>
      <w:r w:rsidRPr="00C45C03">
        <w:t>, že j</w:t>
      </w:r>
      <w:r w:rsidR="00AC0304" w:rsidRPr="00C45C03">
        <w:t xml:space="preserve">sou </w:t>
      </w:r>
      <w:r w:rsidRPr="00C45C03">
        <w:t>zapsán</w:t>
      </w:r>
      <w:r w:rsidR="00AC0304" w:rsidRPr="00C45C03">
        <w:t>i</w:t>
      </w:r>
      <w:r w:rsidRPr="00C45C03">
        <w:t xml:space="preserve"> v katastru nemovitostí vedeném Katastrálním úřadem pro Olomoucký kraj, </w:t>
      </w:r>
      <w:r w:rsidR="00733B52" w:rsidRPr="00C45C03">
        <w:t>K</w:t>
      </w:r>
      <w:r w:rsidRPr="00C45C03">
        <w:t xml:space="preserve">atastrální pracoviště Přerov, na LV č. </w:t>
      </w:r>
      <w:r w:rsidR="00733B52" w:rsidRPr="00C45C03">
        <w:t>95</w:t>
      </w:r>
      <w:r w:rsidR="00316D5B" w:rsidRPr="00C45C03">
        <w:t>44</w:t>
      </w:r>
      <w:r w:rsidR="00BE6489" w:rsidRPr="00C45C03">
        <w:t xml:space="preserve"> a č. 4671</w:t>
      </w:r>
      <w:r w:rsidR="003F2635" w:rsidRPr="00C45C03">
        <w:t xml:space="preserve"> </w:t>
      </w:r>
      <w:r w:rsidR="00C16CEC" w:rsidRPr="00C45C03">
        <w:t>jako vlastníci</w:t>
      </w:r>
      <w:r w:rsidR="00704484" w:rsidRPr="00C45C03">
        <w:t xml:space="preserve">: </w:t>
      </w:r>
      <w:r w:rsidR="00C16CEC" w:rsidRPr="00C45C03">
        <w:t xml:space="preserve"> </w:t>
      </w:r>
    </w:p>
    <w:p w14:paraId="6F63AEF3" w14:textId="42F14623" w:rsidR="00704484" w:rsidRPr="00C45C03" w:rsidRDefault="00BC5081" w:rsidP="00A03FE5">
      <w:pPr>
        <w:jc w:val="both"/>
      </w:pPr>
      <w:r w:rsidRPr="00C45C03">
        <w:t xml:space="preserve">- </w:t>
      </w:r>
      <w:r w:rsidR="00ED5346" w:rsidRPr="00C45C03">
        <w:t>bytové jednotky č. 2506/4</w:t>
      </w:r>
      <w:r w:rsidR="00A25538" w:rsidRPr="00C45C03">
        <w:t xml:space="preserve">, když každý je vlastníkem </w:t>
      </w:r>
      <w:r w:rsidR="003E2B70" w:rsidRPr="00C45C03">
        <w:t xml:space="preserve">podílu o velikosti </w:t>
      </w:r>
      <w:r w:rsidR="00A25538" w:rsidRPr="00C45C03">
        <w:t>id. 1/3</w:t>
      </w:r>
      <w:r w:rsidR="004B0CF7" w:rsidRPr="00C45C03">
        <w:t xml:space="preserve"> bytové jednotky</w:t>
      </w:r>
      <w:r w:rsidR="00850133" w:rsidRPr="00C45C03">
        <w:t>, v budově bytový dům č.p. 2506</w:t>
      </w:r>
      <w:r w:rsidR="006C67E2">
        <w:t>, 2507, 2508</w:t>
      </w:r>
      <w:r w:rsidR="00850133" w:rsidRPr="00C45C03">
        <w:t xml:space="preserve"> (Jižní čtvrť IV/15)</w:t>
      </w:r>
      <w:r w:rsidR="00BE6489" w:rsidRPr="00C45C03">
        <w:t>,</w:t>
      </w:r>
      <w:r w:rsidR="001B5C71" w:rsidRPr="00C45C03">
        <w:t xml:space="preserve"> příslušné k části obce Přerov I-Město</w:t>
      </w:r>
      <w:r w:rsidR="000F472D" w:rsidRPr="00C45C03">
        <w:t>, postavené na pozemku p.č. 574</w:t>
      </w:r>
      <w:r w:rsidR="00F54AD9" w:rsidRPr="00C45C03">
        <w:t>5/8</w:t>
      </w:r>
      <w:r w:rsidR="00A70392" w:rsidRPr="00C45C03">
        <w:t xml:space="preserve"> (zastavěná plocha a nádvoří) o výměře </w:t>
      </w:r>
      <w:r w:rsidR="007C555B" w:rsidRPr="00C45C03">
        <w:t>556 m²</w:t>
      </w:r>
      <w:r w:rsidR="00D32614" w:rsidRPr="00C45C03">
        <w:t xml:space="preserve"> </w:t>
      </w:r>
      <w:r w:rsidR="00772DC2" w:rsidRPr="00C45C03">
        <w:t>v k.ú. Přerov</w:t>
      </w:r>
      <w:r w:rsidR="00D202CF" w:rsidRPr="00C45C03">
        <w:t xml:space="preserve">, </w:t>
      </w:r>
    </w:p>
    <w:p w14:paraId="20573A52" w14:textId="0529C376" w:rsidR="00704484" w:rsidRPr="00C45C03" w:rsidRDefault="00704484" w:rsidP="00A03FE5">
      <w:pPr>
        <w:jc w:val="both"/>
      </w:pPr>
      <w:r w:rsidRPr="00C45C03">
        <w:t xml:space="preserve">- </w:t>
      </w:r>
      <w:r w:rsidR="00D202CF" w:rsidRPr="00C45C03">
        <w:t xml:space="preserve">podílu o velikosti id. </w:t>
      </w:r>
      <w:r w:rsidR="00A93315" w:rsidRPr="00C45C03">
        <w:t>734/</w:t>
      </w:r>
      <w:r w:rsidR="003D7799" w:rsidRPr="00C45C03">
        <w:t>13540</w:t>
      </w:r>
      <w:r w:rsidR="001F4D95" w:rsidRPr="00C45C03">
        <w:t xml:space="preserve"> </w:t>
      </w:r>
      <w:r w:rsidR="006D4122" w:rsidRPr="00C45C03">
        <w:t>na společných částech bytového domu č.p. 2506</w:t>
      </w:r>
      <w:r w:rsidR="006C67E2">
        <w:t xml:space="preserve">, </w:t>
      </w:r>
      <w:r w:rsidR="007732EC">
        <w:t>2507, 2508</w:t>
      </w:r>
      <w:r w:rsidR="006D4122" w:rsidRPr="00C45C03">
        <w:t xml:space="preserve"> a </w:t>
      </w:r>
    </w:p>
    <w:p w14:paraId="00FDB901" w14:textId="3B3DBBE6" w:rsidR="0037096B" w:rsidRPr="00821505" w:rsidRDefault="00704484" w:rsidP="00A03FE5">
      <w:pPr>
        <w:jc w:val="both"/>
      </w:pPr>
      <w:r w:rsidRPr="00C45C03">
        <w:t xml:space="preserve">- </w:t>
      </w:r>
      <w:r w:rsidR="006D4122" w:rsidRPr="00C45C03">
        <w:t xml:space="preserve">podílu o velikosti id. </w:t>
      </w:r>
      <w:r w:rsidR="00683A0A" w:rsidRPr="00C45C03">
        <w:t>734/13540 na pozemku p.č. 5745/8</w:t>
      </w:r>
      <w:r w:rsidR="007F1C41" w:rsidRPr="00C45C03">
        <w:t xml:space="preserve"> v k.ú. Přerov.</w:t>
      </w:r>
    </w:p>
    <w:p w14:paraId="1FAA7D6B" w14:textId="25155704" w:rsidR="006F0C3B" w:rsidRDefault="006F0C3B" w:rsidP="00D31C8F">
      <w:pPr>
        <w:jc w:val="center"/>
        <w:rPr>
          <w:b/>
        </w:rPr>
      </w:pPr>
    </w:p>
    <w:p w14:paraId="3EB80CCB" w14:textId="77777777" w:rsidR="008873AF" w:rsidRDefault="008873AF" w:rsidP="00D31C8F">
      <w:pPr>
        <w:jc w:val="center"/>
        <w:rPr>
          <w:b/>
        </w:rPr>
      </w:pPr>
    </w:p>
    <w:p w14:paraId="1FAA7D6C" w14:textId="77777777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1FAA7D6D" w14:textId="0F538803" w:rsidR="004E053F" w:rsidRDefault="006F0C3B" w:rsidP="00212395">
      <w:pPr>
        <w:spacing w:after="240"/>
        <w:jc w:val="center"/>
        <w:rPr>
          <w:b/>
        </w:rPr>
      </w:pPr>
      <w:r>
        <w:rPr>
          <w:b/>
        </w:rPr>
        <w:t>Bytová</w:t>
      </w:r>
      <w:r w:rsidR="0073063C">
        <w:rPr>
          <w:b/>
        </w:rPr>
        <w:t xml:space="preserve"> jednotka</w:t>
      </w:r>
      <w:r w:rsidR="00B53F18" w:rsidRPr="00785153">
        <w:rPr>
          <w:b/>
        </w:rPr>
        <w:t xml:space="preserve"> č.</w:t>
      </w:r>
      <w:r w:rsidR="00B12669">
        <w:rPr>
          <w:b/>
        </w:rPr>
        <w:t> </w:t>
      </w:r>
      <w:r w:rsidR="00DC5080">
        <w:rPr>
          <w:b/>
        </w:rPr>
        <w:t>2506/4</w:t>
      </w:r>
    </w:p>
    <w:p w14:paraId="1FAA7D6E" w14:textId="3163903E" w:rsidR="00D5295C" w:rsidRDefault="00D5295C" w:rsidP="00D5295C">
      <w:pPr>
        <w:spacing w:after="120"/>
        <w:jc w:val="both"/>
      </w:pPr>
      <w:r>
        <w:t xml:space="preserve">(1) </w:t>
      </w:r>
      <w:r w:rsidR="0073063C">
        <w:t>B</w:t>
      </w:r>
      <w:r w:rsidR="00B53F18">
        <w:t>ytov</w:t>
      </w:r>
      <w:r w:rsidR="0073063C">
        <w:t>á</w:t>
      </w:r>
      <w:r w:rsidR="00B53F18">
        <w:t xml:space="preserve"> </w:t>
      </w:r>
      <w:r w:rsidR="0073063C">
        <w:t>jednotka</w:t>
      </w:r>
      <w:r w:rsidR="006035EE">
        <w:t xml:space="preserve"> </w:t>
      </w:r>
      <w:r w:rsidR="00EE1A12">
        <w:t>č.</w:t>
      </w:r>
      <w:r w:rsidR="005633B2">
        <w:t xml:space="preserve"> </w:t>
      </w:r>
      <w:r w:rsidR="00631D6F">
        <w:t>2506/4</w:t>
      </w:r>
      <w:r w:rsidR="00EE1A12">
        <w:t xml:space="preserve"> </w:t>
      </w:r>
      <w:r w:rsidR="00785153">
        <w:t>se nachází</w:t>
      </w:r>
      <w:r w:rsidR="006035EE">
        <w:t xml:space="preserve"> v</w:t>
      </w:r>
      <w:r w:rsidR="0047550B">
        <w:t> </w:t>
      </w:r>
      <w:r w:rsidR="00631D6F">
        <w:t>2</w:t>
      </w:r>
      <w:r w:rsidR="0047550B">
        <w:t xml:space="preserve">. </w:t>
      </w:r>
      <w:r w:rsidR="0073063C">
        <w:t>NP</w:t>
      </w:r>
      <w:r w:rsidR="006035EE">
        <w:t xml:space="preserve"> </w:t>
      </w:r>
      <w:r w:rsidR="00B53F18">
        <w:t xml:space="preserve">bytového domu č.p. </w:t>
      </w:r>
      <w:r w:rsidR="00F574A2">
        <w:t>2506</w:t>
      </w:r>
      <w:r w:rsidR="007732EC">
        <w:t xml:space="preserve">, 2507, </w:t>
      </w:r>
      <w:r w:rsidR="00694F6B">
        <w:t>2508</w:t>
      </w:r>
      <w:r w:rsidR="00956327">
        <w:t xml:space="preserve"> </w:t>
      </w:r>
      <w:r w:rsidR="006035EE">
        <w:t>a je</w:t>
      </w:r>
      <w:r w:rsidR="0073063C">
        <w:t>jí</w:t>
      </w:r>
      <w:r w:rsidR="006035EE">
        <w:t xml:space="preserve"> celkov</w:t>
      </w:r>
      <w:r w:rsidR="00EE1A12">
        <w:t>á</w:t>
      </w:r>
      <w:r w:rsidR="006035EE">
        <w:t xml:space="preserve"> </w:t>
      </w:r>
      <w:r w:rsidR="006E0BB8">
        <w:t>plocha s příslušenstvím</w:t>
      </w:r>
      <w:r w:rsidR="006035EE">
        <w:t xml:space="preserve"> je</w:t>
      </w:r>
      <w:r w:rsidR="00DD25B2">
        <w:t xml:space="preserve"> </w:t>
      </w:r>
      <w:r w:rsidR="00960EBA">
        <w:t>73,4</w:t>
      </w:r>
      <w:r w:rsidR="006035EE">
        <w:t xml:space="preserve"> m</w:t>
      </w:r>
      <w:r w:rsidR="006035EE">
        <w:rPr>
          <w:vertAlign w:val="superscript"/>
        </w:rPr>
        <w:t>2</w:t>
      </w:r>
      <w:r w:rsidR="006035EE">
        <w:t>.</w:t>
      </w:r>
      <w:r w:rsidR="00EE1A12">
        <w:t xml:space="preserve"> </w:t>
      </w:r>
    </w:p>
    <w:p w14:paraId="1FAA7D70" w14:textId="09CFDFA7" w:rsidR="00956327" w:rsidRPr="00394A6D" w:rsidRDefault="00D5295C" w:rsidP="00A10A6C">
      <w:pPr>
        <w:jc w:val="both"/>
      </w:pPr>
      <w:r>
        <w:lastRenderedPageBreak/>
        <w:t xml:space="preserve">      </w:t>
      </w:r>
      <w:r w:rsidR="0073063C">
        <w:t>Bytová jednotka</w:t>
      </w:r>
      <w:r>
        <w:t xml:space="preserve"> č. </w:t>
      </w:r>
      <w:r w:rsidR="00CA1E6B">
        <w:t>2506/4</w:t>
      </w:r>
      <w:r>
        <w:t xml:space="preserve"> se skládá z:</w:t>
      </w:r>
    </w:p>
    <w:p w14:paraId="1FAA7D71" w14:textId="2887EAE2" w:rsidR="00D5295C" w:rsidRDefault="00956327" w:rsidP="00956327">
      <w:pPr>
        <w:jc w:val="both"/>
        <w:rPr>
          <w:vertAlign w:val="superscript"/>
        </w:rPr>
      </w:pPr>
      <w:r>
        <w:t xml:space="preserve">      </w:t>
      </w:r>
      <w:r w:rsidR="00AB70FA">
        <w:t>kuchyně</w:t>
      </w:r>
      <w:r w:rsidR="00D5295C">
        <w:t xml:space="preserve">                          </w:t>
      </w:r>
      <w:r w:rsidR="00A10A6C">
        <w:t xml:space="preserve">  </w:t>
      </w:r>
      <w:r w:rsidR="00FB3DC2">
        <w:t xml:space="preserve">      </w:t>
      </w:r>
      <w:r w:rsidR="00BC5F74">
        <w:tab/>
        <w:t xml:space="preserve">       </w:t>
      </w:r>
      <w:r w:rsidR="00394A6D">
        <w:t xml:space="preserve">  </w:t>
      </w:r>
      <w:r w:rsidR="00BC5F74">
        <w:t>1</w:t>
      </w:r>
      <w:r w:rsidR="00AB70FA">
        <w:t>0</w:t>
      </w:r>
      <w:r w:rsidR="00FB3DC2">
        <w:t>,</w:t>
      </w:r>
      <w:r w:rsidR="00AB70FA">
        <w:t>2</w:t>
      </w:r>
      <w:r w:rsidR="00D5295C">
        <w:t xml:space="preserve"> m</w:t>
      </w:r>
      <w:r w:rsidR="00D5295C">
        <w:rPr>
          <w:vertAlign w:val="superscript"/>
        </w:rPr>
        <w:t>2</w:t>
      </w:r>
    </w:p>
    <w:p w14:paraId="1FAA7D72" w14:textId="5A271A19" w:rsidR="007000B0" w:rsidRDefault="00956327" w:rsidP="00666D66">
      <w:pPr>
        <w:jc w:val="both"/>
        <w:rPr>
          <w:vertAlign w:val="superscript"/>
        </w:rPr>
      </w:pPr>
      <w:r>
        <w:t xml:space="preserve">      </w:t>
      </w:r>
      <w:r w:rsidR="00394A6D">
        <w:t>p</w:t>
      </w:r>
      <w:r w:rsidR="00950E50">
        <w:t>ředsíň</w:t>
      </w:r>
      <w:r>
        <w:t xml:space="preserve">  </w:t>
      </w:r>
      <w:r w:rsidR="00FB3DC2">
        <w:t xml:space="preserve">                             </w:t>
      </w:r>
      <w:r w:rsidR="00BC5F74">
        <w:tab/>
        <w:t xml:space="preserve">         </w:t>
      </w:r>
      <w:r w:rsidR="00394A6D">
        <w:t xml:space="preserve">  </w:t>
      </w:r>
      <w:r w:rsidR="00AB70FA">
        <w:t>7</w:t>
      </w:r>
      <w:r w:rsidR="00FB3DC2">
        <w:t>,</w:t>
      </w:r>
      <w:r w:rsidR="00AB70FA">
        <w:t>2</w:t>
      </w:r>
      <w:r>
        <w:t xml:space="preserve"> m</w:t>
      </w:r>
      <w:r>
        <w:rPr>
          <w:vertAlign w:val="superscript"/>
        </w:rPr>
        <w:t>2</w:t>
      </w:r>
    </w:p>
    <w:p w14:paraId="41691C34" w14:textId="42F52039" w:rsidR="00950E50" w:rsidRDefault="000E3E51" w:rsidP="00C109F9">
      <w:pPr>
        <w:jc w:val="both"/>
        <w:rPr>
          <w:vertAlign w:val="superscript"/>
        </w:rPr>
      </w:pPr>
      <w:r>
        <w:t xml:space="preserve">      </w:t>
      </w:r>
      <w:r w:rsidR="00394A6D">
        <w:t>k</w:t>
      </w:r>
      <w:r w:rsidR="00950E50">
        <w:t>oupelna</w:t>
      </w:r>
      <w:r>
        <w:tab/>
      </w:r>
      <w:r>
        <w:tab/>
      </w:r>
      <w:r>
        <w:tab/>
      </w:r>
      <w:r w:rsidR="00950E50">
        <w:t xml:space="preserve">         </w:t>
      </w:r>
      <w:r w:rsidR="00394A6D">
        <w:t xml:space="preserve">  </w:t>
      </w:r>
      <w:r w:rsidR="00F8420A">
        <w:tab/>
      </w:r>
      <w:r w:rsidR="00F8420A">
        <w:tab/>
      </w:r>
      <w:r w:rsidR="00394A6D">
        <w:t>3,</w:t>
      </w:r>
      <w:r w:rsidR="00F8420A">
        <w:t>0</w:t>
      </w:r>
      <w:r>
        <w:t xml:space="preserve"> m</w:t>
      </w:r>
      <w:r>
        <w:rPr>
          <w:vertAlign w:val="superscript"/>
        </w:rPr>
        <w:t>2</w:t>
      </w:r>
    </w:p>
    <w:p w14:paraId="493297CF" w14:textId="50A0A71B" w:rsidR="00C109F9" w:rsidRPr="00394A6D" w:rsidRDefault="00950E50" w:rsidP="00C109F9">
      <w:pPr>
        <w:jc w:val="both"/>
        <w:rPr>
          <w:vertAlign w:val="superscript"/>
        </w:rPr>
      </w:pPr>
      <w:r w:rsidRPr="00394A6D">
        <w:rPr>
          <w:vertAlign w:val="superscript"/>
        </w:rPr>
        <w:t xml:space="preserve">         </w:t>
      </w:r>
      <w:r w:rsidR="00F8420A">
        <w:t>WC</w:t>
      </w:r>
      <w:r w:rsidR="00C109F9" w:rsidRPr="00394A6D">
        <w:t xml:space="preserve">                                   </w:t>
      </w:r>
      <w:r w:rsidR="00C109F9" w:rsidRPr="00394A6D">
        <w:tab/>
        <w:t xml:space="preserve">         </w:t>
      </w:r>
      <w:r w:rsidR="00F8420A">
        <w:t xml:space="preserve"> </w:t>
      </w:r>
      <w:r w:rsidR="00394A6D" w:rsidRPr="00394A6D">
        <w:t xml:space="preserve">  </w:t>
      </w:r>
      <w:r w:rsidR="00F8420A">
        <w:t>1,3</w:t>
      </w:r>
      <w:r w:rsidR="00C109F9" w:rsidRPr="00394A6D">
        <w:t xml:space="preserve"> m</w:t>
      </w:r>
      <w:r w:rsidR="00C109F9" w:rsidRPr="00394A6D">
        <w:rPr>
          <w:vertAlign w:val="superscript"/>
        </w:rPr>
        <w:t>2</w:t>
      </w:r>
    </w:p>
    <w:p w14:paraId="33594DB8" w14:textId="30301EF5" w:rsidR="006F3566" w:rsidRDefault="00950E50" w:rsidP="006F3566">
      <w:pPr>
        <w:jc w:val="both"/>
      </w:pPr>
      <w:r w:rsidRPr="00394A6D">
        <w:t xml:space="preserve">      </w:t>
      </w:r>
      <w:r w:rsidR="006F3566">
        <w:t>pokoj 1</w:t>
      </w:r>
      <w:r w:rsidR="005563E0">
        <w:tab/>
      </w:r>
      <w:r w:rsidR="005563E0">
        <w:tab/>
      </w:r>
      <w:r w:rsidR="005563E0">
        <w:tab/>
      </w:r>
      <w:r w:rsidR="005563E0">
        <w:tab/>
      </w:r>
      <w:r w:rsidR="005563E0">
        <w:tab/>
        <w:t>12,2 m²</w:t>
      </w:r>
    </w:p>
    <w:p w14:paraId="1D61D79B" w14:textId="66C56A2B" w:rsidR="006F3566" w:rsidRDefault="006F3566" w:rsidP="006F3566">
      <w:pPr>
        <w:jc w:val="both"/>
      </w:pPr>
      <w:r>
        <w:t xml:space="preserve">      pokoj 2</w:t>
      </w:r>
      <w:r w:rsidR="00EE4F52">
        <w:tab/>
      </w:r>
      <w:r w:rsidR="00EE4F52">
        <w:tab/>
      </w:r>
      <w:r w:rsidR="00EE4F52">
        <w:tab/>
      </w:r>
      <w:r w:rsidR="00EE4F52">
        <w:tab/>
      </w:r>
      <w:r w:rsidR="00EE4F52">
        <w:tab/>
        <w:t>14,6 m²</w:t>
      </w:r>
    </w:p>
    <w:p w14:paraId="2A2B2B26" w14:textId="18B39773" w:rsidR="006F3566" w:rsidRDefault="006F3566" w:rsidP="006F3566">
      <w:pPr>
        <w:jc w:val="both"/>
      </w:pPr>
      <w:r>
        <w:t xml:space="preserve">      pokoj 3</w:t>
      </w:r>
      <w:r w:rsidR="00EE4F52">
        <w:tab/>
      </w:r>
      <w:r w:rsidR="00EE4F52">
        <w:tab/>
      </w:r>
      <w:r w:rsidR="00EE4F52">
        <w:tab/>
      </w:r>
      <w:r w:rsidR="00EE4F52">
        <w:tab/>
      </w:r>
      <w:r w:rsidR="00EE4F52">
        <w:tab/>
        <w:t>22</w:t>
      </w:r>
      <w:r w:rsidR="00E4054A">
        <w:t>,0 m²</w:t>
      </w:r>
    </w:p>
    <w:p w14:paraId="0B3D6DAB" w14:textId="5DE57673" w:rsidR="00E4054A" w:rsidRDefault="00E4054A" w:rsidP="006F3566">
      <w:pPr>
        <w:jc w:val="both"/>
      </w:pPr>
      <w:r>
        <w:t xml:space="preserve">      spíž</w:t>
      </w:r>
      <w:r>
        <w:tab/>
      </w:r>
      <w:r>
        <w:tab/>
      </w:r>
      <w:r>
        <w:tab/>
      </w:r>
      <w:r>
        <w:tab/>
      </w:r>
      <w:r>
        <w:tab/>
        <w:t xml:space="preserve">  0,9</w:t>
      </w:r>
      <w:r w:rsidR="004654DB">
        <w:t xml:space="preserve"> m²</w:t>
      </w:r>
    </w:p>
    <w:p w14:paraId="16CE2DB4" w14:textId="44C2DEA5" w:rsidR="004654DB" w:rsidRDefault="004654DB" w:rsidP="006F3566">
      <w:pPr>
        <w:jc w:val="both"/>
      </w:pPr>
      <w:r>
        <w:t xml:space="preserve">      sklep</w:t>
      </w:r>
      <w:r w:rsidR="001951EF">
        <w:t xml:space="preserve"> </w:t>
      </w:r>
      <w:r w:rsidR="001951EF">
        <w:tab/>
      </w:r>
      <w:r w:rsidR="001951EF">
        <w:tab/>
      </w:r>
      <w:r w:rsidR="001951EF">
        <w:tab/>
      </w:r>
      <w:r w:rsidR="001951EF">
        <w:tab/>
      </w:r>
      <w:r w:rsidR="001951EF">
        <w:tab/>
        <w:t xml:space="preserve">  2,0 m²</w:t>
      </w:r>
    </w:p>
    <w:p w14:paraId="6014688E" w14:textId="244E4DC7" w:rsidR="00532E6B" w:rsidRPr="006F3566" w:rsidRDefault="006F3566" w:rsidP="006F3566">
      <w:pPr>
        <w:jc w:val="both"/>
      </w:pPr>
      <w:r>
        <w:t xml:space="preserve">      </w:t>
      </w:r>
      <w:r w:rsidR="00950E50" w:rsidRPr="00394A6D">
        <w:t>Podlahová plocha celkem</w:t>
      </w:r>
      <w:r w:rsidR="00950E50" w:rsidRPr="00394A6D">
        <w:tab/>
      </w:r>
      <w:r w:rsidR="00950E50" w:rsidRPr="00394A6D">
        <w:tab/>
        <w:t xml:space="preserve">         </w:t>
      </w:r>
      <w:r w:rsidR="001951EF">
        <w:t xml:space="preserve">   73,4</w:t>
      </w:r>
      <w:r w:rsidR="00950E50" w:rsidRPr="00394A6D">
        <w:t xml:space="preserve"> m</w:t>
      </w:r>
      <w:r w:rsidR="00950E50" w:rsidRPr="00394A6D">
        <w:rPr>
          <w:vertAlign w:val="superscript"/>
        </w:rPr>
        <w:t>2</w:t>
      </w:r>
    </w:p>
    <w:p w14:paraId="23284ABE" w14:textId="77777777" w:rsidR="00643084" w:rsidRDefault="00643084" w:rsidP="00CA2D1E">
      <w:pPr>
        <w:jc w:val="both"/>
      </w:pPr>
    </w:p>
    <w:p w14:paraId="334F4715" w14:textId="4DF74BEB" w:rsidR="00532E6B" w:rsidRDefault="00532E6B" w:rsidP="00CA2D1E">
      <w:pPr>
        <w:jc w:val="both"/>
      </w:pPr>
      <w:r w:rsidRPr="0071485E">
        <w:t xml:space="preserve">Vybavení </w:t>
      </w:r>
      <w:r w:rsidR="00CB4DD6" w:rsidRPr="0071485E">
        <w:t>náležející k jednotce:</w:t>
      </w:r>
    </w:p>
    <w:p w14:paraId="548F7862" w14:textId="77777777" w:rsidR="0071277F" w:rsidRPr="0071485E" w:rsidRDefault="0071277F" w:rsidP="00CA2D1E">
      <w:pPr>
        <w:jc w:val="both"/>
      </w:pPr>
    </w:p>
    <w:p w14:paraId="25655D29" w14:textId="4C4353EB" w:rsidR="00BA7BDC" w:rsidRDefault="00D20F81" w:rsidP="00CA2D1E">
      <w:pPr>
        <w:jc w:val="both"/>
      </w:pPr>
      <w:r>
        <w:tab/>
      </w:r>
      <w:r w:rsidR="00CB4DD6">
        <w:t xml:space="preserve">a) </w:t>
      </w:r>
      <w:r w:rsidR="005C6ECF">
        <w:t xml:space="preserve">kuchyňská </w:t>
      </w:r>
      <w:r w:rsidR="00BA7BDC">
        <w:t>linka</w:t>
      </w:r>
      <w:r w:rsidR="00C219FB">
        <w:tab/>
      </w:r>
      <w:r w:rsidR="00C219FB">
        <w:tab/>
      </w:r>
      <w:r w:rsidR="00643084">
        <w:tab/>
      </w:r>
      <w:r w:rsidR="00643084">
        <w:tab/>
      </w:r>
      <w:r w:rsidR="00BA7BDC">
        <w:t>1</w:t>
      </w:r>
      <w:r w:rsidR="00C219FB">
        <w:t xml:space="preserve"> </w:t>
      </w:r>
      <w:r w:rsidR="00BA7BDC">
        <w:t>ks</w:t>
      </w:r>
    </w:p>
    <w:p w14:paraId="46F8682D" w14:textId="21D19B17" w:rsidR="00BA7BDC" w:rsidRDefault="005272B1" w:rsidP="00CA2D1E">
      <w:pPr>
        <w:jc w:val="both"/>
      </w:pPr>
      <w:r>
        <w:tab/>
      </w:r>
      <w:r w:rsidR="00950E50">
        <w:t>b</w:t>
      </w:r>
      <w:r w:rsidR="00BA7BDC">
        <w:t xml:space="preserve">) </w:t>
      </w:r>
      <w:r w:rsidR="00CA1DEF">
        <w:t>sporák</w:t>
      </w:r>
      <w:r w:rsidR="00CA1DEF">
        <w:tab/>
      </w:r>
      <w:r w:rsidR="00CA1DEF">
        <w:tab/>
      </w:r>
      <w:r w:rsidR="00BA7BDC">
        <w:t xml:space="preserve"> </w:t>
      </w:r>
      <w:r w:rsidR="00C219FB">
        <w:tab/>
      </w:r>
      <w:r w:rsidR="00C219FB">
        <w:tab/>
      </w:r>
      <w:r w:rsidR="00C219FB">
        <w:tab/>
      </w:r>
      <w:r w:rsidR="00950E50">
        <w:t>1</w:t>
      </w:r>
      <w:r w:rsidR="00C219FB">
        <w:t xml:space="preserve"> </w:t>
      </w:r>
      <w:r w:rsidR="00BA7BDC">
        <w:t>ks</w:t>
      </w:r>
    </w:p>
    <w:p w14:paraId="0827A341" w14:textId="7E682710" w:rsidR="00BA7BDC" w:rsidRDefault="005272B1" w:rsidP="00CA2D1E">
      <w:pPr>
        <w:jc w:val="both"/>
      </w:pPr>
      <w:r>
        <w:tab/>
      </w:r>
      <w:r w:rsidR="00950E50">
        <w:t>c</w:t>
      </w:r>
      <w:r w:rsidR="00BA7BDC">
        <w:t xml:space="preserve">) </w:t>
      </w:r>
      <w:r w:rsidR="00394A6D">
        <w:t>v</w:t>
      </w:r>
      <w:r w:rsidR="00CA1DEF">
        <w:t>ana</w:t>
      </w:r>
      <w:r w:rsidR="00CA1DEF">
        <w:tab/>
      </w:r>
      <w:r w:rsidR="00CA1DEF">
        <w:tab/>
      </w:r>
      <w:r w:rsidR="00C219FB">
        <w:tab/>
      </w:r>
      <w:r w:rsidR="00C219FB">
        <w:tab/>
      </w:r>
      <w:r w:rsidR="00C219FB">
        <w:tab/>
      </w:r>
      <w:r w:rsidR="00C219FB">
        <w:tab/>
      </w:r>
      <w:r w:rsidR="00D20F81">
        <w:t>1</w:t>
      </w:r>
      <w:r w:rsidR="00C219FB">
        <w:t xml:space="preserve"> </w:t>
      </w:r>
      <w:r w:rsidR="00D20F81">
        <w:t>ks</w:t>
      </w:r>
    </w:p>
    <w:p w14:paraId="5D3AF4A4" w14:textId="70388A10" w:rsidR="00D20F81" w:rsidRDefault="005272B1" w:rsidP="00CA2D1E">
      <w:pPr>
        <w:jc w:val="both"/>
      </w:pPr>
      <w:r>
        <w:tab/>
      </w:r>
      <w:r w:rsidR="00950E50">
        <w:t>d</w:t>
      </w:r>
      <w:r w:rsidR="00D20F81">
        <w:t xml:space="preserve">) </w:t>
      </w:r>
      <w:r w:rsidR="00CA1DEF">
        <w:t>umývadlo</w:t>
      </w:r>
      <w:r w:rsidR="00C219FB">
        <w:tab/>
      </w:r>
      <w:r w:rsidR="00C219FB">
        <w:tab/>
      </w:r>
      <w:r w:rsidR="00C219FB">
        <w:tab/>
      </w:r>
      <w:r w:rsidR="00C219FB">
        <w:tab/>
      </w:r>
      <w:r w:rsidR="00950E50">
        <w:tab/>
        <w:t>1</w:t>
      </w:r>
      <w:r w:rsidR="00C219FB">
        <w:t xml:space="preserve"> ks</w:t>
      </w:r>
    </w:p>
    <w:p w14:paraId="408A227D" w14:textId="2415AB46" w:rsidR="00D20F81" w:rsidRDefault="005272B1" w:rsidP="00CA2D1E">
      <w:pPr>
        <w:jc w:val="both"/>
      </w:pPr>
      <w:r>
        <w:tab/>
      </w:r>
      <w:r w:rsidR="00950E50">
        <w:t>e</w:t>
      </w:r>
      <w:r w:rsidR="00D20F81">
        <w:t xml:space="preserve">) </w:t>
      </w:r>
      <w:r w:rsidR="00EB3E6F">
        <w:t>WC mísa</w:t>
      </w:r>
      <w:r w:rsidR="00EB3E6F">
        <w:tab/>
      </w:r>
      <w:r w:rsidR="00C219FB">
        <w:tab/>
      </w:r>
      <w:r w:rsidR="00C219FB">
        <w:tab/>
      </w:r>
      <w:r w:rsidR="00C219FB">
        <w:tab/>
      </w:r>
      <w:r w:rsidR="007D61B4">
        <w:tab/>
      </w:r>
      <w:r w:rsidR="00C219FB">
        <w:t>1 ks</w:t>
      </w:r>
    </w:p>
    <w:p w14:paraId="07143F26" w14:textId="2D704357" w:rsidR="00D20F81" w:rsidRDefault="00C219FB" w:rsidP="00CA2D1E">
      <w:pPr>
        <w:jc w:val="both"/>
      </w:pPr>
      <w:r>
        <w:tab/>
      </w:r>
      <w:r w:rsidR="00950E50">
        <w:t>f</w:t>
      </w:r>
      <w:r w:rsidR="00D20F81">
        <w:t xml:space="preserve">) </w:t>
      </w:r>
      <w:r w:rsidR="00EB3E6F">
        <w:t>topná tělesa</w:t>
      </w:r>
      <w:r>
        <w:tab/>
      </w:r>
      <w:r>
        <w:tab/>
      </w:r>
      <w:r>
        <w:tab/>
      </w:r>
      <w:r>
        <w:tab/>
      </w:r>
      <w:r w:rsidR="007D61B4">
        <w:tab/>
      </w:r>
      <w:r w:rsidR="00EB3E6F">
        <w:t>6</w:t>
      </w:r>
      <w:r>
        <w:t xml:space="preserve"> </w:t>
      </w:r>
      <w:r w:rsidR="00D20F81">
        <w:t>ks</w:t>
      </w:r>
    </w:p>
    <w:p w14:paraId="13E8A66C" w14:textId="096B0ADE" w:rsidR="00D20F81" w:rsidRPr="007000B0" w:rsidRDefault="00C219FB" w:rsidP="00CA2D1E">
      <w:pPr>
        <w:jc w:val="both"/>
        <w:rPr>
          <w:vertAlign w:val="superscript"/>
        </w:rPr>
      </w:pPr>
      <w:r>
        <w:tab/>
      </w:r>
      <w:r w:rsidR="00950E50">
        <w:t>g</w:t>
      </w:r>
      <w:r w:rsidR="00D20F81">
        <w:t xml:space="preserve">) </w:t>
      </w:r>
      <w:r w:rsidR="00EB3E6F">
        <w:t>karma</w:t>
      </w:r>
      <w:r>
        <w:tab/>
      </w:r>
      <w:r>
        <w:tab/>
      </w:r>
      <w:r>
        <w:tab/>
      </w:r>
      <w:r w:rsidR="00950E50">
        <w:tab/>
      </w:r>
      <w:r w:rsidR="007D61B4">
        <w:tab/>
      </w:r>
      <w:r w:rsidR="00950E50">
        <w:t>1</w:t>
      </w:r>
      <w:r>
        <w:t xml:space="preserve"> </w:t>
      </w:r>
      <w:r w:rsidR="00D20F81">
        <w:t>ks</w:t>
      </w:r>
    </w:p>
    <w:p w14:paraId="1FAA7D73" w14:textId="00B71305" w:rsidR="00A10A6C" w:rsidRDefault="007D61B4" w:rsidP="00A10A6C">
      <w:pPr>
        <w:jc w:val="both"/>
      </w:pPr>
      <w:r>
        <w:tab/>
      </w:r>
    </w:p>
    <w:p w14:paraId="1FAA7D74" w14:textId="54101D5D" w:rsidR="006035EE" w:rsidRDefault="00D5295C" w:rsidP="00E9759B">
      <w:pPr>
        <w:spacing w:after="120"/>
        <w:jc w:val="both"/>
      </w:pPr>
      <w:r>
        <w:t xml:space="preserve">(2)  </w:t>
      </w:r>
      <w:r w:rsidR="006035EE">
        <w:t xml:space="preserve">K vlastnictví </w:t>
      </w:r>
      <w:r w:rsidR="0073063C">
        <w:t>bytové jednotky</w:t>
      </w:r>
      <w:r w:rsidR="006035EE">
        <w:t xml:space="preserve"> </w:t>
      </w:r>
      <w:r>
        <w:t xml:space="preserve">č. </w:t>
      </w:r>
      <w:r w:rsidR="00107BFA">
        <w:t>2506/4</w:t>
      </w:r>
      <w:r>
        <w:t xml:space="preserve"> </w:t>
      </w:r>
      <w:r w:rsidR="00E75A22">
        <w:t>náleží</w:t>
      </w:r>
      <w:r w:rsidR="006035EE">
        <w:t>:</w:t>
      </w:r>
    </w:p>
    <w:p w14:paraId="1FAA7D75" w14:textId="16B7AB20" w:rsidR="006035EE" w:rsidRDefault="00D5295C" w:rsidP="00D5295C">
      <w:pPr>
        <w:jc w:val="both"/>
      </w:pPr>
      <w:r>
        <w:t xml:space="preserve">       </w:t>
      </w:r>
      <w:r w:rsidR="00631907">
        <w:t xml:space="preserve">a) </w:t>
      </w:r>
      <w:r w:rsidR="006035EE">
        <w:t>nenosné vodorovné konstrukce (podlaha včetně podlahové krytiny</w:t>
      </w:r>
      <w:r w:rsidR="00950E50">
        <w:t>)</w:t>
      </w:r>
      <w:r w:rsidR="00C86D0A">
        <w:t>,</w:t>
      </w:r>
    </w:p>
    <w:p w14:paraId="1FAA7D76" w14:textId="6328DDF4" w:rsidR="006035EE" w:rsidRPr="007508F7" w:rsidRDefault="00D5295C" w:rsidP="00D5295C">
      <w:pPr>
        <w:jc w:val="both"/>
        <w:rPr>
          <w:b/>
        </w:rPr>
      </w:pPr>
      <w:r>
        <w:t xml:space="preserve">       </w:t>
      </w:r>
      <w:r w:rsidR="00631907">
        <w:t xml:space="preserve">b) </w:t>
      </w:r>
      <w:r w:rsidR="006035EE">
        <w:t>nenosné svislé konstrukce (</w:t>
      </w:r>
      <w:r w:rsidR="00D31C5B">
        <w:t>bytové příčky</w:t>
      </w:r>
      <w:r w:rsidR="006035EE">
        <w:t>)</w:t>
      </w:r>
      <w:r w:rsidR="00C86D0A">
        <w:t>,</w:t>
      </w:r>
    </w:p>
    <w:p w14:paraId="1FAA7D77" w14:textId="30676F79" w:rsidR="006035EE" w:rsidRPr="007508F7" w:rsidRDefault="00D5295C" w:rsidP="00D5295C">
      <w:pPr>
        <w:jc w:val="both"/>
        <w:rPr>
          <w:b/>
        </w:rPr>
      </w:pPr>
      <w:r>
        <w:t xml:space="preserve">       </w:t>
      </w:r>
      <w:r w:rsidR="00631907">
        <w:t xml:space="preserve">c) </w:t>
      </w:r>
      <w:r w:rsidR="006035EE">
        <w:t>vstupní dveře</w:t>
      </w:r>
      <w:r w:rsidR="00522C91">
        <w:t>, vnitřní dveře</w:t>
      </w:r>
      <w:r w:rsidR="003F6CF8">
        <w:t xml:space="preserve"> </w:t>
      </w:r>
      <w:r w:rsidR="007D61B4">
        <w:t>a okna příslušející k bytu,</w:t>
      </w:r>
    </w:p>
    <w:p w14:paraId="1FAA7D78" w14:textId="09CDDED5" w:rsidR="00EC6592" w:rsidRDefault="00D5295C" w:rsidP="00EC6592">
      <w:pPr>
        <w:tabs>
          <w:tab w:val="left" w:pos="709"/>
        </w:tabs>
        <w:ind w:left="709" w:hanging="709"/>
        <w:jc w:val="both"/>
      </w:pPr>
      <w:r>
        <w:t xml:space="preserve">       </w:t>
      </w:r>
      <w:r w:rsidR="00EC6592">
        <w:t xml:space="preserve">d) </w:t>
      </w:r>
      <w:r w:rsidR="006035EE">
        <w:t>veškeré vnitřní potrubní instalace za odbočnými ventily stoupacích vedení,</w:t>
      </w:r>
      <w:r w:rsidR="007000B0">
        <w:t xml:space="preserve"> </w:t>
      </w:r>
      <w:r w:rsidR="00950E50">
        <w:t xml:space="preserve">popřípadě </w:t>
      </w:r>
      <w:r w:rsidR="007000B0">
        <w:t>od zaústění do stoupacího vedení</w:t>
      </w:r>
      <w:r w:rsidR="00EC6592">
        <w:t>,</w:t>
      </w:r>
    </w:p>
    <w:p w14:paraId="1FAA7D7A" w14:textId="16738905" w:rsidR="003F6CF8" w:rsidRDefault="00631907" w:rsidP="009744B4">
      <w:pPr>
        <w:tabs>
          <w:tab w:val="left" w:pos="709"/>
        </w:tabs>
        <w:ind w:left="709" w:hanging="283"/>
        <w:jc w:val="both"/>
      </w:pPr>
      <w:r>
        <w:t xml:space="preserve">e) </w:t>
      </w:r>
      <w:r w:rsidR="006035EE">
        <w:t xml:space="preserve">vnitřní el. </w:t>
      </w:r>
      <w:r w:rsidR="00EE1A12">
        <w:t>r</w:t>
      </w:r>
      <w:r w:rsidR="006035EE">
        <w:t>ozvody včetně zakončení (osv</w:t>
      </w:r>
      <w:r w:rsidR="00950E50">
        <w:t>ětlovací</w:t>
      </w:r>
      <w:r w:rsidR="006035EE">
        <w:t xml:space="preserve"> </w:t>
      </w:r>
      <w:r w:rsidR="00EE1A12">
        <w:t>těle</w:t>
      </w:r>
      <w:r w:rsidR="006035EE">
        <w:t xml:space="preserve">sa, </w:t>
      </w:r>
      <w:r w:rsidR="00950E50">
        <w:t xml:space="preserve">vypínače, </w:t>
      </w:r>
      <w:r w:rsidR="00666D66">
        <w:t>zásuvky</w:t>
      </w:r>
      <w:r w:rsidR="006035EE">
        <w:t>)</w:t>
      </w:r>
      <w:r w:rsidR="00E21E5A">
        <w:t xml:space="preserve"> od hlavního</w:t>
      </w:r>
      <w:r w:rsidR="006035EE">
        <w:t xml:space="preserve"> </w:t>
      </w:r>
      <w:r w:rsidR="00E21E5A">
        <w:t>el. jističe pro jednotku, který je umístěn před elektroměrem</w:t>
      </w:r>
      <w:r w:rsidR="00A519C2">
        <w:t xml:space="preserve">, </w:t>
      </w:r>
    </w:p>
    <w:p w14:paraId="0B446FCC" w14:textId="69C70A9F" w:rsidR="004345C5" w:rsidRDefault="00A519C2" w:rsidP="004345C5">
      <w:pPr>
        <w:tabs>
          <w:tab w:val="left" w:pos="709"/>
        </w:tabs>
        <w:ind w:left="709" w:hanging="283"/>
        <w:jc w:val="both"/>
      </w:pPr>
      <w:r>
        <w:t xml:space="preserve">f) </w:t>
      </w:r>
      <w:r w:rsidR="004250BA">
        <w:t>hlavní uzávěr plynu pro byt, který je umístěn v 1. PP</w:t>
      </w:r>
      <w:r w:rsidR="00251BF1">
        <w:t xml:space="preserve"> budovy a plynoměr pro byt po výstupní šroubení</w:t>
      </w:r>
      <w:r w:rsidR="004345C5">
        <w:t xml:space="preserve">, uzávěr plynu pro byt a potrubí ke spotřebiči, </w:t>
      </w:r>
    </w:p>
    <w:p w14:paraId="63D27ECE" w14:textId="19E98874" w:rsidR="004345C5" w:rsidRDefault="004345C5" w:rsidP="004345C5">
      <w:pPr>
        <w:tabs>
          <w:tab w:val="left" w:pos="709"/>
        </w:tabs>
        <w:ind w:left="709" w:hanging="283"/>
        <w:jc w:val="both"/>
      </w:pPr>
      <w:r>
        <w:t xml:space="preserve">g) </w:t>
      </w:r>
      <w:r w:rsidR="001D66E8">
        <w:t>právo výhradně užívat sklepní kóji ve společných částech domu 1. PP</w:t>
      </w:r>
      <w:r w:rsidR="002A1B68">
        <w:t xml:space="preserve"> budovy</w:t>
      </w:r>
    </w:p>
    <w:p w14:paraId="1FAA7D7B" w14:textId="77777777" w:rsidR="00631907" w:rsidRDefault="009C237A" w:rsidP="00D5295C">
      <w:pPr>
        <w:jc w:val="both"/>
      </w:pPr>
      <w:r>
        <w:t xml:space="preserve">       </w:t>
      </w:r>
      <w:r w:rsidR="00631907">
        <w:t xml:space="preserve">           </w:t>
      </w:r>
    </w:p>
    <w:p w14:paraId="1FAA7D7D" w14:textId="2B7FA098" w:rsidR="00631907" w:rsidRPr="0075759B" w:rsidRDefault="00EE1A12" w:rsidP="00641984">
      <w:pPr>
        <w:spacing w:after="240"/>
        <w:jc w:val="both"/>
      </w:pPr>
      <w:r>
        <w:t>(</w:t>
      </w:r>
      <w:r w:rsidR="00631907">
        <w:t>3</w:t>
      </w:r>
      <w:r>
        <w:t xml:space="preserve">) K vlastnictví </w:t>
      </w:r>
      <w:r w:rsidR="0073063C">
        <w:t>bytové jednotky</w:t>
      </w:r>
      <w:r>
        <w:t xml:space="preserve"> č.</w:t>
      </w:r>
      <w:r w:rsidR="00EC6592">
        <w:t xml:space="preserve"> </w:t>
      </w:r>
      <w:r w:rsidR="006F63A9">
        <w:t>2506/4</w:t>
      </w:r>
      <w:r>
        <w:t xml:space="preserve"> </w:t>
      </w:r>
      <w:r w:rsidR="00E75A22">
        <w:t>náleží</w:t>
      </w:r>
      <w:r>
        <w:t xml:space="preserve"> spoluvlastnický podíl id</w:t>
      </w:r>
      <w:r w:rsidRPr="0073063C">
        <w:t>.</w:t>
      </w:r>
      <w:r w:rsidR="000F5D11" w:rsidRPr="0073063C">
        <w:t> </w:t>
      </w:r>
      <w:r w:rsidR="006F63A9">
        <w:t>734/13540</w:t>
      </w:r>
      <w:r w:rsidR="0073063C">
        <w:rPr>
          <w:b/>
        </w:rPr>
        <w:t xml:space="preserve"> </w:t>
      </w:r>
      <w:r>
        <w:t>na</w:t>
      </w:r>
      <w:r w:rsidR="005633B2">
        <w:t> </w:t>
      </w:r>
      <w:r>
        <w:t xml:space="preserve">společných částech </w:t>
      </w:r>
      <w:r w:rsidR="00F606B5">
        <w:t xml:space="preserve">budovy - </w:t>
      </w:r>
      <w:r w:rsidR="00631907">
        <w:t xml:space="preserve">bytového domu č.p. </w:t>
      </w:r>
      <w:r w:rsidR="00F606B5">
        <w:t>2506</w:t>
      </w:r>
      <w:r w:rsidR="00327417">
        <w:t>, 2507</w:t>
      </w:r>
      <w:r w:rsidR="00B12669" w:rsidRPr="0075759B">
        <w:t>,</w:t>
      </w:r>
      <w:r w:rsidR="00327417">
        <w:t xml:space="preserve"> 2508,</w:t>
      </w:r>
      <w:r w:rsidR="00B12669" w:rsidRPr="0075759B">
        <w:t xml:space="preserve"> </w:t>
      </w:r>
      <w:r w:rsidR="00631907" w:rsidRPr="0075759B">
        <w:t>které jsou uvedeny v čl.</w:t>
      </w:r>
      <w:r w:rsidR="00BB6974" w:rsidRPr="0075759B">
        <w:t> </w:t>
      </w:r>
      <w:r w:rsidR="00B23E2E" w:rsidRPr="0075759B">
        <w:t>III</w:t>
      </w:r>
      <w:r w:rsidR="00631907" w:rsidRPr="0075759B">
        <w:t xml:space="preserve">  </w:t>
      </w:r>
      <w:r w:rsidR="002539A1" w:rsidRPr="0075759B">
        <w:t xml:space="preserve">odst. 1 </w:t>
      </w:r>
      <w:r w:rsidR="00DC2D28" w:rsidRPr="0075759B">
        <w:t xml:space="preserve">a 2 </w:t>
      </w:r>
      <w:r w:rsidR="00631907" w:rsidRPr="0075759B">
        <w:t>smlouvy</w:t>
      </w:r>
      <w:r w:rsidRPr="0075759B">
        <w:t xml:space="preserve">. </w:t>
      </w:r>
    </w:p>
    <w:p w14:paraId="1FAA7D7E" w14:textId="74C06E80" w:rsidR="00ED288D" w:rsidRPr="0075759B" w:rsidRDefault="00785153" w:rsidP="008022C6">
      <w:pPr>
        <w:jc w:val="both"/>
      </w:pPr>
      <w:r w:rsidRPr="0075759B">
        <w:t>(</w:t>
      </w:r>
      <w:r w:rsidR="00C732CE" w:rsidRPr="0075759B">
        <w:t>4</w:t>
      </w:r>
      <w:r w:rsidRPr="0075759B">
        <w:t xml:space="preserve">) </w:t>
      </w:r>
      <w:r w:rsidR="006F3BCC" w:rsidRPr="0075759B">
        <w:t>K</w:t>
      </w:r>
      <w:r w:rsidR="000C1201" w:rsidRPr="0075759B">
        <w:t xml:space="preserve"> vlastnictví </w:t>
      </w:r>
      <w:r w:rsidR="0073063C" w:rsidRPr="0075759B">
        <w:t>bytové jednotky</w:t>
      </w:r>
      <w:r w:rsidRPr="0075759B">
        <w:t xml:space="preserve"> č.</w:t>
      </w:r>
      <w:r w:rsidR="005633B2" w:rsidRPr="0075759B">
        <w:t xml:space="preserve"> </w:t>
      </w:r>
      <w:r w:rsidR="005023AA" w:rsidRPr="0075759B">
        <w:t>2506/4</w:t>
      </w:r>
      <w:r w:rsidRPr="0075759B">
        <w:t xml:space="preserve"> náleží </w:t>
      </w:r>
      <w:r w:rsidR="000C1201" w:rsidRPr="0075759B">
        <w:t xml:space="preserve">spoluvlastnický </w:t>
      </w:r>
      <w:r w:rsidRPr="0075759B">
        <w:t>podíl id.</w:t>
      </w:r>
      <w:r w:rsidR="000C1201" w:rsidRPr="0075759B">
        <w:t> </w:t>
      </w:r>
      <w:r w:rsidR="006F59CD" w:rsidRPr="0075759B">
        <w:t>734/13540</w:t>
      </w:r>
      <w:r w:rsidR="0073063C" w:rsidRPr="0075759B">
        <w:rPr>
          <w:b/>
        </w:rPr>
        <w:t xml:space="preserve"> </w:t>
      </w:r>
      <w:r w:rsidRPr="0075759B">
        <w:t>na</w:t>
      </w:r>
      <w:r w:rsidR="000C1201" w:rsidRPr="0075759B">
        <w:t> </w:t>
      </w:r>
      <w:r w:rsidRPr="0075759B">
        <w:t>pozem</w:t>
      </w:r>
      <w:r w:rsidR="005E7AC5" w:rsidRPr="0075759B">
        <w:t>ku</w:t>
      </w:r>
      <w:r w:rsidR="00BC15E4" w:rsidRPr="0075759B">
        <w:t xml:space="preserve"> </w:t>
      </w:r>
      <w:r w:rsidR="000F5D11" w:rsidRPr="0075759B">
        <w:t>p.č. </w:t>
      </w:r>
      <w:r w:rsidR="00DC15F3" w:rsidRPr="0075759B">
        <w:t>5745/8</w:t>
      </w:r>
      <w:r w:rsidR="0073063C" w:rsidRPr="0075759B">
        <w:t xml:space="preserve"> (zastavěná plocha a nádvoří) o výměře </w:t>
      </w:r>
      <w:r w:rsidR="00DC15F3" w:rsidRPr="0075759B">
        <w:t>556</w:t>
      </w:r>
      <w:r w:rsidR="0073063C" w:rsidRPr="0075759B">
        <w:t xml:space="preserve"> m</w:t>
      </w:r>
      <w:r w:rsidR="007D61B4" w:rsidRPr="0075759B">
        <w:rPr>
          <w:vertAlign w:val="superscript"/>
        </w:rPr>
        <w:t>2</w:t>
      </w:r>
      <w:r w:rsidR="0073063C" w:rsidRPr="0075759B">
        <w:t xml:space="preserve"> v k.ú. Přerov</w:t>
      </w:r>
      <w:r w:rsidRPr="0075759B">
        <w:t xml:space="preserve">. </w:t>
      </w:r>
      <w:r w:rsidR="006F3BCC" w:rsidRPr="0075759B">
        <w:t xml:space="preserve"> </w:t>
      </w:r>
    </w:p>
    <w:p w14:paraId="1FAA7D7F" w14:textId="77777777" w:rsidR="0073063C" w:rsidRDefault="0073063C" w:rsidP="00ED288D">
      <w:pPr>
        <w:jc w:val="center"/>
        <w:rPr>
          <w:b/>
          <w:bCs/>
        </w:rPr>
      </w:pPr>
    </w:p>
    <w:p w14:paraId="20E4A7A9" w14:textId="77777777" w:rsidR="00B64653" w:rsidRDefault="00B64653" w:rsidP="00ED288D">
      <w:pPr>
        <w:jc w:val="center"/>
        <w:rPr>
          <w:b/>
          <w:bCs/>
        </w:rPr>
      </w:pPr>
    </w:p>
    <w:p w14:paraId="1FAA7D80" w14:textId="05BF8F2F" w:rsidR="00631907" w:rsidRDefault="00631907" w:rsidP="00ED288D">
      <w:pPr>
        <w:jc w:val="center"/>
        <w:rPr>
          <w:b/>
          <w:bCs/>
        </w:rPr>
      </w:pPr>
      <w:r>
        <w:rPr>
          <w:b/>
          <w:bCs/>
        </w:rPr>
        <w:t>Článek III.</w:t>
      </w:r>
    </w:p>
    <w:p w14:paraId="1FAA7D81" w14:textId="48F1332F" w:rsidR="00631907" w:rsidRDefault="00631907" w:rsidP="00212395">
      <w:pPr>
        <w:pStyle w:val="Nadpis1"/>
        <w:spacing w:after="240"/>
        <w:ind w:left="0"/>
      </w:pPr>
      <w:r>
        <w:t xml:space="preserve">Společné části bytového domu č.p. </w:t>
      </w:r>
      <w:r w:rsidR="00210776">
        <w:t>2506</w:t>
      </w:r>
      <w:r w:rsidR="00327417">
        <w:t>, 2507</w:t>
      </w:r>
      <w:r w:rsidR="00991AFC">
        <w:t>,</w:t>
      </w:r>
      <w:r w:rsidR="00327417">
        <w:t xml:space="preserve"> 2508</w:t>
      </w:r>
    </w:p>
    <w:p w14:paraId="1FAA7D82" w14:textId="3BCD93F1" w:rsidR="00631907" w:rsidRPr="001B614E" w:rsidRDefault="00631907" w:rsidP="00631907">
      <w:pPr>
        <w:spacing w:after="120"/>
        <w:jc w:val="both"/>
      </w:pPr>
      <w:r>
        <w:t xml:space="preserve">(1) Společnými částmi bytového domu č.p. </w:t>
      </w:r>
      <w:r w:rsidR="00DA28BE">
        <w:t>2506</w:t>
      </w:r>
      <w:r w:rsidR="00327417">
        <w:t>, 2507, 2508</w:t>
      </w:r>
      <w:r w:rsidR="00BC15E4">
        <w:t xml:space="preserve"> </w:t>
      </w:r>
      <w:r>
        <w:t xml:space="preserve">(tj. částmi budovy určenými pro společné užívání </w:t>
      </w:r>
      <w:r w:rsidRPr="001B614E">
        <w:t xml:space="preserve">ve smyslu ust. </w:t>
      </w:r>
      <w:r w:rsidR="00BC15E4" w:rsidRPr="001B614E">
        <w:t>§ 2 p</w:t>
      </w:r>
      <w:r w:rsidR="00D34C36" w:rsidRPr="001B614E">
        <w:t xml:space="preserve">ísm. </w:t>
      </w:r>
      <w:r w:rsidR="00FE526E">
        <w:t>g</w:t>
      </w:r>
      <w:r w:rsidRPr="001B614E">
        <w:t>) zákona č. 72/1994 Sb., o vlastnictví bytů, ve znění pozdějších předpisů)</w:t>
      </w:r>
      <w:r w:rsidR="00E21E5A" w:rsidRPr="001B614E">
        <w:t>,</w:t>
      </w:r>
      <w:r w:rsidRPr="001B614E">
        <w:t xml:space="preserve"> jsou:</w:t>
      </w:r>
    </w:p>
    <w:p w14:paraId="1FAA7D83" w14:textId="77777777" w:rsidR="00631907" w:rsidRDefault="00631907" w:rsidP="00631907">
      <w:pPr>
        <w:numPr>
          <w:ilvl w:val="0"/>
          <w:numId w:val="2"/>
        </w:numPr>
        <w:jc w:val="both"/>
      </w:pPr>
      <w:r>
        <w:lastRenderedPageBreak/>
        <w:t>základy včetně izolací</w:t>
      </w:r>
      <w:r w:rsidR="00A724A6">
        <w:t>,</w:t>
      </w:r>
    </w:p>
    <w:p w14:paraId="1FAA7D84" w14:textId="28863C94" w:rsidR="00631907" w:rsidRDefault="00631907" w:rsidP="00631907">
      <w:pPr>
        <w:numPr>
          <w:ilvl w:val="0"/>
          <w:numId w:val="2"/>
        </w:numPr>
        <w:jc w:val="both"/>
      </w:pPr>
      <w:r>
        <w:t>svislé a vodorovné nosné a nenosné konstrukce</w:t>
      </w:r>
      <w:r w:rsidR="007D61B4">
        <w:t>,</w:t>
      </w:r>
    </w:p>
    <w:p w14:paraId="0B1B8C26" w14:textId="17720E91" w:rsidR="00766EB0" w:rsidRDefault="00766EB0" w:rsidP="00766EB0">
      <w:pPr>
        <w:numPr>
          <w:ilvl w:val="0"/>
          <w:numId w:val="2"/>
        </w:numPr>
        <w:jc w:val="both"/>
      </w:pPr>
      <w:r>
        <w:t>schodiště a chodby včetně dveří zajišťující</w:t>
      </w:r>
      <w:r w:rsidR="009C228A">
        <w:t>ch</w:t>
      </w:r>
      <w:r>
        <w:t xml:space="preserve"> přímý přístup do společných částí a oken zajišťujících osvětlení a větrání společných částí,</w:t>
      </w:r>
    </w:p>
    <w:p w14:paraId="5B5D9B1C" w14:textId="77777777" w:rsidR="007D61B4" w:rsidRDefault="007D61B4" w:rsidP="007D61B4">
      <w:pPr>
        <w:numPr>
          <w:ilvl w:val="0"/>
          <w:numId w:val="2"/>
        </w:numPr>
        <w:jc w:val="both"/>
      </w:pPr>
      <w:r>
        <w:t>střešní plášť včetně příslušných klempířských prvků (okapy, žlaby, oplechování),</w:t>
      </w:r>
    </w:p>
    <w:p w14:paraId="0C12126F" w14:textId="530918BF" w:rsidR="007D61B4" w:rsidRDefault="007D61B4" w:rsidP="007D61B4">
      <w:pPr>
        <w:numPr>
          <w:ilvl w:val="0"/>
          <w:numId w:val="2"/>
        </w:numPr>
        <w:jc w:val="both"/>
      </w:pPr>
      <w:r>
        <w:t>vstupní prostor</w:t>
      </w:r>
      <w:r w:rsidR="008F4D21">
        <w:t>y</w:t>
      </w:r>
      <w:r>
        <w:t xml:space="preserve"> (vchody), </w:t>
      </w:r>
    </w:p>
    <w:p w14:paraId="45C5682E" w14:textId="7D82E720" w:rsidR="007D61B4" w:rsidRDefault="007D61B4" w:rsidP="007D61B4">
      <w:pPr>
        <w:numPr>
          <w:ilvl w:val="0"/>
          <w:numId w:val="2"/>
        </w:numPr>
        <w:jc w:val="both"/>
      </w:pPr>
      <w:r>
        <w:t>sklepní místnosti (</w:t>
      </w:r>
      <w:r w:rsidR="004051F0">
        <w:t>kolárna, místnosti sklepních kójí</w:t>
      </w:r>
      <w:r w:rsidR="00EF00E6">
        <w:t>, WC, úklidová místnost, prádelna, kočárkárna, prostory pod schodištěm)</w:t>
      </w:r>
      <w:r>
        <w:t>,</w:t>
      </w:r>
    </w:p>
    <w:p w14:paraId="1FAA7D88" w14:textId="79CF396C" w:rsidR="009D7494" w:rsidRDefault="004C6CDE" w:rsidP="009D7494">
      <w:pPr>
        <w:numPr>
          <w:ilvl w:val="0"/>
          <w:numId w:val="2"/>
        </w:numPr>
        <w:jc w:val="both"/>
      </w:pPr>
      <w:r>
        <w:t>půda</w:t>
      </w:r>
      <w:r w:rsidR="009D7494">
        <w:t>,</w:t>
      </w:r>
    </w:p>
    <w:p w14:paraId="1FAA7D8B" w14:textId="6F9CF406" w:rsidR="00A10A6C" w:rsidRDefault="004A3E79" w:rsidP="00766EB0">
      <w:pPr>
        <w:numPr>
          <w:ilvl w:val="0"/>
          <w:numId w:val="2"/>
        </w:numPr>
        <w:jc w:val="both"/>
      </w:pPr>
      <w:r>
        <w:t>potrubní rozvody tepla za patním měřením budovy včetně</w:t>
      </w:r>
      <w:r w:rsidR="008002A2">
        <w:t xml:space="preserve"> odboček ze stoupacího potrubí a odbočných uzavíracích armatur příslušných k jednotkám, </w:t>
      </w:r>
      <w:r w:rsidR="0060311D">
        <w:t>rozvody pitné vody včetně odboček ze stoupacího potrubí</w:t>
      </w:r>
      <w:r w:rsidR="004E4B85">
        <w:t xml:space="preserve"> a odbočných uzavíracích armatur</w:t>
      </w:r>
      <w:r w:rsidR="00BC1240">
        <w:t xml:space="preserve"> příslušných k jednotkám včetně vodovodní přípojky, kanalizace včetně kanalizační přípojky</w:t>
      </w:r>
      <w:r w:rsidR="0046509B">
        <w:t xml:space="preserve"> a příslušných součástí v rozsahu vymezeném vyhl. </w:t>
      </w:r>
      <w:r w:rsidR="00E81D83">
        <w:t xml:space="preserve">MLVH č. 144/1978 Sb. ve znění vyhl. </w:t>
      </w:r>
      <w:r w:rsidR="008132DC">
        <w:t xml:space="preserve">č. 185/1988 Sb., rozvody plynu </w:t>
      </w:r>
      <w:r w:rsidR="00C658FD">
        <w:t xml:space="preserve">včetně armatur v budově, domovní elektroinstalace, </w:t>
      </w:r>
      <w:r w:rsidR="0021799C">
        <w:t>slaboproudé rozvody (zvonky a kabelová televize)</w:t>
      </w:r>
      <w:r w:rsidR="00F9142E">
        <w:t>,</w:t>
      </w:r>
    </w:p>
    <w:p w14:paraId="0DD9A148" w14:textId="55B6651C" w:rsidR="00F9142E" w:rsidRDefault="00F9142E" w:rsidP="00766EB0">
      <w:pPr>
        <w:numPr>
          <w:ilvl w:val="0"/>
          <w:numId w:val="2"/>
        </w:numPr>
        <w:jc w:val="both"/>
      </w:pPr>
      <w:r>
        <w:t>bleskosvod</w:t>
      </w:r>
      <w:r w:rsidR="00786510">
        <w:t>,</w:t>
      </w:r>
    </w:p>
    <w:p w14:paraId="190D8BED" w14:textId="794E8E4F" w:rsidR="00F9142E" w:rsidRDefault="00F9142E" w:rsidP="00766EB0">
      <w:pPr>
        <w:numPr>
          <w:ilvl w:val="0"/>
          <w:numId w:val="2"/>
        </w:numPr>
        <w:jc w:val="both"/>
      </w:pPr>
      <w:r>
        <w:t xml:space="preserve">komínová tělesa včetně </w:t>
      </w:r>
      <w:r w:rsidR="00786510">
        <w:t>příslušných součástí,</w:t>
      </w:r>
    </w:p>
    <w:p w14:paraId="37E7CD7D" w14:textId="122EBE9E" w:rsidR="00E06DF7" w:rsidRDefault="00786510" w:rsidP="00E06DF7">
      <w:pPr>
        <w:numPr>
          <w:ilvl w:val="0"/>
          <w:numId w:val="2"/>
        </w:numPr>
        <w:jc w:val="both"/>
      </w:pPr>
      <w:r>
        <w:t>zpevněná plocha – přístupová cesta</w:t>
      </w:r>
      <w:r w:rsidR="00E06DF7">
        <w:t xml:space="preserve"> ke sklepům, včetně opěrné zídky</w:t>
      </w:r>
      <w:r w:rsidR="00723951">
        <w:t xml:space="preserve"> </w:t>
      </w:r>
    </w:p>
    <w:p w14:paraId="22D2B746" w14:textId="77777777" w:rsidR="007D61B4" w:rsidRDefault="007D61B4" w:rsidP="007D61B4">
      <w:pPr>
        <w:ind w:left="720"/>
        <w:jc w:val="both"/>
      </w:pPr>
    </w:p>
    <w:p w14:paraId="1FAA7DC9" w14:textId="434C094B" w:rsidR="001B6CDD" w:rsidRDefault="001B6CDD" w:rsidP="006346E1">
      <w:pPr>
        <w:spacing w:after="120"/>
        <w:jc w:val="both"/>
      </w:pPr>
      <w:r>
        <w:t>(2</w:t>
      </w:r>
      <w:r w:rsidR="00631907">
        <w:t xml:space="preserve">) </w:t>
      </w:r>
      <w:r w:rsidR="00631907" w:rsidRPr="002E21D0">
        <w:t xml:space="preserve">Podlahové plochy </w:t>
      </w:r>
      <w:r w:rsidR="00631907">
        <w:t xml:space="preserve">společných částí </w:t>
      </w:r>
      <w:r w:rsidR="00F36816">
        <w:t xml:space="preserve">bytového domu č.p. </w:t>
      </w:r>
      <w:r w:rsidR="000F3BB3">
        <w:t>2506</w:t>
      </w:r>
      <w:r w:rsidR="00F17190">
        <w:t>,</w:t>
      </w:r>
      <w:r w:rsidR="0045234F">
        <w:t xml:space="preserve"> 2507, 2508,</w:t>
      </w:r>
      <w:r w:rsidR="00F17190">
        <w:t xml:space="preserve"> </w:t>
      </w:r>
      <w:r w:rsidR="00631907">
        <w:t>které jsou uvedeny v příloze (tj. schématech půdorysů jednotlivých podlaží budovy určujících polohu jednotek a</w:t>
      </w:r>
      <w:r w:rsidR="00E33471">
        <w:t> </w:t>
      </w:r>
      <w:r w:rsidR="00631907">
        <w:t>společných částí budovy):</w:t>
      </w:r>
      <w: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92"/>
        <w:gridCol w:w="2479"/>
        <w:gridCol w:w="2121"/>
      </w:tblGrid>
      <w:tr w:rsidR="006346E1" w14:paraId="4AFE5A60" w14:textId="77777777" w:rsidTr="006346E1">
        <w:tc>
          <w:tcPr>
            <w:tcW w:w="2118" w:type="dxa"/>
            <w:shd w:val="clear" w:color="auto" w:fill="auto"/>
          </w:tcPr>
          <w:p w14:paraId="1CBA79E8" w14:textId="77777777" w:rsidR="006346E1" w:rsidRPr="008059A6" w:rsidRDefault="006346E1" w:rsidP="0042126A">
            <w:pPr>
              <w:rPr>
                <w:b/>
              </w:rPr>
            </w:pPr>
            <w:r w:rsidRPr="008059A6">
              <w:rPr>
                <w:b/>
              </w:rPr>
              <w:t>Podlaží</w:t>
            </w:r>
          </w:p>
        </w:tc>
        <w:tc>
          <w:tcPr>
            <w:tcW w:w="2092" w:type="dxa"/>
            <w:shd w:val="clear" w:color="auto" w:fill="auto"/>
          </w:tcPr>
          <w:p w14:paraId="38E36C62" w14:textId="77777777" w:rsidR="006346E1" w:rsidRPr="008059A6" w:rsidRDefault="006346E1" w:rsidP="0042126A">
            <w:pPr>
              <w:rPr>
                <w:b/>
              </w:rPr>
            </w:pPr>
            <w:r w:rsidRPr="008059A6">
              <w:rPr>
                <w:b/>
              </w:rPr>
              <w:t>Graf. zn</w:t>
            </w:r>
            <w:r>
              <w:rPr>
                <w:b/>
              </w:rPr>
              <w:t>ačka</w:t>
            </w:r>
          </w:p>
        </w:tc>
        <w:tc>
          <w:tcPr>
            <w:tcW w:w="2479" w:type="dxa"/>
            <w:shd w:val="clear" w:color="auto" w:fill="auto"/>
          </w:tcPr>
          <w:p w14:paraId="07C1C0CC" w14:textId="77777777" w:rsidR="006346E1" w:rsidRPr="008059A6" w:rsidRDefault="006346E1" w:rsidP="0042126A">
            <w:pPr>
              <w:rPr>
                <w:b/>
              </w:rPr>
            </w:pPr>
            <w:r w:rsidRPr="008059A6">
              <w:rPr>
                <w:b/>
              </w:rPr>
              <w:t>Název</w:t>
            </w:r>
          </w:p>
        </w:tc>
        <w:tc>
          <w:tcPr>
            <w:tcW w:w="2121" w:type="dxa"/>
          </w:tcPr>
          <w:p w14:paraId="2F0E19BE" w14:textId="77777777" w:rsidR="006346E1" w:rsidRPr="008059A6" w:rsidRDefault="006346E1" w:rsidP="0042126A">
            <w:pPr>
              <w:rPr>
                <w:b/>
              </w:rPr>
            </w:pPr>
            <w:r>
              <w:rPr>
                <w:b/>
              </w:rPr>
              <w:t>Výměra</w:t>
            </w:r>
          </w:p>
        </w:tc>
      </w:tr>
      <w:tr w:rsidR="006346E1" w14:paraId="6C775D71" w14:textId="77777777" w:rsidTr="006346E1">
        <w:tc>
          <w:tcPr>
            <w:tcW w:w="2118" w:type="dxa"/>
            <w:shd w:val="clear" w:color="auto" w:fill="auto"/>
          </w:tcPr>
          <w:p w14:paraId="1ADDF23D" w14:textId="77777777" w:rsidR="006346E1" w:rsidRDefault="006346E1" w:rsidP="006346E1">
            <w:r>
              <w:t xml:space="preserve">1.PP </w:t>
            </w:r>
          </w:p>
        </w:tc>
        <w:tc>
          <w:tcPr>
            <w:tcW w:w="2092" w:type="dxa"/>
            <w:shd w:val="clear" w:color="auto" w:fill="auto"/>
          </w:tcPr>
          <w:p w14:paraId="4FA2CE13" w14:textId="21A00484" w:rsidR="006346E1" w:rsidRDefault="00743EBD" w:rsidP="006346E1">
            <w:r>
              <w:t>A</w:t>
            </w:r>
            <w:r w:rsidR="006346E1">
              <w:t>01</w:t>
            </w:r>
          </w:p>
        </w:tc>
        <w:tc>
          <w:tcPr>
            <w:tcW w:w="2479" w:type="dxa"/>
            <w:shd w:val="clear" w:color="auto" w:fill="auto"/>
          </w:tcPr>
          <w:p w14:paraId="33C8866B" w14:textId="391A20E4" w:rsidR="006346E1" w:rsidRDefault="006346E1" w:rsidP="006346E1">
            <w:r w:rsidRPr="00515DF1">
              <w:t>chodba</w:t>
            </w:r>
          </w:p>
        </w:tc>
        <w:tc>
          <w:tcPr>
            <w:tcW w:w="2121" w:type="dxa"/>
          </w:tcPr>
          <w:p w14:paraId="2ED996B5" w14:textId="5607F616" w:rsidR="006346E1" w:rsidRDefault="00787B54" w:rsidP="006346E1">
            <w:pPr>
              <w:jc w:val="right"/>
            </w:pPr>
            <w:r>
              <w:t>6,7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34FC66A7" w14:textId="77777777" w:rsidTr="006346E1">
        <w:tc>
          <w:tcPr>
            <w:tcW w:w="2118" w:type="dxa"/>
            <w:shd w:val="clear" w:color="auto" w:fill="auto"/>
          </w:tcPr>
          <w:p w14:paraId="3A48A107" w14:textId="6D71A21D" w:rsidR="006346E1" w:rsidRDefault="006346E1" w:rsidP="006346E1"/>
        </w:tc>
        <w:tc>
          <w:tcPr>
            <w:tcW w:w="2092" w:type="dxa"/>
            <w:shd w:val="clear" w:color="auto" w:fill="auto"/>
          </w:tcPr>
          <w:p w14:paraId="0F564F74" w14:textId="12D9FBCC" w:rsidR="006346E1" w:rsidRDefault="00743EBD" w:rsidP="006346E1">
            <w:r>
              <w:t>A</w:t>
            </w:r>
            <w:r w:rsidR="006346E1">
              <w:t>02</w:t>
            </w:r>
          </w:p>
        </w:tc>
        <w:tc>
          <w:tcPr>
            <w:tcW w:w="2479" w:type="dxa"/>
            <w:shd w:val="clear" w:color="auto" w:fill="auto"/>
          </w:tcPr>
          <w:p w14:paraId="7D32DAAC" w14:textId="16ED8BC1" w:rsidR="006346E1" w:rsidRPr="00AD0801" w:rsidRDefault="0087401F" w:rsidP="006346E1">
            <w:r>
              <w:t>schodiště</w:t>
            </w:r>
          </w:p>
        </w:tc>
        <w:tc>
          <w:tcPr>
            <w:tcW w:w="2121" w:type="dxa"/>
          </w:tcPr>
          <w:p w14:paraId="22FBE7E8" w14:textId="0B0738FD" w:rsidR="006346E1" w:rsidRDefault="00787B54" w:rsidP="006346E1">
            <w:pPr>
              <w:jc w:val="right"/>
            </w:pPr>
            <w:r>
              <w:t>2,6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5A2B71BD" w14:textId="77777777" w:rsidTr="006346E1">
        <w:tc>
          <w:tcPr>
            <w:tcW w:w="2118" w:type="dxa"/>
            <w:shd w:val="clear" w:color="auto" w:fill="auto"/>
          </w:tcPr>
          <w:p w14:paraId="51FAF76C" w14:textId="3B6515F7" w:rsidR="006346E1" w:rsidRDefault="006346E1" w:rsidP="006346E1"/>
        </w:tc>
        <w:tc>
          <w:tcPr>
            <w:tcW w:w="2092" w:type="dxa"/>
            <w:shd w:val="clear" w:color="auto" w:fill="auto"/>
          </w:tcPr>
          <w:p w14:paraId="23F2D383" w14:textId="4F9D6B4B" w:rsidR="006346E1" w:rsidRDefault="00743EBD" w:rsidP="006346E1">
            <w:r>
              <w:t>A</w:t>
            </w:r>
            <w:r w:rsidR="006346E1">
              <w:t>03</w:t>
            </w:r>
          </w:p>
        </w:tc>
        <w:tc>
          <w:tcPr>
            <w:tcW w:w="2479" w:type="dxa"/>
            <w:shd w:val="clear" w:color="auto" w:fill="auto"/>
          </w:tcPr>
          <w:p w14:paraId="35A903EF" w14:textId="45310879" w:rsidR="006346E1" w:rsidRDefault="002F5DC6" w:rsidP="006346E1">
            <w:r>
              <w:t xml:space="preserve">prostor pod </w:t>
            </w:r>
            <w:r w:rsidR="006346E1">
              <w:t>schodiště</w:t>
            </w:r>
            <w:r>
              <w:t>m</w:t>
            </w:r>
          </w:p>
        </w:tc>
        <w:tc>
          <w:tcPr>
            <w:tcW w:w="2121" w:type="dxa"/>
          </w:tcPr>
          <w:p w14:paraId="3008BC45" w14:textId="73D8252E" w:rsidR="006346E1" w:rsidRDefault="00787B54" w:rsidP="006346E1">
            <w:pPr>
              <w:jc w:val="right"/>
            </w:pPr>
            <w:r>
              <w:t>2,4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718406E0" w14:textId="77777777" w:rsidTr="006346E1">
        <w:tc>
          <w:tcPr>
            <w:tcW w:w="2118" w:type="dxa"/>
            <w:shd w:val="clear" w:color="auto" w:fill="auto"/>
          </w:tcPr>
          <w:p w14:paraId="4FB75539" w14:textId="30088012" w:rsidR="006346E1" w:rsidRDefault="006346E1" w:rsidP="006346E1"/>
        </w:tc>
        <w:tc>
          <w:tcPr>
            <w:tcW w:w="2092" w:type="dxa"/>
            <w:shd w:val="clear" w:color="auto" w:fill="auto"/>
          </w:tcPr>
          <w:p w14:paraId="474D4552" w14:textId="652A0033" w:rsidR="006346E1" w:rsidRDefault="00743EBD" w:rsidP="006346E1">
            <w:r>
              <w:t>A</w:t>
            </w:r>
            <w:r w:rsidR="006346E1">
              <w:t>04</w:t>
            </w:r>
          </w:p>
        </w:tc>
        <w:tc>
          <w:tcPr>
            <w:tcW w:w="2479" w:type="dxa"/>
            <w:shd w:val="clear" w:color="auto" w:fill="auto"/>
          </w:tcPr>
          <w:p w14:paraId="7A693DEA" w14:textId="51695DC4" w:rsidR="006346E1" w:rsidRDefault="00787B54" w:rsidP="006346E1">
            <w:r>
              <w:t>skl. kóje + chodba</w:t>
            </w:r>
          </w:p>
        </w:tc>
        <w:tc>
          <w:tcPr>
            <w:tcW w:w="2121" w:type="dxa"/>
          </w:tcPr>
          <w:p w14:paraId="32794620" w14:textId="41B1789E" w:rsidR="006346E1" w:rsidRDefault="00075E31" w:rsidP="006346E1">
            <w:pPr>
              <w:jc w:val="right"/>
            </w:pPr>
            <w:r>
              <w:t>47,3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5695600E" w14:textId="77777777" w:rsidTr="006346E1">
        <w:tc>
          <w:tcPr>
            <w:tcW w:w="2118" w:type="dxa"/>
            <w:shd w:val="clear" w:color="auto" w:fill="auto"/>
          </w:tcPr>
          <w:p w14:paraId="7108A3A0" w14:textId="5125F620" w:rsidR="006346E1" w:rsidRDefault="006346E1" w:rsidP="006346E1"/>
        </w:tc>
        <w:tc>
          <w:tcPr>
            <w:tcW w:w="2092" w:type="dxa"/>
            <w:shd w:val="clear" w:color="auto" w:fill="auto"/>
          </w:tcPr>
          <w:p w14:paraId="737A32D3" w14:textId="17568A35" w:rsidR="006346E1" w:rsidRDefault="00743EBD" w:rsidP="006346E1">
            <w:r>
              <w:t>A</w:t>
            </w:r>
            <w:r w:rsidR="006346E1">
              <w:t>05</w:t>
            </w:r>
          </w:p>
        </w:tc>
        <w:tc>
          <w:tcPr>
            <w:tcW w:w="2479" w:type="dxa"/>
            <w:shd w:val="clear" w:color="auto" w:fill="auto"/>
          </w:tcPr>
          <w:p w14:paraId="31FCB2AD" w14:textId="553B64AD" w:rsidR="006346E1" w:rsidRDefault="006346E1" w:rsidP="006346E1">
            <w:r>
              <w:t>ko</w:t>
            </w:r>
            <w:r w:rsidR="00787B54">
              <w:t>čárkárna</w:t>
            </w:r>
          </w:p>
        </w:tc>
        <w:tc>
          <w:tcPr>
            <w:tcW w:w="2121" w:type="dxa"/>
          </w:tcPr>
          <w:p w14:paraId="465F7196" w14:textId="32D2E3D0" w:rsidR="006346E1" w:rsidRDefault="00075E31" w:rsidP="006346E1">
            <w:pPr>
              <w:jc w:val="right"/>
            </w:pPr>
            <w:r>
              <w:t>7,9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271D0B4A" w14:textId="77777777" w:rsidTr="006346E1">
        <w:tc>
          <w:tcPr>
            <w:tcW w:w="2118" w:type="dxa"/>
            <w:shd w:val="clear" w:color="auto" w:fill="auto"/>
          </w:tcPr>
          <w:p w14:paraId="3B92EDC0" w14:textId="385FFD52" w:rsidR="006346E1" w:rsidRDefault="006346E1" w:rsidP="006346E1"/>
        </w:tc>
        <w:tc>
          <w:tcPr>
            <w:tcW w:w="2092" w:type="dxa"/>
            <w:shd w:val="clear" w:color="auto" w:fill="auto"/>
          </w:tcPr>
          <w:p w14:paraId="0EB7B179" w14:textId="6E00D962" w:rsidR="006346E1" w:rsidRDefault="00743EBD" w:rsidP="006346E1">
            <w:r>
              <w:t>A</w:t>
            </w:r>
            <w:r w:rsidR="006346E1">
              <w:t>06</w:t>
            </w:r>
          </w:p>
        </w:tc>
        <w:tc>
          <w:tcPr>
            <w:tcW w:w="2479" w:type="dxa"/>
            <w:shd w:val="clear" w:color="auto" w:fill="auto"/>
          </w:tcPr>
          <w:p w14:paraId="382036D0" w14:textId="40F43491" w:rsidR="006346E1" w:rsidRDefault="00787B54" w:rsidP="006346E1">
            <w:r>
              <w:t xml:space="preserve">kolárna </w:t>
            </w:r>
          </w:p>
        </w:tc>
        <w:tc>
          <w:tcPr>
            <w:tcW w:w="2121" w:type="dxa"/>
          </w:tcPr>
          <w:p w14:paraId="46E3AAD2" w14:textId="50592DE3" w:rsidR="006346E1" w:rsidRDefault="00075E31" w:rsidP="006346E1">
            <w:pPr>
              <w:jc w:val="right"/>
            </w:pPr>
            <w:r>
              <w:t>11,2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1E5AFCAC" w14:textId="77777777" w:rsidTr="006346E1">
        <w:tc>
          <w:tcPr>
            <w:tcW w:w="2118" w:type="dxa"/>
            <w:shd w:val="clear" w:color="auto" w:fill="auto"/>
          </w:tcPr>
          <w:p w14:paraId="2046D6EC" w14:textId="55860882" w:rsidR="006346E1" w:rsidRDefault="006346E1" w:rsidP="006346E1"/>
        </w:tc>
        <w:tc>
          <w:tcPr>
            <w:tcW w:w="2092" w:type="dxa"/>
            <w:shd w:val="clear" w:color="auto" w:fill="auto"/>
          </w:tcPr>
          <w:p w14:paraId="58AFE8AF" w14:textId="31A08568" w:rsidR="006346E1" w:rsidRDefault="00743EBD" w:rsidP="006346E1">
            <w:r>
              <w:t>A</w:t>
            </w:r>
            <w:r w:rsidR="006346E1">
              <w:t>07</w:t>
            </w:r>
          </w:p>
        </w:tc>
        <w:tc>
          <w:tcPr>
            <w:tcW w:w="2479" w:type="dxa"/>
            <w:shd w:val="clear" w:color="auto" w:fill="auto"/>
          </w:tcPr>
          <w:p w14:paraId="6F7E7051" w14:textId="2C224571" w:rsidR="006346E1" w:rsidRDefault="00787B54" w:rsidP="006346E1">
            <w:r>
              <w:t>sklepní místnost</w:t>
            </w:r>
          </w:p>
        </w:tc>
        <w:tc>
          <w:tcPr>
            <w:tcW w:w="2121" w:type="dxa"/>
          </w:tcPr>
          <w:p w14:paraId="60A7BF19" w14:textId="39328EB0" w:rsidR="006346E1" w:rsidRDefault="00075E31" w:rsidP="006346E1">
            <w:pPr>
              <w:jc w:val="right"/>
            </w:pPr>
            <w:r>
              <w:t>20,8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42FF1B8E" w14:textId="77777777" w:rsidTr="006346E1">
        <w:tc>
          <w:tcPr>
            <w:tcW w:w="2118" w:type="dxa"/>
            <w:shd w:val="clear" w:color="auto" w:fill="auto"/>
          </w:tcPr>
          <w:p w14:paraId="239C1D1D" w14:textId="30CB6158" w:rsidR="006346E1" w:rsidRDefault="00DE39D0" w:rsidP="006346E1">
            <w:r>
              <w:t>1.NP</w:t>
            </w:r>
          </w:p>
        </w:tc>
        <w:tc>
          <w:tcPr>
            <w:tcW w:w="2092" w:type="dxa"/>
            <w:shd w:val="clear" w:color="auto" w:fill="auto"/>
          </w:tcPr>
          <w:p w14:paraId="3715B814" w14:textId="2886C994" w:rsidR="006346E1" w:rsidRDefault="001771A2" w:rsidP="006346E1">
            <w:r>
              <w:t>A</w:t>
            </w:r>
            <w:r w:rsidR="006346E1">
              <w:t>08</w:t>
            </w:r>
          </w:p>
        </w:tc>
        <w:tc>
          <w:tcPr>
            <w:tcW w:w="2479" w:type="dxa"/>
            <w:shd w:val="clear" w:color="auto" w:fill="auto"/>
          </w:tcPr>
          <w:p w14:paraId="5743A93C" w14:textId="2D371EBB" w:rsidR="006346E1" w:rsidRDefault="00E16ABB" w:rsidP="006346E1">
            <w:r>
              <w:t>s</w:t>
            </w:r>
            <w:r w:rsidR="008128DF">
              <w:t xml:space="preserve">chodiště </w:t>
            </w:r>
          </w:p>
        </w:tc>
        <w:tc>
          <w:tcPr>
            <w:tcW w:w="2121" w:type="dxa"/>
          </w:tcPr>
          <w:p w14:paraId="59C0580F" w14:textId="50A5A847" w:rsidR="006346E1" w:rsidRDefault="00E16ABB" w:rsidP="006346E1">
            <w:pPr>
              <w:jc w:val="right"/>
            </w:pPr>
            <w:r>
              <w:t>10,5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7D371CB1" w14:textId="77777777" w:rsidTr="006346E1">
        <w:tc>
          <w:tcPr>
            <w:tcW w:w="2118" w:type="dxa"/>
            <w:shd w:val="clear" w:color="auto" w:fill="auto"/>
          </w:tcPr>
          <w:p w14:paraId="4FD0E3D6" w14:textId="2A181401" w:rsidR="006346E1" w:rsidRDefault="00DE39D0" w:rsidP="006346E1">
            <w:r>
              <w:t>2.NP</w:t>
            </w:r>
          </w:p>
        </w:tc>
        <w:tc>
          <w:tcPr>
            <w:tcW w:w="2092" w:type="dxa"/>
            <w:shd w:val="clear" w:color="auto" w:fill="auto"/>
          </w:tcPr>
          <w:p w14:paraId="1BC16D00" w14:textId="05EA1472" w:rsidR="006346E1" w:rsidRDefault="001A72D4" w:rsidP="006346E1">
            <w:r>
              <w:t>A</w:t>
            </w:r>
            <w:r w:rsidR="006346E1">
              <w:t>09</w:t>
            </w:r>
          </w:p>
        </w:tc>
        <w:tc>
          <w:tcPr>
            <w:tcW w:w="2479" w:type="dxa"/>
            <w:shd w:val="clear" w:color="auto" w:fill="auto"/>
          </w:tcPr>
          <w:p w14:paraId="667F4DD3" w14:textId="1EE8D867" w:rsidR="006346E1" w:rsidRDefault="00E16ABB" w:rsidP="006346E1">
            <w:r>
              <w:t xml:space="preserve">schodiště </w:t>
            </w:r>
          </w:p>
        </w:tc>
        <w:tc>
          <w:tcPr>
            <w:tcW w:w="2121" w:type="dxa"/>
          </w:tcPr>
          <w:p w14:paraId="3CD973AA" w14:textId="5504FDBD" w:rsidR="006346E1" w:rsidRDefault="00E16ABB" w:rsidP="006346E1">
            <w:pPr>
              <w:jc w:val="right"/>
            </w:pPr>
            <w:r>
              <w:t>10,5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1FADE270" w14:textId="77777777" w:rsidTr="006346E1">
        <w:tc>
          <w:tcPr>
            <w:tcW w:w="2118" w:type="dxa"/>
            <w:shd w:val="clear" w:color="auto" w:fill="auto"/>
          </w:tcPr>
          <w:p w14:paraId="4654ADA2" w14:textId="05BB0185" w:rsidR="006346E1" w:rsidRDefault="001771A2" w:rsidP="006346E1">
            <w:r>
              <w:t>3.NP</w:t>
            </w:r>
          </w:p>
        </w:tc>
        <w:tc>
          <w:tcPr>
            <w:tcW w:w="2092" w:type="dxa"/>
            <w:shd w:val="clear" w:color="auto" w:fill="auto"/>
          </w:tcPr>
          <w:p w14:paraId="3995F918" w14:textId="405B6E3A" w:rsidR="006346E1" w:rsidRDefault="001A72D4" w:rsidP="006346E1">
            <w:r>
              <w:t>A</w:t>
            </w:r>
            <w:r w:rsidR="006346E1">
              <w:t>10</w:t>
            </w:r>
          </w:p>
        </w:tc>
        <w:tc>
          <w:tcPr>
            <w:tcW w:w="2479" w:type="dxa"/>
            <w:shd w:val="clear" w:color="auto" w:fill="auto"/>
          </w:tcPr>
          <w:p w14:paraId="4981CE02" w14:textId="78CFF553" w:rsidR="006346E1" w:rsidRDefault="006346E1" w:rsidP="006346E1">
            <w:r>
              <w:t>s</w:t>
            </w:r>
            <w:r w:rsidR="00E16ABB">
              <w:t>chodiště</w:t>
            </w:r>
          </w:p>
        </w:tc>
        <w:tc>
          <w:tcPr>
            <w:tcW w:w="2121" w:type="dxa"/>
          </w:tcPr>
          <w:p w14:paraId="13C8F6B9" w14:textId="721E2528" w:rsidR="006346E1" w:rsidRDefault="00E16ABB" w:rsidP="006346E1">
            <w:pPr>
              <w:jc w:val="right"/>
            </w:pPr>
            <w:r>
              <w:t>10,5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0738CA25" w14:textId="77777777" w:rsidTr="006346E1">
        <w:tc>
          <w:tcPr>
            <w:tcW w:w="2118" w:type="dxa"/>
            <w:shd w:val="clear" w:color="auto" w:fill="auto"/>
          </w:tcPr>
          <w:p w14:paraId="6CD4A43F" w14:textId="1EB889AF" w:rsidR="006346E1" w:rsidRDefault="006346E1" w:rsidP="006346E1">
            <w:r>
              <w:t>1.</w:t>
            </w:r>
            <w:r w:rsidR="001771A2">
              <w:t>P</w:t>
            </w:r>
            <w:r>
              <w:t>P</w:t>
            </w:r>
          </w:p>
        </w:tc>
        <w:tc>
          <w:tcPr>
            <w:tcW w:w="2092" w:type="dxa"/>
            <w:shd w:val="clear" w:color="auto" w:fill="auto"/>
          </w:tcPr>
          <w:p w14:paraId="34AE029E" w14:textId="3EB20860" w:rsidR="006346E1" w:rsidRDefault="001A72D4" w:rsidP="006346E1">
            <w:r>
              <w:t>B</w:t>
            </w:r>
            <w:r w:rsidR="006346E1">
              <w:t>01</w:t>
            </w:r>
          </w:p>
        </w:tc>
        <w:tc>
          <w:tcPr>
            <w:tcW w:w="2479" w:type="dxa"/>
            <w:shd w:val="clear" w:color="auto" w:fill="auto"/>
          </w:tcPr>
          <w:p w14:paraId="12A73973" w14:textId="72EDDE64" w:rsidR="006346E1" w:rsidRDefault="00AF0467" w:rsidP="006346E1">
            <w:r>
              <w:t>místnost skl. kójí</w:t>
            </w:r>
          </w:p>
        </w:tc>
        <w:tc>
          <w:tcPr>
            <w:tcW w:w="2121" w:type="dxa"/>
          </w:tcPr>
          <w:p w14:paraId="3453A048" w14:textId="67040F59" w:rsidR="006346E1" w:rsidRDefault="00805AAE" w:rsidP="006346E1">
            <w:pPr>
              <w:jc w:val="right"/>
            </w:pPr>
            <w:r>
              <w:t>17,1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63F1DA25" w14:textId="77777777" w:rsidTr="006346E1">
        <w:tc>
          <w:tcPr>
            <w:tcW w:w="2118" w:type="dxa"/>
            <w:shd w:val="clear" w:color="auto" w:fill="auto"/>
          </w:tcPr>
          <w:p w14:paraId="28AF94B5" w14:textId="4CD524F7" w:rsidR="006346E1" w:rsidRDefault="006346E1" w:rsidP="006346E1"/>
        </w:tc>
        <w:tc>
          <w:tcPr>
            <w:tcW w:w="2092" w:type="dxa"/>
            <w:shd w:val="clear" w:color="auto" w:fill="auto"/>
          </w:tcPr>
          <w:p w14:paraId="72E89E1F" w14:textId="2B0D6FBC" w:rsidR="006346E1" w:rsidRDefault="00531BE2" w:rsidP="006346E1">
            <w:r>
              <w:t>B02</w:t>
            </w:r>
          </w:p>
        </w:tc>
        <w:tc>
          <w:tcPr>
            <w:tcW w:w="2479" w:type="dxa"/>
            <w:shd w:val="clear" w:color="auto" w:fill="auto"/>
          </w:tcPr>
          <w:p w14:paraId="6106F835" w14:textId="55B1A11C" w:rsidR="006346E1" w:rsidRDefault="006346E1" w:rsidP="006346E1">
            <w:r>
              <w:t>schodiště</w:t>
            </w:r>
          </w:p>
        </w:tc>
        <w:tc>
          <w:tcPr>
            <w:tcW w:w="2121" w:type="dxa"/>
          </w:tcPr>
          <w:p w14:paraId="636CE749" w14:textId="2B7F522E" w:rsidR="006346E1" w:rsidRDefault="00805AAE" w:rsidP="006346E1">
            <w:pPr>
              <w:jc w:val="right"/>
            </w:pPr>
            <w:r>
              <w:t>2,6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61FABE3D" w14:textId="77777777" w:rsidTr="006346E1">
        <w:tc>
          <w:tcPr>
            <w:tcW w:w="2118" w:type="dxa"/>
            <w:shd w:val="clear" w:color="auto" w:fill="auto"/>
          </w:tcPr>
          <w:p w14:paraId="504ABC98" w14:textId="5732A447" w:rsidR="006346E1" w:rsidRDefault="006346E1" w:rsidP="006346E1"/>
        </w:tc>
        <w:tc>
          <w:tcPr>
            <w:tcW w:w="2092" w:type="dxa"/>
            <w:shd w:val="clear" w:color="auto" w:fill="auto"/>
          </w:tcPr>
          <w:p w14:paraId="5E31F66C" w14:textId="24C38BA6" w:rsidR="006346E1" w:rsidRDefault="00531BE2" w:rsidP="006346E1">
            <w:r>
              <w:t>B03</w:t>
            </w:r>
          </w:p>
        </w:tc>
        <w:tc>
          <w:tcPr>
            <w:tcW w:w="2479" w:type="dxa"/>
            <w:shd w:val="clear" w:color="auto" w:fill="auto"/>
          </w:tcPr>
          <w:p w14:paraId="3DC779F5" w14:textId="161B7F61" w:rsidR="006346E1" w:rsidRDefault="00034CE1" w:rsidP="006346E1">
            <w:r>
              <w:t>prostor pod schodištěm</w:t>
            </w:r>
          </w:p>
        </w:tc>
        <w:tc>
          <w:tcPr>
            <w:tcW w:w="2121" w:type="dxa"/>
          </w:tcPr>
          <w:p w14:paraId="289E74FC" w14:textId="2F98A28C" w:rsidR="006346E1" w:rsidRDefault="00034CE1" w:rsidP="006346E1">
            <w:pPr>
              <w:jc w:val="right"/>
            </w:pPr>
            <w:r>
              <w:t>2,4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5A4F217A" w14:textId="77777777" w:rsidTr="006346E1">
        <w:tc>
          <w:tcPr>
            <w:tcW w:w="2118" w:type="dxa"/>
            <w:shd w:val="clear" w:color="auto" w:fill="auto"/>
          </w:tcPr>
          <w:p w14:paraId="6B610A11" w14:textId="557DD3C9" w:rsidR="006346E1" w:rsidRDefault="006346E1" w:rsidP="006346E1"/>
        </w:tc>
        <w:tc>
          <w:tcPr>
            <w:tcW w:w="2092" w:type="dxa"/>
            <w:shd w:val="clear" w:color="auto" w:fill="auto"/>
          </w:tcPr>
          <w:p w14:paraId="04CC1B33" w14:textId="7ACBBEAE" w:rsidR="006346E1" w:rsidRDefault="00531BE2" w:rsidP="006346E1">
            <w:r>
              <w:t>B04</w:t>
            </w:r>
          </w:p>
        </w:tc>
        <w:tc>
          <w:tcPr>
            <w:tcW w:w="2479" w:type="dxa"/>
            <w:shd w:val="clear" w:color="auto" w:fill="auto"/>
          </w:tcPr>
          <w:p w14:paraId="253C3218" w14:textId="62A361A0" w:rsidR="006346E1" w:rsidRDefault="006346E1" w:rsidP="006346E1">
            <w:r>
              <w:t>chodba</w:t>
            </w:r>
          </w:p>
        </w:tc>
        <w:tc>
          <w:tcPr>
            <w:tcW w:w="2121" w:type="dxa"/>
          </w:tcPr>
          <w:p w14:paraId="115A8FE6" w14:textId="7ADF687E" w:rsidR="006346E1" w:rsidRDefault="006346E1" w:rsidP="006346E1">
            <w:pPr>
              <w:jc w:val="right"/>
            </w:pPr>
            <w:r>
              <w:t>6,5 m</w:t>
            </w:r>
            <w:r w:rsidRPr="00FA6A60">
              <w:rPr>
                <w:vertAlign w:val="superscript"/>
              </w:rPr>
              <w:t>2</w:t>
            </w:r>
          </w:p>
        </w:tc>
      </w:tr>
      <w:tr w:rsidR="006346E1" w14:paraId="0678A81C" w14:textId="77777777" w:rsidTr="006346E1">
        <w:tc>
          <w:tcPr>
            <w:tcW w:w="2118" w:type="dxa"/>
            <w:shd w:val="clear" w:color="auto" w:fill="auto"/>
          </w:tcPr>
          <w:p w14:paraId="28C424A1" w14:textId="760D287E" w:rsidR="006346E1" w:rsidRDefault="006346E1" w:rsidP="006346E1"/>
        </w:tc>
        <w:tc>
          <w:tcPr>
            <w:tcW w:w="2092" w:type="dxa"/>
            <w:shd w:val="clear" w:color="auto" w:fill="auto"/>
          </w:tcPr>
          <w:p w14:paraId="07BE1021" w14:textId="4E67D9DE" w:rsidR="006346E1" w:rsidRDefault="00AF6BE6" w:rsidP="006346E1">
            <w:r>
              <w:t>B05</w:t>
            </w:r>
          </w:p>
        </w:tc>
        <w:tc>
          <w:tcPr>
            <w:tcW w:w="2479" w:type="dxa"/>
            <w:shd w:val="clear" w:color="auto" w:fill="auto"/>
          </w:tcPr>
          <w:p w14:paraId="217D7B16" w14:textId="34D95B6F" w:rsidR="006346E1" w:rsidRDefault="00E2021E" w:rsidP="006346E1">
            <w:r>
              <w:t>s</w:t>
            </w:r>
            <w:r w:rsidR="0001245F">
              <w:t xml:space="preserve">kl. </w:t>
            </w:r>
            <w:r>
              <w:t>k</w:t>
            </w:r>
            <w:r w:rsidR="0001245F">
              <w:t>óje + chodba</w:t>
            </w:r>
          </w:p>
        </w:tc>
        <w:tc>
          <w:tcPr>
            <w:tcW w:w="2121" w:type="dxa"/>
          </w:tcPr>
          <w:p w14:paraId="65E7BE33" w14:textId="2F1D24AB" w:rsidR="006346E1" w:rsidRDefault="00E2021E" w:rsidP="006346E1">
            <w:pPr>
              <w:jc w:val="right"/>
            </w:pPr>
            <w:r>
              <w:t>40,3</w:t>
            </w:r>
            <w:r w:rsidR="006346E1">
              <w:t xml:space="preserve"> m</w:t>
            </w:r>
            <w:r w:rsidR="006346E1" w:rsidRPr="00FA6A60">
              <w:rPr>
                <w:vertAlign w:val="superscript"/>
              </w:rPr>
              <w:t>2</w:t>
            </w:r>
          </w:p>
        </w:tc>
      </w:tr>
      <w:tr w:rsidR="006346E1" w14:paraId="18951246" w14:textId="77777777" w:rsidTr="006346E1">
        <w:tc>
          <w:tcPr>
            <w:tcW w:w="2118" w:type="dxa"/>
            <w:shd w:val="clear" w:color="auto" w:fill="auto"/>
          </w:tcPr>
          <w:p w14:paraId="5DD5FE21" w14:textId="6BCBF617" w:rsidR="006346E1" w:rsidRDefault="00741E79" w:rsidP="006346E1">
            <w:r>
              <w:t>1.NP</w:t>
            </w:r>
          </w:p>
        </w:tc>
        <w:tc>
          <w:tcPr>
            <w:tcW w:w="2092" w:type="dxa"/>
            <w:shd w:val="clear" w:color="auto" w:fill="auto"/>
          </w:tcPr>
          <w:p w14:paraId="75832E86" w14:textId="5DAA08BE" w:rsidR="006346E1" w:rsidRPr="00AF6BE6" w:rsidRDefault="009D7A0E" w:rsidP="006346E1">
            <w:pPr>
              <w:rPr>
                <w:highlight w:val="yellow"/>
              </w:rPr>
            </w:pPr>
            <w:r w:rsidRPr="009D7A0E">
              <w:t>B06</w:t>
            </w:r>
          </w:p>
        </w:tc>
        <w:tc>
          <w:tcPr>
            <w:tcW w:w="2479" w:type="dxa"/>
            <w:shd w:val="clear" w:color="auto" w:fill="auto"/>
          </w:tcPr>
          <w:p w14:paraId="449CB228" w14:textId="7E9CB34D" w:rsidR="006346E1" w:rsidRDefault="007235D1" w:rsidP="006346E1">
            <w:r>
              <w:t xml:space="preserve">schodiště </w:t>
            </w:r>
          </w:p>
        </w:tc>
        <w:tc>
          <w:tcPr>
            <w:tcW w:w="2121" w:type="dxa"/>
          </w:tcPr>
          <w:p w14:paraId="4A6B7C87" w14:textId="65947624" w:rsidR="006346E1" w:rsidRDefault="007235D1" w:rsidP="006346E1">
            <w:pPr>
              <w:jc w:val="right"/>
            </w:pPr>
            <w:r>
              <w:t>10,5 m²</w:t>
            </w:r>
          </w:p>
        </w:tc>
      </w:tr>
      <w:tr w:rsidR="006346E1" w14:paraId="3948677A" w14:textId="77777777" w:rsidTr="006346E1">
        <w:tc>
          <w:tcPr>
            <w:tcW w:w="2118" w:type="dxa"/>
            <w:shd w:val="clear" w:color="auto" w:fill="auto"/>
          </w:tcPr>
          <w:p w14:paraId="29EAC8FE" w14:textId="18FAC57D" w:rsidR="006346E1" w:rsidRDefault="0050084A" w:rsidP="006346E1">
            <w:r>
              <w:t>2. NP</w:t>
            </w:r>
          </w:p>
        </w:tc>
        <w:tc>
          <w:tcPr>
            <w:tcW w:w="2092" w:type="dxa"/>
            <w:shd w:val="clear" w:color="auto" w:fill="auto"/>
          </w:tcPr>
          <w:p w14:paraId="2F2D8FA4" w14:textId="06E2ED9B" w:rsidR="006346E1" w:rsidRDefault="0050084A" w:rsidP="006346E1">
            <w:r>
              <w:t>B07</w:t>
            </w:r>
          </w:p>
        </w:tc>
        <w:tc>
          <w:tcPr>
            <w:tcW w:w="2479" w:type="dxa"/>
            <w:shd w:val="clear" w:color="auto" w:fill="auto"/>
          </w:tcPr>
          <w:p w14:paraId="01EC587B" w14:textId="462AC33B" w:rsidR="006346E1" w:rsidRDefault="00BE3416" w:rsidP="006346E1">
            <w:r>
              <w:t xml:space="preserve">schodiště </w:t>
            </w:r>
          </w:p>
        </w:tc>
        <w:tc>
          <w:tcPr>
            <w:tcW w:w="2121" w:type="dxa"/>
          </w:tcPr>
          <w:p w14:paraId="630B0840" w14:textId="20882FFB" w:rsidR="006346E1" w:rsidRDefault="00857CA2" w:rsidP="006346E1">
            <w:pPr>
              <w:jc w:val="right"/>
            </w:pPr>
            <w:r>
              <w:t>10,5 m²</w:t>
            </w:r>
          </w:p>
        </w:tc>
      </w:tr>
      <w:tr w:rsidR="008659C9" w14:paraId="2AF9C79E" w14:textId="77777777" w:rsidTr="006346E1">
        <w:tc>
          <w:tcPr>
            <w:tcW w:w="2118" w:type="dxa"/>
            <w:shd w:val="clear" w:color="auto" w:fill="auto"/>
          </w:tcPr>
          <w:p w14:paraId="29B69734" w14:textId="3D2648C1" w:rsidR="008659C9" w:rsidRDefault="008659C9" w:rsidP="008659C9">
            <w:r>
              <w:t>3.NP</w:t>
            </w:r>
          </w:p>
        </w:tc>
        <w:tc>
          <w:tcPr>
            <w:tcW w:w="2092" w:type="dxa"/>
            <w:shd w:val="clear" w:color="auto" w:fill="auto"/>
          </w:tcPr>
          <w:p w14:paraId="5CD35E3C" w14:textId="40AFAE37" w:rsidR="008659C9" w:rsidRDefault="008659C9" w:rsidP="008659C9">
            <w:r>
              <w:t>B08</w:t>
            </w:r>
          </w:p>
        </w:tc>
        <w:tc>
          <w:tcPr>
            <w:tcW w:w="2479" w:type="dxa"/>
            <w:shd w:val="clear" w:color="auto" w:fill="auto"/>
          </w:tcPr>
          <w:p w14:paraId="33D3146A" w14:textId="3DE8063E" w:rsidR="008659C9" w:rsidRDefault="008659C9" w:rsidP="008659C9">
            <w:r>
              <w:t xml:space="preserve">schodiště </w:t>
            </w:r>
          </w:p>
        </w:tc>
        <w:tc>
          <w:tcPr>
            <w:tcW w:w="2121" w:type="dxa"/>
          </w:tcPr>
          <w:p w14:paraId="43C30092" w14:textId="09443EF6" w:rsidR="008659C9" w:rsidRDefault="008659C9" w:rsidP="008659C9">
            <w:pPr>
              <w:jc w:val="right"/>
            </w:pPr>
            <w:r>
              <w:t>10,5 m²</w:t>
            </w:r>
          </w:p>
        </w:tc>
      </w:tr>
      <w:tr w:rsidR="006346E1" w14:paraId="45A1ACE7" w14:textId="77777777" w:rsidTr="006346E1">
        <w:tc>
          <w:tcPr>
            <w:tcW w:w="2118" w:type="dxa"/>
            <w:shd w:val="clear" w:color="auto" w:fill="auto"/>
          </w:tcPr>
          <w:p w14:paraId="4B6BC56D" w14:textId="286C1613" w:rsidR="006346E1" w:rsidRDefault="00F45CF6" w:rsidP="006346E1">
            <w:r>
              <w:t>1.PP</w:t>
            </w:r>
          </w:p>
        </w:tc>
        <w:tc>
          <w:tcPr>
            <w:tcW w:w="2092" w:type="dxa"/>
            <w:shd w:val="clear" w:color="auto" w:fill="auto"/>
          </w:tcPr>
          <w:p w14:paraId="0081B5F3" w14:textId="1062DE4B" w:rsidR="006346E1" w:rsidRDefault="00E40DAC" w:rsidP="006346E1">
            <w:r>
              <w:t>C01</w:t>
            </w:r>
          </w:p>
        </w:tc>
        <w:tc>
          <w:tcPr>
            <w:tcW w:w="2479" w:type="dxa"/>
            <w:shd w:val="clear" w:color="auto" w:fill="auto"/>
          </w:tcPr>
          <w:p w14:paraId="0B2DEC78" w14:textId="1A9CFE02" w:rsidR="006346E1" w:rsidRDefault="006C30F8" w:rsidP="006346E1">
            <w:r>
              <w:t>chodba</w:t>
            </w:r>
          </w:p>
        </w:tc>
        <w:tc>
          <w:tcPr>
            <w:tcW w:w="2121" w:type="dxa"/>
          </w:tcPr>
          <w:p w14:paraId="7BD56C1E" w14:textId="5C93A36A" w:rsidR="006346E1" w:rsidRDefault="006C30F8" w:rsidP="006346E1">
            <w:pPr>
              <w:jc w:val="right"/>
            </w:pPr>
            <w:r>
              <w:t>6,3 m²</w:t>
            </w:r>
          </w:p>
        </w:tc>
      </w:tr>
      <w:tr w:rsidR="003B7D10" w14:paraId="4AC728FD" w14:textId="77777777" w:rsidTr="006346E1">
        <w:tc>
          <w:tcPr>
            <w:tcW w:w="2118" w:type="dxa"/>
            <w:shd w:val="clear" w:color="auto" w:fill="auto"/>
          </w:tcPr>
          <w:p w14:paraId="6672EEA9" w14:textId="5E9434FF" w:rsidR="003B7D10" w:rsidRDefault="003B7D10" w:rsidP="003B7D10"/>
        </w:tc>
        <w:tc>
          <w:tcPr>
            <w:tcW w:w="2092" w:type="dxa"/>
            <w:shd w:val="clear" w:color="auto" w:fill="auto"/>
          </w:tcPr>
          <w:p w14:paraId="623AB3F1" w14:textId="719394C2" w:rsidR="003B7D10" w:rsidRDefault="003B7D10" w:rsidP="003B7D10">
            <w:r>
              <w:t>C02</w:t>
            </w:r>
          </w:p>
        </w:tc>
        <w:tc>
          <w:tcPr>
            <w:tcW w:w="2479" w:type="dxa"/>
            <w:shd w:val="clear" w:color="auto" w:fill="auto"/>
          </w:tcPr>
          <w:p w14:paraId="011609A2" w14:textId="17318497" w:rsidR="003B7D10" w:rsidRPr="00AD0801" w:rsidRDefault="003B7D10" w:rsidP="003B7D10">
            <w:r>
              <w:t>schodiště</w:t>
            </w:r>
          </w:p>
        </w:tc>
        <w:tc>
          <w:tcPr>
            <w:tcW w:w="2121" w:type="dxa"/>
          </w:tcPr>
          <w:p w14:paraId="457C409A" w14:textId="2FA307E3" w:rsidR="003B7D10" w:rsidRDefault="003B7D10" w:rsidP="003B7D10">
            <w:pPr>
              <w:jc w:val="right"/>
            </w:pPr>
            <w:r>
              <w:t>2,6</w:t>
            </w:r>
            <w:r w:rsidRPr="00E825ED">
              <w:t xml:space="preserve"> m²</w:t>
            </w:r>
          </w:p>
        </w:tc>
      </w:tr>
      <w:tr w:rsidR="003B7D10" w14:paraId="618EF187" w14:textId="77777777" w:rsidTr="006346E1">
        <w:tc>
          <w:tcPr>
            <w:tcW w:w="2118" w:type="dxa"/>
            <w:shd w:val="clear" w:color="auto" w:fill="auto"/>
          </w:tcPr>
          <w:p w14:paraId="557C5D6E" w14:textId="6FD5E47C" w:rsidR="003B7D10" w:rsidRDefault="003B7D10" w:rsidP="003B7D10"/>
        </w:tc>
        <w:tc>
          <w:tcPr>
            <w:tcW w:w="2092" w:type="dxa"/>
            <w:shd w:val="clear" w:color="auto" w:fill="auto"/>
          </w:tcPr>
          <w:p w14:paraId="1F1937E7" w14:textId="308AB985" w:rsidR="003B7D10" w:rsidRDefault="003B7D10" w:rsidP="003B7D10">
            <w:r>
              <w:t>C03</w:t>
            </w:r>
          </w:p>
        </w:tc>
        <w:tc>
          <w:tcPr>
            <w:tcW w:w="2479" w:type="dxa"/>
            <w:shd w:val="clear" w:color="auto" w:fill="auto"/>
          </w:tcPr>
          <w:p w14:paraId="258264D3" w14:textId="7172DA8B" w:rsidR="003B7D10" w:rsidRDefault="003B7D10" w:rsidP="003B7D10">
            <w:r>
              <w:t>prostor pod schodištěm</w:t>
            </w:r>
          </w:p>
        </w:tc>
        <w:tc>
          <w:tcPr>
            <w:tcW w:w="2121" w:type="dxa"/>
          </w:tcPr>
          <w:p w14:paraId="1662A635" w14:textId="67F9EEA0" w:rsidR="003B7D10" w:rsidRDefault="00277DEE" w:rsidP="003B7D10">
            <w:pPr>
              <w:jc w:val="right"/>
            </w:pPr>
            <w:r>
              <w:t>2,4</w:t>
            </w:r>
            <w:r w:rsidR="003B7D10" w:rsidRPr="00E825ED">
              <w:t xml:space="preserve"> m²</w:t>
            </w:r>
          </w:p>
        </w:tc>
      </w:tr>
      <w:tr w:rsidR="003B7D10" w14:paraId="18A9D1A0" w14:textId="77777777" w:rsidTr="006346E1">
        <w:tc>
          <w:tcPr>
            <w:tcW w:w="2118" w:type="dxa"/>
            <w:shd w:val="clear" w:color="auto" w:fill="auto"/>
          </w:tcPr>
          <w:p w14:paraId="43D4C3AD" w14:textId="0E8127CF" w:rsidR="003B7D10" w:rsidRPr="003376AD" w:rsidRDefault="003B7D10" w:rsidP="003B7D10"/>
        </w:tc>
        <w:tc>
          <w:tcPr>
            <w:tcW w:w="2092" w:type="dxa"/>
            <w:shd w:val="clear" w:color="auto" w:fill="auto"/>
          </w:tcPr>
          <w:p w14:paraId="54639272" w14:textId="74676503" w:rsidR="003B7D10" w:rsidRDefault="003B7D10" w:rsidP="003B7D10">
            <w:r>
              <w:t>C04</w:t>
            </w:r>
          </w:p>
        </w:tc>
        <w:tc>
          <w:tcPr>
            <w:tcW w:w="2479" w:type="dxa"/>
            <w:shd w:val="clear" w:color="auto" w:fill="auto"/>
          </w:tcPr>
          <w:p w14:paraId="0AF60E03" w14:textId="36A86F25" w:rsidR="003B7D10" w:rsidRDefault="003B7D10" w:rsidP="003B7D10">
            <w:r>
              <w:t>skl. kóje + chodba</w:t>
            </w:r>
          </w:p>
        </w:tc>
        <w:tc>
          <w:tcPr>
            <w:tcW w:w="2121" w:type="dxa"/>
          </w:tcPr>
          <w:p w14:paraId="1C844077" w14:textId="52A52953" w:rsidR="003B7D10" w:rsidRDefault="00277DEE" w:rsidP="003B7D10">
            <w:pPr>
              <w:jc w:val="right"/>
            </w:pPr>
            <w:r>
              <w:t>32,4</w:t>
            </w:r>
            <w:r w:rsidR="003B7D10" w:rsidRPr="00E825ED">
              <w:t xml:space="preserve"> m²</w:t>
            </w:r>
          </w:p>
        </w:tc>
      </w:tr>
      <w:tr w:rsidR="003B7D10" w14:paraId="697ECA6F" w14:textId="77777777" w:rsidTr="006346E1">
        <w:tc>
          <w:tcPr>
            <w:tcW w:w="2118" w:type="dxa"/>
            <w:shd w:val="clear" w:color="auto" w:fill="auto"/>
          </w:tcPr>
          <w:p w14:paraId="45DBAA09" w14:textId="0BE0E2EE" w:rsidR="003B7D10" w:rsidRPr="003376AD" w:rsidRDefault="003B7D10" w:rsidP="003B7D10"/>
        </w:tc>
        <w:tc>
          <w:tcPr>
            <w:tcW w:w="2092" w:type="dxa"/>
            <w:shd w:val="clear" w:color="auto" w:fill="auto"/>
          </w:tcPr>
          <w:p w14:paraId="1716FCFB" w14:textId="0E897452" w:rsidR="003B7D10" w:rsidRDefault="003B7D10" w:rsidP="003B7D10">
            <w:r>
              <w:t>C05</w:t>
            </w:r>
          </w:p>
        </w:tc>
        <w:tc>
          <w:tcPr>
            <w:tcW w:w="2479" w:type="dxa"/>
            <w:shd w:val="clear" w:color="auto" w:fill="auto"/>
          </w:tcPr>
          <w:p w14:paraId="67F3D743" w14:textId="3678FF65" w:rsidR="003B7D10" w:rsidRDefault="003B7D10" w:rsidP="003B7D10">
            <w:r>
              <w:t>WC</w:t>
            </w:r>
          </w:p>
        </w:tc>
        <w:tc>
          <w:tcPr>
            <w:tcW w:w="2121" w:type="dxa"/>
          </w:tcPr>
          <w:p w14:paraId="10961A62" w14:textId="2911E61A" w:rsidR="003B7D10" w:rsidRDefault="00277DEE" w:rsidP="003B7D10">
            <w:pPr>
              <w:jc w:val="right"/>
            </w:pPr>
            <w:r>
              <w:t>1,4</w:t>
            </w:r>
            <w:r w:rsidR="003B7D10" w:rsidRPr="00E825ED">
              <w:t xml:space="preserve"> m²</w:t>
            </w:r>
          </w:p>
        </w:tc>
      </w:tr>
      <w:tr w:rsidR="003B7D10" w14:paraId="3EDDF6B4" w14:textId="77777777" w:rsidTr="006346E1">
        <w:tc>
          <w:tcPr>
            <w:tcW w:w="2118" w:type="dxa"/>
            <w:shd w:val="clear" w:color="auto" w:fill="auto"/>
          </w:tcPr>
          <w:p w14:paraId="109DCC1F" w14:textId="77777777" w:rsidR="003B7D10" w:rsidRPr="003376AD" w:rsidRDefault="003B7D10" w:rsidP="003B7D10"/>
        </w:tc>
        <w:tc>
          <w:tcPr>
            <w:tcW w:w="2092" w:type="dxa"/>
            <w:shd w:val="clear" w:color="auto" w:fill="auto"/>
          </w:tcPr>
          <w:p w14:paraId="10AC8AB2" w14:textId="04E07D85" w:rsidR="003B7D10" w:rsidRDefault="003B7D10" w:rsidP="003B7D10">
            <w:r>
              <w:t>C06</w:t>
            </w:r>
          </w:p>
        </w:tc>
        <w:tc>
          <w:tcPr>
            <w:tcW w:w="2479" w:type="dxa"/>
            <w:shd w:val="clear" w:color="auto" w:fill="auto"/>
          </w:tcPr>
          <w:p w14:paraId="46518271" w14:textId="742A9405" w:rsidR="003B7D10" w:rsidRDefault="003B7D10" w:rsidP="003B7D10">
            <w:r>
              <w:t>úklidová místnost</w:t>
            </w:r>
          </w:p>
        </w:tc>
        <w:tc>
          <w:tcPr>
            <w:tcW w:w="2121" w:type="dxa"/>
          </w:tcPr>
          <w:p w14:paraId="4005F03C" w14:textId="0F516A53" w:rsidR="003B7D10" w:rsidRDefault="00277DEE" w:rsidP="003B7D10">
            <w:pPr>
              <w:jc w:val="right"/>
            </w:pPr>
            <w:r>
              <w:t>2,6</w:t>
            </w:r>
            <w:r w:rsidR="003B7D10" w:rsidRPr="00E825ED">
              <w:t xml:space="preserve"> m²</w:t>
            </w:r>
          </w:p>
        </w:tc>
      </w:tr>
      <w:tr w:rsidR="003B7D10" w14:paraId="4807AA0D" w14:textId="77777777" w:rsidTr="006346E1">
        <w:tc>
          <w:tcPr>
            <w:tcW w:w="2118" w:type="dxa"/>
            <w:shd w:val="clear" w:color="auto" w:fill="auto"/>
          </w:tcPr>
          <w:p w14:paraId="644E271D" w14:textId="77777777" w:rsidR="003B7D10" w:rsidRPr="003376AD" w:rsidRDefault="003B7D10" w:rsidP="003B7D10"/>
        </w:tc>
        <w:tc>
          <w:tcPr>
            <w:tcW w:w="2092" w:type="dxa"/>
            <w:shd w:val="clear" w:color="auto" w:fill="auto"/>
          </w:tcPr>
          <w:p w14:paraId="253F6791" w14:textId="19C4DF77" w:rsidR="003B7D10" w:rsidRDefault="003B7D10" w:rsidP="003B7D10">
            <w:r>
              <w:t>C07</w:t>
            </w:r>
          </w:p>
        </w:tc>
        <w:tc>
          <w:tcPr>
            <w:tcW w:w="2479" w:type="dxa"/>
            <w:shd w:val="clear" w:color="auto" w:fill="auto"/>
          </w:tcPr>
          <w:p w14:paraId="0C74EBF6" w14:textId="45274EDE" w:rsidR="003B7D10" w:rsidRDefault="003B7D10" w:rsidP="003B7D10">
            <w:r>
              <w:t xml:space="preserve">prádelna </w:t>
            </w:r>
          </w:p>
        </w:tc>
        <w:tc>
          <w:tcPr>
            <w:tcW w:w="2121" w:type="dxa"/>
          </w:tcPr>
          <w:p w14:paraId="7C8CFE60" w14:textId="47FC2E5D" w:rsidR="003B7D10" w:rsidRDefault="00277DEE" w:rsidP="003B7D10">
            <w:pPr>
              <w:jc w:val="right"/>
            </w:pPr>
            <w:r>
              <w:t>10,5</w:t>
            </w:r>
            <w:r w:rsidR="003B7D10" w:rsidRPr="00E825ED">
              <w:t xml:space="preserve"> m²</w:t>
            </w:r>
          </w:p>
        </w:tc>
      </w:tr>
      <w:tr w:rsidR="009954F6" w14:paraId="5967924E" w14:textId="77777777" w:rsidTr="006346E1">
        <w:tc>
          <w:tcPr>
            <w:tcW w:w="2118" w:type="dxa"/>
            <w:shd w:val="clear" w:color="auto" w:fill="auto"/>
          </w:tcPr>
          <w:p w14:paraId="69139441" w14:textId="68A41B8E" w:rsidR="009954F6" w:rsidRPr="003376AD" w:rsidRDefault="009954F6" w:rsidP="009954F6">
            <w:r>
              <w:t>1.NP</w:t>
            </w:r>
          </w:p>
        </w:tc>
        <w:tc>
          <w:tcPr>
            <w:tcW w:w="2092" w:type="dxa"/>
            <w:shd w:val="clear" w:color="auto" w:fill="auto"/>
          </w:tcPr>
          <w:p w14:paraId="2F2B7228" w14:textId="16B483DE" w:rsidR="009954F6" w:rsidRDefault="009954F6" w:rsidP="009954F6">
            <w:r>
              <w:t>C08</w:t>
            </w:r>
          </w:p>
        </w:tc>
        <w:tc>
          <w:tcPr>
            <w:tcW w:w="2479" w:type="dxa"/>
            <w:shd w:val="clear" w:color="auto" w:fill="auto"/>
          </w:tcPr>
          <w:p w14:paraId="30C73BA1" w14:textId="62086D7E" w:rsidR="009954F6" w:rsidRDefault="009954F6" w:rsidP="009954F6">
            <w:r>
              <w:t xml:space="preserve">schodiště </w:t>
            </w:r>
          </w:p>
        </w:tc>
        <w:tc>
          <w:tcPr>
            <w:tcW w:w="2121" w:type="dxa"/>
          </w:tcPr>
          <w:p w14:paraId="664753D2" w14:textId="54761F56" w:rsidR="009954F6" w:rsidRDefault="009954F6" w:rsidP="009954F6">
            <w:pPr>
              <w:jc w:val="right"/>
            </w:pPr>
            <w:r w:rsidRPr="00A27676">
              <w:t>10,5 m²</w:t>
            </w:r>
          </w:p>
        </w:tc>
      </w:tr>
      <w:tr w:rsidR="009954F6" w14:paraId="49078F03" w14:textId="77777777" w:rsidTr="006346E1">
        <w:tc>
          <w:tcPr>
            <w:tcW w:w="2118" w:type="dxa"/>
            <w:shd w:val="clear" w:color="auto" w:fill="auto"/>
          </w:tcPr>
          <w:p w14:paraId="75648D34" w14:textId="23C6E6E0" w:rsidR="009954F6" w:rsidRPr="003376AD" w:rsidRDefault="009954F6" w:rsidP="009954F6">
            <w:r>
              <w:t>2.NP</w:t>
            </w:r>
          </w:p>
        </w:tc>
        <w:tc>
          <w:tcPr>
            <w:tcW w:w="2092" w:type="dxa"/>
            <w:shd w:val="clear" w:color="auto" w:fill="auto"/>
          </w:tcPr>
          <w:p w14:paraId="2D8A000C" w14:textId="3BC39F92" w:rsidR="009954F6" w:rsidRDefault="009954F6" w:rsidP="009954F6">
            <w:r>
              <w:t>C09</w:t>
            </w:r>
          </w:p>
        </w:tc>
        <w:tc>
          <w:tcPr>
            <w:tcW w:w="2479" w:type="dxa"/>
            <w:shd w:val="clear" w:color="auto" w:fill="auto"/>
          </w:tcPr>
          <w:p w14:paraId="2230A574" w14:textId="40DC4284" w:rsidR="009954F6" w:rsidRDefault="009954F6" w:rsidP="009954F6">
            <w:r w:rsidRPr="00AB0192">
              <w:t>schodiště</w:t>
            </w:r>
          </w:p>
        </w:tc>
        <w:tc>
          <w:tcPr>
            <w:tcW w:w="2121" w:type="dxa"/>
          </w:tcPr>
          <w:p w14:paraId="3F48057E" w14:textId="529CFF08" w:rsidR="009954F6" w:rsidRDefault="009954F6" w:rsidP="009954F6">
            <w:pPr>
              <w:jc w:val="right"/>
            </w:pPr>
            <w:r w:rsidRPr="00A27676">
              <w:t>10,5 m²</w:t>
            </w:r>
          </w:p>
        </w:tc>
      </w:tr>
      <w:tr w:rsidR="009954F6" w14:paraId="011AE25E" w14:textId="77777777" w:rsidTr="006346E1">
        <w:tc>
          <w:tcPr>
            <w:tcW w:w="2118" w:type="dxa"/>
            <w:shd w:val="clear" w:color="auto" w:fill="auto"/>
          </w:tcPr>
          <w:p w14:paraId="42063092" w14:textId="11DC7D41" w:rsidR="009954F6" w:rsidRPr="003376AD" w:rsidRDefault="009954F6" w:rsidP="009954F6">
            <w:r>
              <w:t>3.NP</w:t>
            </w:r>
          </w:p>
        </w:tc>
        <w:tc>
          <w:tcPr>
            <w:tcW w:w="2092" w:type="dxa"/>
            <w:shd w:val="clear" w:color="auto" w:fill="auto"/>
          </w:tcPr>
          <w:p w14:paraId="028219A6" w14:textId="6E3E2F4A" w:rsidR="009954F6" w:rsidRDefault="009954F6" w:rsidP="009954F6">
            <w:r>
              <w:t>C10</w:t>
            </w:r>
          </w:p>
        </w:tc>
        <w:tc>
          <w:tcPr>
            <w:tcW w:w="2479" w:type="dxa"/>
            <w:shd w:val="clear" w:color="auto" w:fill="auto"/>
          </w:tcPr>
          <w:p w14:paraId="541EA927" w14:textId="5CF08B02" w:rsidR="009954F6" w:rsidRDefault="009954F6" w:rsidP="009954F6">
            <w:r w:rsidRPr="00AB0192">
              <w:t>schodiště</w:t>
            </w:r>
          </w:p>
        </w:tc>
        <w:tc>
          <w:tcPr>
            <w:tcW w:w="2121" w:type="dxa"/>
          </w:tcPr>
          <w:p w14:paraId="374C31AF" w14:textId="6BF0B91C" w:rsidR="009954F6" w:rsidRDefault="009954F6" w:rsidP="009954F6">
            <w:pPr>
              <w:jc w:val="right"/>
            </w:pPr>
            <w:r w:rsidRPr="00A27676">
              <w:t>10,5 m²</w:t>
            </w:r>
          </w:p>
        </w:tc>
      </w:tr>
    </w:tbl>
    <w:p w14:paraId="2571E066" w14:textId="77777777" w:rsidR="006346E1" w:rsidRDefault="006346E1" w:rsidP="001B6CDD">
      <w:pPr>
        <w:jc w:val="both"/>
      </w:pPr>
    </w:p>
    <w:p w14:paraId="1FAA7DCA" w14:textId="4A61D150" w:rsidR="001312CE" w:rsidRPr="006A08F9" w:rsidRDefault="001312CE" w:rsidP="001312CE">
      <w:pPr>
        <w:jc w:val="both"/>
      </w:pPr>
      <w:r w:rsidRPr="006A08F9">
        <w:t xml:space="preserve">Všechny tyto společné části mají právo užívat </w:t>
      </w:r>
      <w:r w:rsidR="00F3601A" w:rsidRPr="006A08F9">
        <w:t>a povinnost podílet se na jejich opravách a</w:t>
      </w:r>
      <w:r w:rsidR="008457E8" w:rsidRPr="006A08F9">
        <w:t> </w:t>
      </w:r>
      <w:r w:rsidR="00F3601A" w:rsidRPr="006A08F9">
        <w:t xml:space="preserve">údržbě </w:t>
      </w:r>
      <w:r w:rsidR="003C2C07" w:rsidRPr="006A08F9">
        <w:t xml:space="preserve">všichni spoluvlastníci </w:t>
      </w:r>
      <w:r w:rsidR="00457FA5" w:rsidRPr="006A08F9">
        <w:t>z titulu svého spoluvlastnického práva</w:t>
      </w:r>
      <w:r w:rsidRPr="006A08F9">
        <w:t xml:space="preserve"> dle výše svého spoluvlastnického podílu, který se řídí vzájemným poměrem podlahové plochy jednotky k celkové ploše všech jednotek v domě.</w:t>
      </w:r>
    </w:p>
    <w:p w14:paraId="1FAA7DCB" w14:textId="77777777" w:rsidR="001312CE" w:rsidRPr="006A08F9" w:rsidRDefault="001312CE" w:rsidP="001B6CDD">
      <w:pPr>
        <w:jc w:val="both"/>
      </w:pPr>
    </w:p>
    <w:p w14:paraId="1FAA7DCD" w14:textId="7A5135B1" w:rsidR="005E7AC5" w:rsidRPr="006A08F9" w:rsidRDefault="001B6CDD" w:rsidP="00F01C49">
      <w:pPr>
        <w:jc w:val="both"/>
        <w:rPr>
          <w:b/>
        </w:rPr>
      </w:pPr>
      <w:r w:rsidRPr="006A08F9">
        <w:t xml:space="preserve">(3) </w:t>
      </w:r>
      <w:r w:rsidR="00FA6A60" w:rsidRPr="006A08F9">
        <w:t xml:space="preserve">V bytovém domě č.p. </w:t>
      </w:r>
      <w:r w:rsidR="003B6C2A" w:rsidRPr="006A08F9">
        <w:t>2506</w:t>
      </w:r>
      <w:r w:rsidR="00F227EA" w:rsidRPr="006A08F9">
        <w:t>,</w:t>
      </w:r>
      <w:r w:rsidR="00716960">
        <w:t xml:space="preserve"> 2507, 2508</w:t>
      </w:r>
      <w:r w:rsidR="00F227EA" w:rsidRPr="006A08F9">
        <w:t xml:space="preserve"> </w:t>
      </w:r>
      <w:r w:rsidR="00FA6A60" w:rsidRPr="006A08F9">
        <w:t>nejsou společné části, ke kterým mají vlastnické právo pouze vlastníci některých jednotek.</w:t>
      </w:r>
    </w:p>
    <w:p w14:paraId="0155E361" w14:textId="77777777" w:rsidR="00B64653" w:rsidRDefault="00B64653" w:rsidP="005633B2">
      <w:pPr>
        <w:jc w:val="center"/>
        <w:rPr>
          <w:b/>
        </w:rPr>
      </w:pPr>
    </w:p>
    <w:p w14:paraId="6AC15A7A" w14:textId="77777777" w:rsidR="008873AF" w:rsidRDefault="008873AF" w:rsidP="005633B2">
      <w:pPr>
        <w:jc w:val="center"/>
        <w:rPr>
          <w:b/>
        </w:rPr>
      </w:pPr>
    </w:p>
    <w:p w14:paraId="1FAA7DCE" w14:textId="323D0A50" w:rsidR="00E220D9" w:rsidRPr="00E220D9" w:rsidRDefault="00E220D9" w:rsidP="005633B2">
      <w:pPr>
        <w:jc w:val="center"/>
        <w:rPr>
          <w:b/>
        </w:rPr>
      </w:pPr>
      <w:r w:rsidRPr="00E220D9">
        <w:rPr>
          <w:b/>
        </w:rPr>
        <w:t>Článek I</w:t>
      </w:r>
      <w:r w:rsidR="00B23E2E">
        <w:rPr>
          <w:b/>
        </w:rPr>
        <w:t>V</w:t>
      </w:r>
      <w:r w:rsidRPr="00E220D9">
        <w:rPr>
          <w:b/>
        </w:rPr>
        <w:t>.</w:t>
      </w:r>
    </w:p>
    <w:p w14:paraId="1FAA7DCF" w14:textId="77777777" w:rsidR="00E220D9" w:rsidRPr="005633B2" w:rsidRDefault="005633B2" w:rsidP="00212395">
      <w:pPr>
        <w:spacing w:after="240"/>
        <w:jc w:val="center"/>
        <w:rPr>
          <w:b/>
        </w:rPr>
      </w:pPr>
      <w:r w:rsidRPr="005633B2">
        <w:rPr>
          <w:b/>
        </w:rPr>
        <w:t>Předmět převodu</w:t>
      </w:r>
    </w:p>
    <w:p w14:paraId="1FAA7DD1" w14:textId="7D3888F4" w:rsidR="00A10A6C" w:rsidRDefault="00E220D9" w:rsidP="00B13339">
      <w:pPr>
        <w:jc w:val="both"/>
        <w:rPr>
          <w:b/>
        </w:rPr>
      </w:pPr>
      <w:r>
        <w:t>Prodávající touto smlouvou prodáv</w:t>
      </w:r>
      <w:r w:rsidR="008567D2">
        <w:t>ají</w:t>
      </w:r>
      <w:r>
        <w:t xml:space="preserve"> kupující</w:t>
      </w:r>
      <w:r w:rsidR="00E33471">
        <w:t>m</w:t>
      </w:r>
      <w:r w:rsidR="008567D2">
        <w:t>u</w:t>
      </w:r>
      <w:r w:rsidR="00E33471">
        <w:t xml:space="preserve"> do </w:t>
      </w:r>
      <w:r w:rsidR="001227D3">
        <w:t>jeho výlučného vlastnictví</w:t>
      </w:r>
      <w:r>
        <w:t xml:space="preserve"> </w:t>
      </w:r>
      <w:r w:rsidR="00B818E4" w:rsidRPr="00E940D2">
        <w:rPr>
          <w:b/>
          <w:bCs/>
        </w:rPr>
        <w:t>bytovou</w:t>
      </w:r>
      <w:r w:rsidR="00B818E4" w:rsidRPr="00E940D2">
        <w:t xml:space="preserve"> </w:t>
      </w:r>
      <w:r w:rsidR="00080329" w:rsidRPr="00E940D2">
        <w:rPr>
          <w:b/>
        </w:rPr>
        <w:t xml:space="preserve">jednotku </w:t>
      </w:r>
      <w:r w:rsidR="00A03FE5" w:rsidRPr="00E940D2">
        <w:rPr>
          <w:b/>
        </w:rPr>
        <w:t>č. </w:t>
      </w:r>
      <w:r w:rsidR="008567D2">
        <w:rPr>
          <w:b/>
        </w:rPr>
        <w:t>2506/4</w:t>
      </w:r>
      <w:r w:rsidR="00446AA8">
        <w:rPr>
          <w:b/>
        </w:rPr>
        <w:t xml:space="preserve"> (byt)</w:t>
      </w:r>
      <w:r w:rsidR="00A03FE5" w:rsidRPr="00785153">
        <w:rPr>
          <w:b/>
        </w:rPr>
        <w:t xml:space="preserve"> v</w:t>
      </w:r>
      <w:r w:rsidR="00A03FE5">
        <w:rPr>
          <w:b/>
        </w:rPr>
        <w:t> bytovém domě</w:t>
      </w:r>
      <w:r w:rsidR="00A03FE5" w:rsidRPr="00785153">
        <w:rPr>
          <w:b/>
        </w:rPr>
        <w:t xml:space="preserve"> č.p.</w:t>
      </w:r>
      <w:r w:rsidR="00A03FE5">
        <w:rPr>
          <w:b/>
        </w:rPr>
        <w:t xml:space="preserve"> </w:t>
      </w:r>
      <w:r w:rsidR="00954A1B">
        <w:rPr>
          <w:b/>
        </w:rPr>
        <w:t>2506</w:t>
      </w:r>
      <w:r w:rsidR="003C6749">
        <w:rPr>
          <w:b/>
        </w:rPr>
        <w:t>, 2507, 2508</w:t>
      </w:r>
      <w:r w:rsidR="00286E87">
        <w:rPr>
          <w:b/>
        </w:rPr>
        <w:t xml:space="preserve"> (</w:t>
      </w:r>
      <w:r w:rsidR="00AA5013">
        <w:rPr>
          <w:b/>
        </w:rPr>
        <w:t>Jižní čtvrť IV/15</w:t>
      </w:r>
      <w:r w:rsidR="00286E87">
        <w:rPr>
          <w:b/>
        </w:rPr>
        <w:t>)</w:t>
      </w:r>
      <w:r w:rsidR="00A00DAB" w:rsidRPr="00E32D27">
        <w:rPr>
          <w:b/>
        </w:rPr>
        <w:t>,</w:t>
      </w:r>
      <w:r w:rsidR="00A00DAB" w:rsidRPr="00941913">
        <w:rPr>
          <w:b/>
          <w:color w:val="FF0000"/>
        </w:rPr>
        <w:t xml:space="preserve"> </w:t>
      </w:r>
      <w:r w:rsidR="00A03FE5" w:rsidRPr="00785153">
        <w:rPr>
          <w:b/>
        </w:rPr>
        <w:t>příslušné</w:t>
      </w:r>
      <w:r w:rsidR="00A03FE5">
        <w:rPr>
          <w:b/>
        </w:rPr>
        <w:t>m</w:t>
      </w:r>
      <w:r w:rsidR="00A03FE5" w:rsidRPr="00785153">
        <w:rPr>
          <w:b/>
        </w:rPr>
        <w:t xml:space="preserve"> k části obce Přerov I-Město, postavené</w:t>
      </w:r>
      <w:r w:rsidR="00A03FE5">
        <w:rPr>
          <w:b/>
        </w:rPr>
        <w:t>m</w:t>
      </w:r>
      <w:r w:rsidR="00A03FE5" w:rsidRPr="00785153">
        <w:rPr>
          <w:b/>
        </w:rPr>
        <w:t xml:space="preserve"> na pozem</w:t>
      </w:r>
      <w:r w:rsidR="005E7AC5">
        <w:rPr>
          <w:b/>
        </w:rPr>
        <w:t>ku</w:t>
      </w:r>
      <w:r w:rsidR="00A03FE5" w:rsidRPr="00785153">
        <w:rPr>
          <w:b/>
        </w:rPr>
        <w:t xml:space="preserve"> </w:t>
      </w:r>
      <w:r w:rsidR="0073063C" w:rsidRPr="00785153">
        <w:rPr>
          <w:b/>
        </w:rPr>
        <w:t>p.č.</w:t>
      </w:r>
      <w:r w:rsidR="0073063C">
        <w:rPr>
          <w:b/>
        </w:rPr>
        <w:t xml:space="preserve"> </w:t>
      </w:r>
      <w:r w:rsidR="00B632CD">
        <w:rPr>
          <w:b/>
        </w:rPr>
        <w:t>5745/8</w:t>
      </w:r>
      <w:r w:rsidR="0073063C">
        <w:rPr>
          <w:b/>
        </w:rPr>
        <w:t xml:space="preserve"> (zastavěná plocha a nádvoří) </w:t>
      </w:r>
      <w:r w:rsidR="0073063C" w:rsidRPr="00785153">
        <w:rPr>
          <w:b/>
        </w:rPr>
        <w:t>o</w:t>
      </w:r>
      <w:r w:rsidR="0073063C">
        <w:rPr>
          <w:b/>
        </w:rPr>
        <w:t> </w:t>
      </w:r>
      <w:r w:rsidR="0073063C" w:rsidRPr="00785153">
        <w:rPr>
          <w:b/>
        </w:rPr>
        <w:t xml:space="preserve">výměře </w:t>
      </w:r>
      <w:r w:rsidR="007C74CA">
        <w:rPr>
          <w:b/>
        </w:rPr>
        <w:t>556</w:t>
      </w:r>
      <w:r w:rsidR="0073063C">
        <w:rPr>
          <w:b/>
        </w:rPr>
        <w:t> </w:t>
      </w:r>
      <w:r w:rsidR="0073063C" w:rsidRPr="00785153">
        <w:rPr>
          <w:b/>
        </w:rPr>
        <w:t>m</w:t>
      </w:r>
      <w:r w:rsidR="0073063C">
        <w:rPr>
          <w:b/>
          <w:vertAlign w:val="superscript"/>
        </w:rPr>
        <w:t xml:space="preserve">2 </w:t>
      </w:r>
      <w:r w:rsidR="0073063C">
        <w:rPr>
          <w:b/>
        </w:rPr>
        <w:t>v k.ú. Přerov</w:t>
      </w:r>
      <w:r w:rsidR="005E7AC5">
        <w:rPr>
          <w:b/>
        </w:rPr>
        <w:t xml:space="preserve">, </w:t>
      </w:r>
      <w:r w:rsidR="00A03FE5" w:rsidRPr="00785153">
        <w:rPr>
          <w:b/>
        </w:rPr>
        <w:t xml:space="preserve">podíl </w:t>
      </w:r>
      <w:r w:rsidR="00A03FE5">
        <w:rPr>
          <w:b/>
        </w:rPr>
        <w:t xml:space="preserve">id. </w:t>
      </w:r>
      <w:r w:rsidR="00726174">
        <w:rPr>
          <w:b/>
        </w:rPr>
        <w:t>734/13540</w:t>
      </w:r>
      <w:r w:rsidR="00E32D27">
        <w:rPr>
          <w:b/>
        </w:rPr>
        <w:t xml:space="preserve"> </w:t>
      </w:r>
      <w:r w:rsidR="00A03FE5" w:rsidRPr="00785153">
        <w:rPr>
          <w:b/>
        </w:rPr>
        <w:t>na</w:t>
      </w:r>
      <w:r w:rsidR="00A03FE5">
        <w:rPr>
          <w:b/>
        </w:rPr>
        <w:t> </w:t>
      </w:r>
      <w:r w:rsidR="00A03FE5" w:rsidRPr="00785153">
        <w:rPr>
          <w:b/>
        </w:rPr>
        <w:t xml:space="preserve">společných částech </w:t>
      </w:r>
      <w:r w:rsidR="00A03FE5">
        <w:rPr>
          <w:b/>
        </w:rPr>
        <w:t>bytového domu</w:t>
      </w:r>
      <w:r w:rsidR="00A03FE5" w:rsidRPr="00785153">
        <w:rPr>
          <w:b/>
        </w:rPr>
        <w:t xml:space="preserve"> č.p.</w:t>
      </w:r>
      <w:r w:rsidR="00A03FE5">
        <w:rPr>
          <w:b/>
        </w:rPr>
        <w:t> </w:t>
      </w:r>
      <w:r w:rsidR="00726174">
        <w:rPr>
          <w:b/>
        </w:rPr>
        <w:t>2506</w:t>
      </w:r>
      <w:r w:rsidR="003C6749">
        <w:rPr>
          <w:b/>
        </w:rPr>
        <w:t>, 2507, 2508</w:t>
      </w:r>
      <w:r w:rsidR="00E32D27">
        <w:rPr>
          <w:b/>
        </w:rPr>
        <w:t xml:space="preserve"> </w:t>
      </w:r>
      <w:r w:rsidR="00A03FE5">
        <w:rPr>
          <w:b/>
        </w:rPr>
        <w:t xml:space="preserve">a podíl id. </w:t>
      </w:r>
      <w:r w:rsidR="00305EBF">
        <w:rPr>
          <w:b/>
        </w:rPr>
        <w:t>734/13540</w:t>
      </w:r>
      <w:r w:rsidR="00E32D27">
        <w:rPr>
          <w:b/>
        </w:rPr>
        <w:t xml:space="preserve"> </w:t>
      </w:r>
      <w:r w:rsidR="00A03FE5">
        <w:rPr>
          <w:b/>
        </w:rPr>
        <w:t>na</w:t>
      </w:r>
      <w:r w:rsidR="0034324B">
        <w:rPr>
          <w:b/>
        </w:rPr>
        <w:t> </w:t>
      </w:r>
      <w:r w:rsidR="00A03FE5" w:rsidRPr="00785153">
        <w:rPr>
          <w:b/>
        </w:rPr>
        <w:t>pozem</w:t>
      </w:r>
      <w:r w:rsidR="005E7AC5">
        <w:rPr>
          <w:b/>
        </w:rPr>
        <w:t>ku</w:t>
      </w:r>
      <w:r w:rsidR="00A03FE5" w:rsidRPr="00785153">
        <w:rPr>
          <w:b/>
        </w:rPr>
        <w:t xml:space="preserve"> p.č.</w:t>
      </w:r>
      <w:r w:rsidR="00FA6A60">
        <w:rPr>
          <w:b/>
        </w:rPr>
        <w:t> </w:t>
      </w:r>
      <w:r w:rsidR="00305EBF">
        <w:rPr>
          <w:b/>
        </w:rPr>
        <w:t>5745/8</w:t>
      </w:r>
      <w:r w:rsidR="00A00DAB" w:rsidRPr="00785153">
        <w:rPr>
          <w:b/>
        </w:rPr>
        <w:t xml:space="preserve"> </w:t>
      </w:r>
      <w:r w:rsidR="00D34C36">
        <w:rPr>
          <w:b/>
        </w:rPr>
        <w:t xml:space="preserve">v </w:t>
      </w:r>
      <w:r w:rsidR="00A03FE5" w:rsidRPr="00785153">
        <w:rPr>
          <w:b/>
        </w:rPr>
        <w:t>k</w:t>
      </w:r>
      <w:r w:rsidR="00A03FE5">
        <w:rPr>
          <w:b/>
        </w:rPr>
        <w:t>.ú.</w:t>
      </w:r>
      <w:r w:rsidR="00895227">
        <w:rPr>
          <w:b/>
        </w:rPr>
        <w:t> </w:t>
      </w:r>
      <w:r w:rsidR="00A03FE5" w:rsidRPr="00785153">
        <w:rPr>
          <w:b/>
        </w:rPr>
        <w:t>Přerov</w:t>
      </w:r>
      <w:r>
        <w:t xml:space="preserve"> z</w:t>
      </w:r>
      <w:r w:rsidR="005366BF">
        <w:t>a</w:t>
      </w:r>
      <w:r w:rsidR="00E33471">
        <w:t> </w:t>
      </w:r>
      <w:r>
        <w:t>kupní cenu uvedenou v čl.</w:t>
      </w:r>
      <w:r w:rsidR="005633B2">
        <w:t xml:space="preserve"> </w:t>
      </w:r>
      <w:r w:rsidR="002C56E5">
        <w:t>V</w:t>
      </w:r>
      <w:r>
        <w:t xml:space="preserve"> odst. 1 smlouvy a</w:t>
      </w:r>
      <w:r w:rsidR="005633B2">
        <w:t xml:space="preserve"> </w:t>
      </w:r>
      <w:r w:rsidR="00661AE2">
        <w:t xml:space="preserve">kupující výše uvedené nemovité věci do svého </w:t>
      </w:r>
      <w:r w:rsidR="00FA10BC">
        <w:t>výlučného vlastnictví</w:t>
      </w:r>
      <w:r w:rsidR="00661AE2">
        <w:t xml:space="preserve"> za kupní cenu uvedenou v čl. </w:t>
      </w:r>
      <w:r w:rsidR="00E27EC4">
        <w:t>V</w:t>
      </w:r>
      <w:r w:rsidR="00661AE2">
        <w:t xml:space="preserve"> odst. 1 smlouvy kupuj</w:t>
      </w:r>
      <w:r w:rsidR="001647AF">
        <w:t>e</w:t>
      </w:r>
      <w:r w:rsidR="00661AE2">
        <w:t xml:space="preserve">.   </w:t>
      </w:r>
    </w:p>
    <w:p w14:paraId="514601CA" w14:textId="77777777" w:rsidR="00B64653" w:rsidRDefault="00B64653" w:rsidP="00B23E2E">
      <w:pPr>
        <w:jc w:val="center"/>
        <w:rPr>
          <w:b/>
        </w:rPr>
      </w:pPr>
    </w:p>
    <w:p w14:paraId="1FAA7DD2" w14:textId="5700B5A9" w:rsidR="006F3BCC" w:rsidRDefault="00B23E2E" w:rsidP="00B23E2E">
      <w:pPr>
        <w:jc w:val="center"/>
        <w:rPr>
          <w:b/>
        </w:rPr>
      </w:pPr>
      <w:r>
        <w:rPr>
          <w:b/>
        </w:rPr>
        <w:t xml:space="preserve">Článek </w:t>
      </w:r>
      <w:r w:rsidR="002C56E5">
        <w:rPr>
          <w:b/>
        </w:rPr>
        <w:t>V</w:t>
      </w:r>
      <w:r w:rsidR="006F3BCC">
        <w:rPr>
          <w:b/>
        </w:rPr>
        <w:t>.</w:t>
      </w:r>
    </w:p>
    <w:p w14:paraId="1FAA7DD3" w14:textId="77777777" w:rsidR="006F3BCC" w:rsidRDefault="00A74461" w:rsidP="00212395">
      <w:pPr>
        <w:spacing w:after="240"/>
        <w:jc w:val="center"/>
        <w:rPr>
          <w:b/>
        </w:rPr>
      </w:pPr>
      <w:r>
        <w:rPr>
          <w:b/>
        </w:rPr>
        <w:t>Kupní cena</w:t>
      </w:r>
    </w:p>
    <w:p w14:paraId="3BAE7737" w14:textId="03488C57" w:rsidR="00E013FE" w:rsidRDefault="00E013FE" w:rsidP="004251B9">
      <w:pPr>
        <w:spacing w:line="256" w:lineRule="auto"/>
        <w:jc w:val="both"/>
        <w:rPr>
          <w:bdr w:val="none" w:sz="0" w:space="0" w:color="auto" w:frame="1"/>
          <w:shd w:val="clear" w:color="auto" w:fill="FFFFFF"/>
        </w:rPr>
      </w:pPr>
      <w:r w:rsidRPr="00A87807">
        <w:t xml:space="preserve">(1) Kupní cena za předmět převodu se stanoví dohodou smluvních stran ve výši </w:t>
      </w:r>
      <w:r>
        <w:t>2.</w:t>
      </w:r>
      <w:r>
        <w:rPr>
          <w:b/>
          <w:bCs/>
        </w:rPr>
        <w:t>700.000</w:t>
      </w:r>
      <w:r w:rsidRPr="00A87807">
        <w:rPr>
          <w:b/>
          <w:bCs/>
        </w:rPr>
        <w:t xml:space="preserve">,- Kč (slovy: </w:t>
      </w:r>
      <w:r>
        <w:rPr>
          <w:b/>
          <w:bCs/>
        </w:rPr>
        <w:t>dvamilionysedmset</w:t>
      </w:r>
      <w:r w:rsidR="00BF370A">
        <w:rPr>
          <w:b/>
          <w:bCs/>
        </w:rPr>
        <w:t>tisíc</w:t>
      </w:r>
      <w:r w:rsidRPr="00A87807">
        <w:rPr>
          <w:b/>
          <w:bCs/>
        </w:rPr>
        <w:t xml:space="preserve"> korun českých)</w:t>
      </w:r>
      <w:r w:rsidRPr="00A87807">
        <w:t xml:space="preserve">. Kupní cena byla stanovena znaleckým posudkem č. </w:t>
      </w:r>
      <w:r w:rsidR="006A055D">
        <w:t>017605/2024</w:t>
      </w:r>
      <w:r w:rsidRPr="00A87807">
        <w:t xml:space="preserve">, který vyhotovil znalec Ing. </w:t>
      </w:r>
      <w:r w:rsidR="00170E5C">
        <w:t>xxxxx</w:t>
      </w:r>
      <w:r w:rsidRPr="00A87807">
        <w:t xml:space="preserve"> dne </w:t>
      </w:r>
      <w:r w:rsidR="006A055D">
        <w:t>22</w:t>
      </w:r>
      <w:r>
        <w:t>.</w:t>
      </w:r>
      <w:r w:rsidR="006A055D">
        <w:t>02</w:t>
      </w:r>
      <w:r w:rsidRPr="00A87807">
        <w:t>.202</w:t>
      </w:r>
      <w:r w:rsidR="006A055D">
        <w:t>4</w:t>
      </w:r>
      <w:r w:rsidRPr="00A87807">
        <w:t xml:space="preserve">, jako cena v místě a čase obvyklá. Převod </w:t>
      </w:r>
      <w:r w:rsidRPr="00A87807">
        <w:rPr>
          <w:bdr w:val="none" w:sz="0" w:space="0" w:color="auto" w:frame="1"/>
          <w:shd w:val="clear" w:color="auto" w:fill="FFFFFF"/>
        </w:rPr>
        <w:t xml:space="preserve">není předmětem daně z přidané hodnoty, protože prodávající nejsou v postavení osoby povinné k dani. </w:t>
      </w:r>
    </w:p>
    <w:p w14:paraId="2E50831B" w14:textId="77777777" w:rsidR="004251B9" w:rsidRDefault="004251B9" w:rsidP="004251B9">
      <w:pPr>
        <w:spacing w:line="256" w:lineRule="auto"/>
        <w:jc w:val="both"/>
      </w:pPr>
    </w:p>
    <w:p w14:paraId="73E7F9AF" w14:textId="2313CEB1" w:rsidR="00932CF6" w:rsidRDefault="00932CF6" w:rsidP="00932CF6">
      <w:pPr>
        <w:autoSpaceDE w:val="0"/>
        <w:autoSpaceDN w:val="0"/>
        <w:jc w:val="both"/>
        <w:rPr>
          <w:rFonts w:ascii="TimesNewRomanPSMT" w:hAnsi="TimesNewRomanPSMT"/>
        </w:rPr>
      </w:pPr>
      <w:r w:rsidRPr="00C8313F">
        <w:t xml:space="preserve">(2) </w:t>
      </w:r>
      <w:r w:rsidRPr="00C8313F">
        <w:rPr>
          <w:rFonts w:ascii="TimesNewRomanPSMT" w:hAnsi="TimesNewRomanPSMT"/>
        </w:rPr>
        <w:t>Kupující se zavazuje uhradit prodávající,</w:t>
      </w:r>
      <w:r w:rsidR="00523A80" w:rsidRPr="00C8313F">
        <w:rPr>
          <w:rFonts w:ascii="TimesNewRomanPSMT" w:hAnsi="TimesNewRomanPSMT"/>
        </w:rPr>
        <w:t xml:space="preserve"> paní Jitce Poláčkové, část</w:t>
      </w:r>
      <w:r w:rsidRPr="00C8313F">
        <w:rPr>
          <w:rFonts w:ascii="TimesNewRomanPSMT" w:hAnsi="TimesNewRomanPSMT"/>
        </w:rPr>
        <w:t xml:space="preserve"> kupní cen</w:t>
      </w:r>
      <w:r w:rsidR="00523A80" w:rsidRPr="00C8313F">
        <w:rPr>
          <w:rFonts w:ascii="TimesNewRomanPSMT" w:hAnsi="TimesNewRomanPSMT"/>
        </w:rPr>
        <w:t xml:space="preserve">y ve výši </w:t>
      </w:r>
      <w:r w:rsidR="00FC2372" w:rsidRPr="004708FE">
        <w:rPr>
          <w:rFonts w:ascii="TimesNewRomanPSMT" w:hAnsi="TimesNewRomanPSMT"/>
          <w:b/>
          <w:bCs/>
        </w:rPr>
        <w:t>855</w:t>
      </w:r>
      <w:r w:rsidR="0088561D" w:rsidRPr="004708FE">
        <w:rPr>
          <w:rFonts w:ascii="TimesNewRomanPSMT" w:hAnsi="TimesNewRomanPSMT"/>
          <w:b/>
          <w:bCs/>
        </w:rPr>
        <w:t>.000,- Kč</w:t>
      </w:r>
      <w:r w:rsidR="00812374" w:rsidRPr="00C8313F">
        <w:rPr>
          <w:rFonts w:ascii="TimesNewRomanPSMT" w:hAnsi="TimesNewRomanPSMT"/>
        </w:rPr>
        <w:t>,</w:t>
      </w:r>
      <w:r w:rsidRPr="00C8313F">
        <w:rPr>
          <w:rFonts w:ascii="TimesNewRomanPSMT" w:hAnsi="TimesNewRomanPSMT"/>
        </w:rPr>
        <w:t xml:space="preserve"> do 10 </w:t>
      </w:r>
      <w:r w:rsidRPr="00C8313F">
        <w:t xml:space="preserve">dnů </w:t>
      </w:r>
      <w:r w:rsidR="00C8313F" w:rsidRPr="00C8313F">
        <w:t>ode dne</w:t>
      </w:r>
      <w:r w:rsidR="00C8313F">
        <w:t>,</w:t>
      </w:r>
      <w:r w:rsidR="00C8313F" w:rsidRPr="00C8313F">
        <w:t xml:space="preserve"> kdy Katastrální úřad pro Olomoucký kraj, </w:t>
      </w:r>
      <w:r w:rsidR="00C8313F">
        <w:t>K</w:t>
      </w:r>
      <w:r w:rsidR="00C8313F" w:rsidRPr="00C8313F">
        <w:t>atastrální pracoviště Přerov, rozhodne o povolení vkladu vlastnického práva k předmětu převodu ve prospěch kupujícího dle této smlouvy do katastru nemovitostí</w:t>
      </w:r>
      <w:r w:rsidRPr="00C8313F">
        <w:t>, a to na účet prodávající</w:t>
      </w:r>
      <w:r w:rsidR="00E04E7D" w:rsidRPr="00C8313F">
        <w:t>, paní Jitky</w:t>
      </w:r>
      <w:r w:rsidR="00E04E7D" w:rsidRPr="00C8313F">
        <w:rPr>
          <w:rFonts w:ascii="TimesNewRomanPSMT" w:hAnsi="TimesNewRomanPSMT"/>
        </w:rPr>
        <w:t xml:space="preserve"> Poláčkové,</w:t>
      </w:r>
      <w:r w:rsidRPr="00C8313F">
        <w:rPr>
          <w:rFonts w:ascii="TimesNewRomanPSMT" w:hAnsi="TimesNewRomanPSMT"/>
        </w:rPr>
        <w:t xml:space="preserve"> vedený</w:t>
      </w:r>
      <w:r>
        <w:rPr>
          <w:rFonts w:ascii="TimesNewRomanPSMT" w:hAnsi="TimesNewRomanPSMT"/>
        </w:rPr>
        <w:t xml:space="preserve"> u </w:t>
      </w:r>
      <w:r w:rsidR="00633A24">
        <w:rPr>
          <w:rFonts w:ascii="TimesNewRomanPSMT" w:hAnsi="TimesNewRomanPSMT"/>
        </w:rPr>
        <w:t>Komerční banky</w:t>
      </w:r>
      <w:r>
        <w:rPr>
          <w:rFonts w:ascii="TimesNewRomanPSMT" w:hAnsi="TimesNewRomanPSMT"/>
        </w:rPr>
        <w:t>,</w:t>
      </w:r>
      <w:r w:rsidR="00B31FF1">
        <w:rPr>
          <w:rFonts w:ascii="TimesNewRomanPSMT" w:hAnsi="TimesNewRomanPSMT"/>
        </w:rPr>
        <w:t xml:space="preserve"> a.s.</w:t>
      </w:r>
      <w:r>
        <w:rPr>
          <w:rFonts w:ascii="TimesNewRomanPSMT" w:hAnsi="TimesNewRomanPSMT"/>
        </w:rPr>
        <w:t xml:space="preserve"> č.ú</w:t>
      </w:r>
      <w:r w:rsidR="002F33BF">
        <w:rPr>
          <w:rFonts w:ascii="TimesNewRomanPSMT" w:hAnsi="TimesNewRomanPSMT"/>
        </w:rPr>
        <w:t xml:space="preserve">. </w:t>
      </w:r>
      <w:r w:rsidR="006D201A">
        <w:rPr>
          <w:b/>
          <w:bCs/>
        </w:rPr>
        <w:t>xxxxx</w:t>
      </w:r>
      <w:r>
        <w:rPr>
          <w:rFonts w:ascii="TimesNewRomanPSMT" w:hAnsi="TimesNewRomanPSMT"/>
        </w:rPr>
        <w:t>. Za den zaplacení se považuje den, kdy bude kupní cena připsána na účet prodávajícího.</w:t>
      </w:r>
    </w:p>
    <w:p w14:paraId="5BB26D51" w14:textId="77777777" w:rsidR="00812374" w:rsidRDefault="00812374" w:rsidP="00932CF6">
      <w:pPr>
        <w:autoSpaceDE w:val="0"/>
        <w:autoSpaceDN w:val="0"/>
        <w:jc w:val="both"/>
        <w:rPr>
          <w:rFonts w:ascii="TimesNewRomanPSMT" w:hAnsi="TimesNewRomanPSMT"/>
        </w:rPr>
      </w:pPr>
    </w:p>
    <w:p w14:paraId="45B03271" w14:textId="21AD4B2C" w:rsidR="00812374" w:rsidRDefault="00812374" w:rsidP="00812374">
      <w:pPr>
        <w:autoSpaceDE w:val="0"/>
        <w:autoSpaceDN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Kupující se dále zavazuje uhradit prodávající, paní Ing. Martě Tomigové, část kupní ceny ve výši </w:t>
      </w:r>
      <w:r w:rsidR="002832F7" w:rsidRPr="004708FE">
        <w:rPr>
          <w:rFonts w:ascii="TimesNewRomanPSMT" w:hAnsi="TimesNewRomanPSMT"/>
          <w:b/>
          <w:bCs/>
        </w:rPr>
        <w:t>855</w:t>
      </w:r>
      <w:r w:rsidRPr="004708FE">
        <w:rPr>
          <w:rFonts w:ascii="TimesNewRomanPSMT" w:hAnsi="TimesNewRomanPSMT"/>
          <w:b/>
          <w:bCs/>
        </w:rPr>
        <w:t>.000,- Kč</w:t>
      </w:r>
      <w:r>
        <w:rPr>
          <w:rFonts w:ascii="TimesNewRomanPSMT" w:hAnsi="TimesNewRomanPSMT"/>
        </w:rPr>
        <w:t xml:space="preserve">, do 10 dnů </w:t>
      </w:r>
      <w:r w:rsidR="00C8313F" w:rsidRPr="00C8313F">
        <w:t>ode dne</w:t>
      </w:r>
      <w:r w:rsidR="00C8313F">
        <w:t>,</w:t>
      </w:r>
      <w:r w:rsidR="00C8313F" w:rsidRPr="00C8313F">
        <w:t xml:space="preserve"> kdy Katastrální úřad pro Olomoucký kraj, </w:t>
      </w:r>
      <w:r w:rsidR="00C8313F">
        <w:t>K</w:t>
      </w:r>
      <w:r w:rsidR="00C8313F" w:rsidRPr="00C8313F">
        <w:t>atastrální pracoviště Přerov, rozhodne o povolení vkladu vlastnického práva k předmětu převodu ve prospěch kupujícího dle této smlouvy do katastru nemovitostí</w:t>
      </w:r>
      <w:r>
        <w:rPr>
          <w:rFonts w:ascii="TimesNewRomanPSMT" w:hAnsi="TimesNewRomanPSMT"/>
        </w:rPr>
        <w:t xml:space="preserve">, a to na účet prodávající, paní </w:t>
      </w:r>
      <w:r>
        <w:rPr>
          <w:rFonts w:ascii="TimesNewRomanPSMT" w:hAnsi="TimesNewRomanPSMT"/>
        </w:rPr>
        <w:lastRenderedPageBreak/>
        <w:t xml:space="preserve">Ing. Marty Tomigové, vedený u </w:t>
      </w:r>
      <w:r w:rsidR="0079715A">
        <w:rPr>
          <w:rFonts w:ascii="TimesNewRomanPSMT" w:hAnsi="TimesNewRomanPSMT"/>
        </w:rPr>
        <w:t>m</w:t>
      </w:r>
      <w:r w:rsidR="005D4C59">
        <w:rPr>
          <w:rFonts w:ascii="TimesNewRomanPSMT" w:hAnsi="TimesNewRomanPSMT"/>
        </w:rPr>
        <w:t>Bank S.A., organizační složka</w:t>
      </w:r>
      <w:r>
        <w:rPr>
          <w:rFonts w:ascii="TimesNewRomanPSMT" w:hAnsi="TimesNewRomanPSMT"/>
        </w:rPr>
        <w:t>, č.ú</w:t>
      </w:r>
      <w:r w:rsidR="005D4C59">
        <w:rPr>
          <w:rFonts w:ascii="TimesNewRomanPSMT" w:hAnsi="TimesNewRomanPSMT"/>
        </w:rPr>
        <w:t xml:space="preserve">. </w:t>
      </w:r>
      <w:r w:rsidR="00787457">
        <w:rPr>
          <w:rFonts w:ascii="TimesNewRomanPSMT" w:hAnsi="TimesNewRomanPSMT"/>
        </w:rPr>
        <w:br/>
      </w:r>
      <w:r w:rsidR="006D201A">
        <w:rPr>
          <w:b/>
          <w:bCs/>
        </w:rPr>
        <w:t>xxxxx</w:t>
      </w:r>
      <w:r>
        <w:rPr>
          <w:rFonts w:ascii="TimesNewRomanPSMT" w:hAnsi="TimesNewRomanPSMT"/>
        </w:rPr>
        <w:t xml:space="preserve">. Za den zaplacení se považuje den, kdy bude kupní cena připsána na účet prodávajícího. </w:t>
      </w:r>
    </w:p>
    <w:p w14:paraId="6CD7F9E7" w14:textId="77777777" w:rsidR="00812374" w:rsidRDefault="00812374" w:rsidP="00812374">
      <w:pPr>
        <w:autoSpaceDE w:val="0"/>
        <w:autoSpaceDN w:val="0"/>
        <w:jc w:val="both"/>
        <w:rPr>
          <w:rFonts w:ascii="TimesNewRomanPSMT" w:hAnsi="TimesNewRomanPSMT"/>
        </w:rPr>
      </w:pPr>
    </w:p>
    <w:p w14:paraId="75D55A45" w14:textId="30679138" w:rsidR="00812374" w:rsidRDefault="00812374" w:rsidP="00812374">
      <w:pPr>
        <w:autoSpaceDE w:val="0"/>
        <w:autoSpaceDN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Kupující se dále zavazuje uhradit prodávající</w:t>
      </w:r>
      <w:r w:rsidR="00343606">
        <w:rPr>
          <w:rFonts w:ascii="TimesNewRomanPSMT" w:hAnsi="TimesNewRomanPSMT"/>
        </w:rPr>
        <w:t>mu</w:t>
      </w:r>
      <w:r>
        <w:rPr>
          <w:rFonts w:ascii="TimesNewRomanPSMT" w:hAnsi="TimesNewRomanPSMT"/>
        </w:rPr>
        <w:t>, pan</w:t>
      </w:r>
      <w:r w:rsidR="00343606">
        <w:rPr>
          <w:rFonts w:ascii="TimesNewRomanPSMT" w:hAnsi="TimesNewRomanPSMT"/>
        </w:rPr>
        <w:t>u Václavu Urbanovi</w:t>
      </w:r>
      <w:r>
        <w:rPr>
          <w:rFonts w:ascii="TimesNewRomanPSMT" w:hAnsi="TimesNewRomanPSMT"/>
        </w:rPr>
        <w:t xml:space="preserve">, část kupní ceny ve výši </w:t>
      </w:r>
      <w:r w:rsidR="002832F7" w:rsidRPr="004708FE">
        <w:rPr>
          <w:rFonts w:ascii="TimesNewRomanPSMT" w:hAnsi="TimesNewRomanPSMT"/>
          <w:b/>
          <w:bCs/>
        </w:rPr>
        <w:t>855</w:t>
      </w:r>
      <w:r w:rsidRPr="004708FE">
        <w:rPr>
          <w:rFonts w:ascii="TimesNewRomanPSMT" w:hAnsi="TimesNewRomanPSMT"/>
          <w:b/>
          <w:bCs/>
        </w:rPr>
        <w:t>.000,- Kč</w:t>
      </w:r>
      <w:r w:rsidR="00343606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do 10 dnů </w:t>
      </w:r>
      <w:r w:rsidR="004251B9" w:rsidRPr="00C8313F">
        <w:t>ode dne</w:t>
      </w:r>
      <w:r w:rsidR="004251B9">
        <w:t>,</w:t>
      </w:r>
      <w:r w:rsidR="004251B9" w:rsidRPr="00C8313F">
        <w:t xml:space="preserve"> kdy Katastrální úřad pro Olomoucký kraj, </w:t>
      </w:r>
      <w:r w:rsidR="004251B9">
        <w:t>K</w:t>
      </w:r>
      <w:r w:rsidR="004251B9" w:rsidRPr="00C8313F">
        <w:t>atastrální pracoviště Přerov, rozhodne o povolení vkladu vlastnického práva k předmětu převodu ve prospěch kupujícího dle této smlouvy do katastru nemovitostí</w:t>
      </w:r>
      <w:r>
        <w:rPr>
          <w:rFonts w:ascii="TimesNewRomanPSMT" w:hAnsi="TimesNewRomanPSMT"/>
        </w:rPr>
        <w:t>, a to na účet prodávající</w:t>
      </w:r>
      <w:r w:rsidR="00343606">
        <w:rPr>
          <w:rFonts w:ascii="TimesNewRomanPSMT" w:hAnsi="TimesNewRomanPSMT"/>
        </w:rPr>
        <w:t>ho</w:t>
      </w:r>
      <w:r>
        <w:rPr>
          <w:rFonts w:ascii="TimesNewRomanPSMT" w:hAnsi="TimesNewRomanPSMT"/>
        </w:rPr>
        <w:t>, pan</w:t>
      </w:r>
      <w:r w:rsidR="00343606">
        <w:rPr>
          <w:rFonts w:ascii="TimesNewRomanPSMT" w:hAnsi="TimesNewRomanPSMT"/>
        </w:rPr>
        <w:t>a Václava Urbana</w:t>
      </w:r>
      <w:r>
        <w:rPr>
          <w:rFonts w:ascii="TimesNewRomanPSMT" w:hAnsi="TimesNewRomanPSMT"/>
        </w:rPr>
        <w:t xml:space="preserve">, vedený u </w:t>
      </w:r>
      <w:r w:rsidR="00A95946">
        <w:rPr>
          <w:rFonts w:ascii="TimesNewRomanPSMT" w:hAnsi="TimesNewRomanPSMT"/>
        </w:rPr>
        <w:t>Československé obchodní banky, a.s.,</w:t>
      </w:r>
      <w:r>
        <w:rPr>
          <w:rFonts w:ascii="TimesNewRomanPSMT" w:hAnsi="TimesNewRomanPSMT"/>
        </w:rPr>
        <w:t xml:space="preserve"> č.ú</w:t>
      </w:r>
      <w:r w:rsidR="00CD41DA">
        <w:rPr>
          <w:rFonts w:ascii="TimesNewRomanPSMT" w:hAnsi="TimesNewRomanPSMT"/>
        </w:rPr>
        <w:t xml:space="preserve">. </w:t>
      </w:r>
      <w:r w:rsidR="006D201A">
        <w:rPr>
          <w:b/>
          <w:bCs/>
        </w:rPr>
        <w:t>xxxxx</w:t>
      </w:r>
      <w:r>
        <w:rPr>
          <w:rFonts w:ascii="TimesNewRomanPSMT" w:hAnsi="TimesNewRomanPSMT"/>
        </w:rPr>
        <w:t>. Za den zaplacení se považuje den, kdy bude kupní cena připsána na účet prodávajícího.</w:t>
      </w:r>
    </w:p>
    <w:p w14:paraId="48A7DD77" w14:textId="77777777" w:rsidR="002832F7" w:rsidRDefault="002832F7" w:rsidP="00812374">
      <w:pPr>
        <w:autoSpaceDE w:val="0"/>
        <w:autoSpaceDN w:val="0"/>
        <w:jc w:val="both"/>
        <w:rPr>
          <w:rFonts w:ascii="TimesNewRomanPSMT" w:hAnsi="TimesNewRomanPSMT"/>
        </w:rPr>
      </w:pPr>
    </w:p>
    <w:p w14:paraId="57439582" w14:textId="0D092103" w:rsidR="00DF512E" w:rsidRDefault="002832F7" w:rsidP="00DF512E">
      <w:pPr>
        <w:autoSpaceDE w:val="0"/>
        <w:autoSpaceDN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(3) </w:t>
      </w:r>
      <w:r w:rsidR="00E06995">
        <w:rPr>
          <w:rFonts w:ascii="TimesNewRomanPSMT" w:hAnsi="TimesNewRomanPSMT"/>
        </w:rPr>
        <w:t xml:space="preserve">Prodávající </w:t>
      </w:r>
      <w:r w:rsidR="006E4236">
        <w:rPr>
          <w:rFonts w:ascii="TimesNewRomanPSMT" w:hAnsi="TimesNewRomanPSMT"/>
        </w:rPr>
        <w:t xml:space="preserve">shodně </w:t>
      </w:r>
      <w:r w:rsidR="006D0DE8">
        <w:rPr>
          <w:rFonts w:ascii="TimesNewRomanPSMT" w:hAnsi="TimesNewRomanPSMT"/>
        </w:rPr>
        <w:t>požadují</w:t>
      </w:r>
      <w:r w:rsidR="00495D15">
        <w:rPr>
          <w:rFonts w:ascii="TimesNewRomanPSMT" w:hAnsi="TimesNewRomanPSMT"/>
        </w:rPr>
        <w:t xml:space="preserve">, aby kupující uhradil část kupní ceny ve výši </w:t>
      </w:r>
      <w:r w:rsidR="00AA0A71" w:rsidRPr="00B1751F">
        <w:rPr>
          <w:rFonts w:ascii="TimesNewRomanPSMT" w:hAnsi="TimesNewRomanPSMT"/>
          <w:b/>
          <w:bCs/>
        </w:rPr>
        <w:t>135.000,- Kč</w:t>
      </w:r>
      <w:r w:rsidR="000A1EDA">
        <w:rPr>
          <w:rFonts w:ascii="TimesNewRomanPSMT" w:hAnsi="TimesNewRomanPSMT"/>
        </w:rPr>
        <w:t xml:space="preserve">, do 10 dnů </w:t>
      </w:r>
      <w:r w:rsidR="000A1EDA" w:rsidRPr="00C8313F">
        <w:t>ode dne</w:t>
      </w:r>
      <w:r w:rsidR="000A1EDA">
        <w:t>,</w:t>
      </w:r>
      <w:r w:rsidR="000A1EDA" w:rsidRPr="00C8313F">
        <w:t xml:space="preserve"> kdy Katastrální úřad pro Olomoucký kraj, </w:t>
      </w:r>
      <w:r w:rsidR="000A1EDA">
        <w:t>K</w:t>
      </w:r>
      <w:r w:rsidR="000A1EDA" w:rsidRPr="00C8313F">
        <w:t>atastrální pracoviště Přerov, rozhodne o povolení vkladu vlastnického práva k předmětu převodu ve prospěch kupujícího dle této smlouvy do katastru nemovitostí</w:t>
      </w:r>
      <w:r w:rsidR="000A1EDA">
        <w:rPr>
          <w:rFonts w:ascii="TimesNewRomanPSMT" w:hAnsi="TimesNewRomanPSMT"/>
        </w:rPr>
        <w:t xml:space="preserve"> na účet </w:t>
      </w:r>
      <w:r w:rsidR="0066158D">
        <w:rPr>
          <w:rFonts w:ascii="TimesNewRomanPSMT" w:hAnsi="TimesNewRomanPSMT"/>
        </w:rPr>
        <w:t xml:space="preserve">zprostředkovatele Reality TREND s.r.o., se sídlem Žerotínovo nám. </w:t>
      </w:r>
      <w:r w:rsidR="00FB3B06">
        <w:rPr>
          <w:rFonts w:ascii="TimesNewRomanPSMT" w:hAnsi="TimesNewRomanPSMT"/>
        </w:rPr>
        <w:t xml:space="preserve">162/11, 750 02 Přerov, IČ </w:t>
      </w:r>
      <w:r w:rsidR="00B21218">
        <w:rPr>
          <w:rFonts w:ascii="TimesNewRomanPSMT" w:hAnsi="TimesNewRomanPSMT"/>
        </w:rPr>
        <w:t>2776</w:t>
      </w:r>
      <w:r w:rsidR="00675DBE">
        <w:rPr>
          <w:rFonts w:ascii="TimesNewRomanPSMT" w:hAnsi="TimesNewRomanPSMT"/>
        </w:rPr>
        <w:t xml:space="preserve">1991, vedený u </w:t>
      </w:r>
      <w:r w:rsidR="005F18C8">
        <w:rPr>
          <w:rFonts w:ascii="TimesNewRomanPSMT" w:hAnsi="TimesNewRomanPSMT"/>
        </w:rPr>
        <w:t>Československé obchodní banky, a.s.</w:t>
      </w:r>
      <w:r w:rsidR="00675DBE">
        <w:rPr>
          <w:rFonts w:ascii="TimesNewRomanPSMT" w:hAnsi="TimesNewRomanPSMT"/>
        </w:rPr>
        <w:t xml:space="preserve">, č.ú. </w:t>
      </w:r>
      <w:r w:rsidR="00813CD2" w:rsidRPr="00813CD2">
        <w:rPr>
          <w:b/>
        </w:rPr>
        <w:t>219827774/0300</w:t>
      </w:r>
      <w:r w:rsidR="00813CD2">
        <w:rPr>
          <w:b/>
        </w:rPr>
        <w:t xml:space="preserve">. </w:t>
      </w:r>
      <w:r w:rsidR="00DF512E">
        <w:rPr>
          <w:rFonts w:ascii="TimesNewRomanPSMT" w:hAnsi="TimesNewRomanPSMT"/>
        </w:rPr>
        <w:t>Za den zaplacení se považuje den, kdy bude kupní cena připsána na účet prodávajícího.</w:t>
      </w:r>
    </w:p>
    <w:p w14:paraId="4EFF5FCF" w14:textId="77777777" w:rsidR="00812374" w:rsidRDefault="00812374" w:rsidP="00932CF6">
      <w:pPr>
        <w:autoSpaceDE w:val="0"/>
        <w:autoSpaceDN w:val="0"/>
        <w:jc w:val="both"/>
        <w:rPr>
          <w:rFonts w:ascii="TimesNewRomanPSMT" w:hAnsi="TimesNewRomanPSMT"/>
          <w:sz w:val="22"/>
          <w:szCs w:val="22"/>
        </w:rPr>
      </w:pPr>
    </w:p>
    <w:p w14:paraId="1FAA7DD9" w14:textId="0056CF06" w:rsidR="00665363" w:rsidRDefault="00665363" w:rsidP="00B13339">
      <w:pPr>
        <w:jc w:val="both"/>
      </w:pPr>
      <w:r>
        <w:t>(</w:t>
      </w:r>
      <w:r w:rsidR="002832F7">
        <w:t>4</w:t>
      </w:r>
      <w:r>
        <w:t>) V případě prodlení kupující</w:t>
      </w:r>
      <w:r w:rsidR="00A15049">
        <w:t>ho</w:t>
      </w:r>
      <w:r>
        <w:t xml:space="preserve"> se zaplacením kupní ceny j</w:t>
      </w:r>
      <w:r w:rsidR="00A15049">
        <w:t>e</w:t>
      </w:r>
      <w:r>
        <w:t xml:space="preserve"> kupující povi</w:t>
      </w:r>
      <w:r w:rsidR="00B571A6">
        <w:t>n</w:t>
      </w:r>
      <w:r w:rsidR="005E2F67">
        <w:t>en</w:t>
      </w:r>
      <w:r>
        <w:t xml:space="preserve"> uhradit prodávajícím úrok</w:t>
      </w:r>
      <w:r w:rsidR="00895227">
        <w:t>y</w:t>
      </w:r>
      <w:r>
        <w:t xml:space="preserve"> z prodlení </w:t>
      </w:r>
      <w:r w:rsidR="00895227">
        <w:t>určené předpisy práva občanského, přičemž aktuálně je výše těchto úroků z prodlení určena</w:t>
      </w:r>
      <w:r>
        <w:t xml:space="preserve"> nařízení</w:t>
      </w:r>
      <w:r w:rsidR="00895227">
        <w:t>m</w:t>
      </w:r>
      <w:r>
        <w:t xml:space="preserve"> vlády č. 351/2013 Sb., kterým se určuje výše úroků z prodlení a nákladů spojených s uplatněním pohledávky, určuje odměna likvidátora, likvidačního správce a člena orgánu právnické osoby jmenovaného soudem a upravují některé otázky Obchodního věstníku a veřejných rejstříků právnických a fyzických osob</w:t>
      </w:r>
      <w:r w:rsidR="002C276F">
        <w:t xml:space="preserve"> </w:t>
      </w:r>
      <w:r w:rsidR="002C276F" w:rsidRPr="0071432E">
        <w:t>a evidence svěřenských fondů a evidence údajů o skutečných majitelích, ve</w:t>
      </w:r>
      <w:r w:rsidR="002C276F">
        <w:t> </w:t>
      </w:r>
      <w:r w:rsidR="002C276F" w:rsidRPr="0071432E">
        <w:t>znění nařízení vlády č. 434/2017 Sb.</w:t>
      </w:r>
      <w:r w:rsidR="002C276F">
        <w:t xml:space="preserve"> </w:t>
      </w:r>
      <w:r w:rsidR="002C276F" w:rsidRPr="00B6381D">
        <w:t>a nařízení vlády č. 184/2019 Sb.</w:t>
      </w:r>
    </w:p>
    <w:p w14:paraId="5342E718" w14:textId="77777777" w:rsidR="00B64653" w:rsidRDefault="00B64653" w:rsidP="006F3BCC">
      <w:pPr>
        <w:jc w:val="center"/>
        <w:rPr>
          <w:b/>
        </w:rPr>
      </w:pPr>
    </w:p>
    <w:p w14:paraId="1FAA7DDA" w14:textId="36576ED0" w:rsidR="003C5369" w:rsidRPr="00BD39D7" w:rsidRDefault="00E279A2" w:rsidP="006F3BCC">
      <w:pPr>
        <w:jc w:val="center"/>
        <w:rPr>
          <w:b/>
        </w:rPr>
      </w:pPr>
      <w:r w:rsidRPr="00BD39D7">
        <w:rPr>
          <w:b/>
        </w:rPr>
        <w:t>Č</w:t>
      </w:r>
      <w:r w:rsidR="00A74461" w:rsidRPr="00BD39D7">
        <w:rPr>
          <w:b/>
        </w:rPr>
        <w:t>lánek V</w:t>
      </w:r>
      <w:r w:rsidR="00D34C36" w:rsidRPr="00BD39D7">
        <w:rPr>
          <w:b/>
        </w:rPr>
        <w:t>I</w:t>
      </w:r>
      <w:r w:rsidR="00A74461" w:rsidRPr="00BD39D7">
        <w:rPr>
          <w:b/>
        </w:rPr>
        <w:t>.</w:t>
      </w:r>
    </w:p>
    <w:p w14:paraId="1FAA7DDB" w14:textId="77777777" w:rsidR="00A74461" w:rsidRPr="00BD39D7" w:rsidRDefault="00A74461" w:rsidP="00212395">
      <w:pPr>
        <w:spacing w:after="240"/>
        <w:jc w:val="center"/>
        <w:rPr>
          <w:b/>
        </w:rPr>
      </w:pPr>
      <w:r w:rsidRPr="00BD39D7">
        <w:rPr>
          <w:b/>
        </w:rPr>
        <w:t>Prohlášení smluvních stran</w:t>
      </w:r>
    </w:p>
    <w:p w14:paraId="1FAA7DDD" w14:textId="69386C93" w:rsidR="003038B2" w:rsidRPr="00553BF6" w:rsidRDefault="003038B2" w:rsidP="00641984">
      <w:pPr>
        <w:spacing w:after="240"/>
        <w:jc w:val="both"/>
      </w:pPr>
      <w:r w:rsidRPr="00553BF6">
        <w:t xml:space="preserve">(1) Prodávající prohlašuje, že ode dne </w:t>
      </w:r>
      <w:r w:rsidR="00DC3D5C" w:rsidRPr="00553BF6">
        <w:t xml:space="preserve">provedení </w:t>
      </w:r>
      <w:r w:rsidR="002D38C1" w:rsidRPr="00553BF6">
        <w:t>vkladu</w:t>
      </w:r>
      <w:r w:rsidR="00DC3D5C" w:rsidRPr="00553BF6">
        <w:t xml:space="preserve"> </w:t>
      </w:r>
      <w:r w:rsidR="002D38C1" w:rsidRPr="00553BF6">
        <w:t xml:space="preserve">prohlášení vlastníka budovy </w:t>
      </w:r>
      <w:r w:rsidR="00DC3D5C" w:rsidRPr="00553BF6">
        <w:t>do</w:t>
      </w:r>
      <w:r w:rsidR="002D38C1" w:rsidRPr="00553BF6">
        <w:t> </w:t>
      </w:r>
      <w:r w:rsidR="00DC3D5C" w:rsidRPr="00553BF6">
        <w:t xml:space="preserve">katastru nemovitostí </w:t>
      </w:r>
      <w:r w:rsidRPr="00553BF6">
        <w:t xml:space="preserve">nedošlo k podstatné změně v charakteru </w:t>
      </w:r>
      <w:r w:rsidR="002C276F" w:rsidRPr="00553BF6">
        <w:t>bytové jednotky</w:t>
      </w:r>
      <w:r w:rsidRPr="00553BF6">
        <w:t xml:space="preserve"> č. </w:t>
      </w:r>
      <w:r w:rsidR="000C4881">
        <w:t>2506/4</w:t>
      </w:r>
      <w:r w:rsidR="005E6923" w:rsidRPr="00553BF6">
        <w:t xml:space="preserve"> </w:t>
      </w:r>
      <w:r w:rsidRPr="00553BF6">
        <w:t>ve smyslu ust. § 6 odst. 3 zákona č.</w:t>
      </w:r>
      <w:r w:rsidR="00DC3D5C" w:rsidRPr="00553BF6">
        <w:t> </w:t>
      </w:r>
      <w:r w:rsidRPr="00553BF6">
        <w:t>72/1994 Sb., kterým se upravují některé spoluvlastnické vztahy k budovám a některé vlastnické vztahy k bytům nebytovým prostorům a doplňují některé zákony (zákon o</w:t>
      </w:r>
      <w:r w:rsidR="00DC3D5C" w:rsidRPr="00553BF6">
        <w:t> </w:t>
      </w:r>
      <w:r w:rsidRPr="00553BF6">
        <w:t>vlastnictví bytů), ve znění pozdějších předpisů.</w:t>
      </w:r>
    </w:p>
    <w:p w14:paraId="1FAA7DE1" w14:textId="7325E64E" w:rsidR="00F25093" w:rsidRPr="00423639" w:rsidRDefault="00F25093" w:rsidP="00FD644D">
      <w:pPr>
        <w:spacing w:after="240"/>
        <w:jc w:val="both"/>
      </w:pPr>
      <w:r w:rsidRPr="00423639">
        <w:t>(</w:t>
      </w:r>
      <w:r w:rsidR="004570FB" w:rsidRPr="00423639">
        <w:t>2</w:t>
      </w:r>
      <w:r w:rsidRPr="00423639">
        <w:t>) Prodávající prohlašuj</w:t>
      </w:r>
      <w:r w:rsidR="0007066A" w:rsidRPr="00423639">
        <w:t>í</w:t>
      </w:r>
      <w:r w:rsidRPr="00423639">
        <w:t xml:space="preserve">, že správu bytového domu č.p. </w:t>
      </w:r>
      <w:r w:rsidR="001845A2" w:rsidRPr="00423639">
        <w:rPr>
          <w:rStyle w:val="preformatted"/>
        </w:rPr>
        <w:t>2506</w:t>
      </w:r>
      <w:r w:rsidR="00B015CD">
        <w:rPr>
          <w:rStyle w:val="preformatted"/>
        </w:rPr>
        <w:t>, 2507, 2508</w:t>
      </w:r>
      <w:r w:rsidR="00497AE9" w:rsidRPr="00423639">
        <w:t xml:space="preserve"> </w:t>
      </w:r>
      <w:r w:rsidRPr="00423639">
        <w:t xml:space="preserve">zajišťuje </w:t>
      </w:r>
      <w:r w:rsidR="00BC5057" w:rsidRPr="00423639">
        <w:t>Odděl</w:t>
      </w:r>
      <w:r w:rsidR="00376F0F" w:rsidRPr="00423639">
        <w:t>ení bytové správy Odboru správy majetku a komunálních služeb</w:t>
      </w:r>
      <w:r w:rsidR="006A08F9" w:rsidRPr="00423639">
        <w:t>,</w:t>
      </w:r>
      <w:r w:rsidR="00423639" w:rsidRPr="00423639">
        <w:t xml:space="preserve"> </w:t>
      </w:r>
      <w:r w:rsidR="001A6FEE" w:rsidRPr="00423639">
        <w:t xml:space="preserve">se sídlem </w:t>
      </w:r>
      <w:r w:rsidR="00FD644D" w:rsidRPr="00423639">
        <w:t>Přerov - Přerov I-Město, Blahoslavova 79/3, PSČ 75002</w:t>
      </w:r>
      <w:r w:rsidR="001A6FEE" w:rsidRPr="00423639">
        <w:t>.</w:t>
      </w:r>
    </w:p>
    <w:p w14:paraId="2506E632" w14:textId="47BB26B9" w:rsidR="00B30323" w:rsidRDefault="006A4C85" w:rsidP="00AF5C98">
      <w:pPr>
        <w:spacing w:after="240"/>
        <w:jc w:val="both"/>
      </w:pPr>
      <w:r>
        <w:t>(</w:t>
      </w:r>
      <w:r w:rsidR="00423639">
        <w:t>3</w:t>
      </w:r>
      <w:r>
        <w:t xml:space="preserve">) </w:t>
      </w:r>
      <w:r w:rsidR="00A74461">
        <w:t>Prodávající prohlašuj</w:t>
      </w:r>
      <w:r w:rsidR="00033C6C">
        <w:t>í</w:t>
      </w:r>
      <w:r w:rsidR="00A74461">
        <w:t>, že na předmětu převodu neváznou žádná zástavní práva, věcná břemena</w:t>
      </w:r>
      <w:r w:rsidR="009F7352">
        <w:t xml:space="preserve">, </w:t>
      </w:r>
      <w:r w:rsidR="00924356">
        <w:t xml:space="preserve">jiná práva třetích osob </w:t>
      </w:r>
      <w:r w:rsidR="00A74461">
        <w:t xml:space="preserve">ani žádné právní vady, že </w:t>
      </w:r>
      <w:r w:rsidR="00033C6C">
        <w:t>nejsou</w:t>
      </w:r>
      <w:r w:rsidR="00A74461">
        <w:t xml:space="preserve"> žádným způsobem omezen</w:t>
      </w:r>
      <w:r w:rsidR="00033C6C">
        <w:t>i</w:t>
      </w:r>
      <w:r w:rsidR="00A74461">
        <w:t xml:space="preserve"> v dispozici se svým majetkem a nebyla proti n</w:t>
      </w:r>
      <w:r w:rsidR="00033C6C">
        <w:t>im</w:t>
      </w:r>
      <w:r w:rsidR="00A74461">
        <w:t xml:space="preserve"> nařízena exekuce ani </w:t>
      </w:r>
      <w:r w:rsidR="00196D78">
        <w:t xml:space="preserve">nebyl </w:t>
      </w:r>
      <w:r w:rsidR="00A74461">
        <w:t xml:space="preserve">podán návrh na nařízení výkonu rozhodnutí prodejem nemovitosti nebo zřízením soudcovského zástavního práva. </w:t>
      </w:r>
    </w:p>
    <w:p w14:paraId="39F04F17" w14:textId="77777777" w:rsidR="00B30323" w:rsidRDefault="00B30323" w:rsidP="00AF5C98">
      <w:pPr>
        <w:spacing w:after="240"/>
        <w:jc w:val="both"/>
      </w:pPr>
    </w:p>
    <w:p w14:paraId="37C22293" w14:textId="77777777" w:rsidR="008873AF" w:rsidRDefault="008873AF" w:rsidP="00ED288D">
      <w:pPr>
        <w:jc w:val="center"/>
        <w:rPr>
          <w:b/>
        </w:rPr>
      </w:pPr>
    </w:p>
    <w:p w14:paraId="1FAA7DE9" w14:textId="7C0DC817" w:rsidR="00114D7D" w:rsidRDefault="003C5369" w:rsidP="00ED288D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C5266C">
        <w:rPr>
          <w:b/>
        </w:rPr>
        <w:t>VII</w:t>
      </w:r>
      <w:r>
        <w:rPr>
          <w:b/>
        </w:rPr>
        <w:t>.</w:t>
      </w:r>
    </w:p>
    <w:p w14:paraId="1FAA7DEA" w14:textId="77777777" w:rsidR="00114D7D" w:rsidRDefault="00B53F18" w:rsidP="002A52B7">
      <w:pPr>
        <w:jc w:val="center"/>
        <w:rPr>
          <w:b/>
        </w:rPr>
      </w:pPr>
      <w:r w:rsidRPr="00B53F18">
        <w:rPr>
          <w:b/>
        </w:rPr>
        <w:t>Přechod práv a závazků váznoucích na předmětu převodu</w:t>
      </w:r>
    </w:p>
    <w:p w14:paraId="2B2E1CF5" w14:textId="77777777" w:rsidR="004B57BB" w:rsidRPr="00B53F18" w:rsidRDefault="004B57BB" w:rsidP="002A52B7">
      <w:pPr>
        <w:jc w:val="center"/>
        <w:rPr>
          <w:b/>
        </w:rPr>
      </w:pPr>
    </w:p>
    <w:p w14:paraId="1FAA7DEB" w14:textId="7C4ED78C" w:rsidR="00114D7D" w:rsidRDefault="00114D7D" w:rsidP="00B53F18">
      <w:pPr>
        <w:spacing w:after="120"/>
        <w:jc w:val="both"/>
      </w:pPr>
      <w:r>
        <w:t xml:space="preserve">Na </w:t>
      </w:r>
      <w:r w:rsidR="000060EF">
        <w:t>kupující</w:t>
      </w:r>
      <w:r w:rsidR="000B4663">
        <w:t>ho</w:t>
      </w:r>
      <w:r w:rsidR="000060EF">
        <w:t xml:space="preserve"> jako vlastníka </w:t>
      </w:r>
      <w:r w:rsidR="004F2C31">
        <w:t xml:space="preserve">bytové jednotky </w:t>
      </w:r>
      <w:r>
        <w:t>č.</w:t>
      </w:r>
      <w:r w:rsidR="001B6CDD">
        <w:t xml:space="preserve"> </w:t>
      </w:r>
      <w:r w:rsidR="00A92672">
        <w:t>2506/4</w:t>
      </w:r>
      <w:r w:rsidR="00BA5B82">
        <w:t xml:space="preserve"> </w:t>
      </w:r>
      <w:r>
        <w:t>přechází následující práva a</w:t>
      </w:r>
      <w:r w:rsidR="007160ED">
        <w:t> </w:t>
      </w:r>
      <w:r>
        <w:t xml:space="preserve">závazky: </w:t>
      </w:r>
    </w:p>
    <w:p w14:paraId="1FAA7DEC" w14:textId="020C7DBD" w:rsidR="00114D7D" w:rsidRDefault="00114D7D" w:rsidP="001B6CDD">
      <w:pPr>
        <w:spacing w:after="120"/>
        <w:jc w:val="both"/>
      </w:pPr>
      <w:r>
        <w:t>a) práva a závazky v souvislosti s uzavřením smluv na</w:t>
      </w:r>
      <w:r w:rsidR="00450FD0">
        <w:t xml:space="preserve"> </w:t>
      </w:r>
      <w:r w:rsidR="000B4663">
        <w:t xml:space="preserve">odběr </w:t>
      </w:r>
      <w:r>
        <w:t>pitné vody a</w:t>
      </w:r>
      <w:r w:rsidR="000B4663">
        <w:t> </w:t>
      </w:r>
      <w:r w:rsidR="005B63F0">
        <w:t>s</w:t>
      </w:r>
      <w:r>
        <w:t xml:space="preserve">točného, </w:t>
      </w:r>
      <w:r w:rsidR="00FE60A1">
        <w:t>odvozu domovního odpadu</w:t>
      </w:r>
      <w:r w:rsidR="00A71C75">
        <w:t xml:space="preserve"> a elektrické energie pro společné části domu</w:t>
      </w:r>
      <w:r w:rsidR="002A5013">
        <w:t xml:space="preserve"> </w:t>
      </w:r>
      <w:r w:rsidR="00196D78">
        <w:t xml:space="preserve">s tím, že v době </w:t>
      </w:r>
      <w:r w:rsidR="000B4663">
        <w:t>zápisu</w:t>
      </w:r>
      <w:r w:rsidR="00196D78">
        <w:t xml:space="preserve"> prohlášení vlastníka budovy </w:t>
      </w:r>
      <w:r w:rsidR="000B4663">
        <w:t xml:space="preserve">vkladem </w:t>
      </w:r>
      <w:r w:rsidR="00196D78">
        <w:t>do katastru nemovitostí byly tyto smlouvy vlastníkem budovy platně uzavřeny</w:t>
      </w:r>
      <w:r w:rsidR="001B6CDD">
        <w:t>,</w:t>
      </w:r>
    </w:p>
    <w:p w14:paraId="1FAA7DED" w14:textId="0E02A724" w:rsidR="00114D7D" w:rsidRDefault="00114D7D" w:rsidP="0018647B">
      <w:pPr>
        <w:spacing w:after="120"/>
        <w:jc w:val="both"/>
      </w:pPr>
      <w:r>
        <w:t xml:space="preserve">b) závazek </w:t>
      </w:r>
      <w:r w:rsidR="002A5224">
        <w:t xml:space="preserve">zachovat a </w:t>
      </w:r>
      <w:r>
        <w:t xml:space="preserve">umožnit výkon vlastnických práv vlastníku </w:t>
      </w:r>
      <w:r w:rsidR="005B63F0">
        <w:t xml:space="preserve">provozního </w:t>
      </w:r>
      <w:r>
        <w:t>zařízení a</w:t>
      </w:r>
      <w:r w:rsidR="000B4663">
        <w:t> </w:t>
      </w:r>
      <w:r>
        <w:t xml:space="preserve">kabelových rozvodů pro příjem signálu kabelové televize, </w:t>
      </w:r>
      <w:r w:rsidR="00182376">
        <w:t xml:space="preserve">kterým je </w:t>
      </w:r>
      <w:r w:rsidR="00783EC8">
        <w:t xml:space="preserve">ke dni účinnosti této smlouvy </w:t>
      </w:r>
      <w:r w:rsidR="0034324B">
        <w:t xml:space="preserve">společnost </w:t>
      </w:r>
      <w:r w:rsidR="001A6FEE" w:rsidRPr="00F02DDF">
        <w:rPr>
          <w:rStyle w:val="preformatted"/>
        </w:rPr>
        <w:t>Nej.cz s.r.o.</w:t>
      </w:r>
      <w:r w:rsidR="001A6FEE" w:rsidRPr="00F02DDF">
        <w:t>, IČ </w:t>
      </w:r>
      <w:r w:rsidR="001A6FEE" w:rsidRPr="00F02DDF">
        <w:rPr>
          <w:rFonts w:ascii="source_sans" w:hAnsi="source_sans" w:cs="Arial"/>
        </w:rPr>
        <w:t>03213595</w:t>
      </w:r>
      <w:r w:rsidR="001A6FEE" w:rsidRPr="00F02DDF">
        <w:t xml:space="preserve">, se sídlem </w:t>
      </w:r>
      <w:r w:rsidR="008F1E7F" w:rsidRPr="00F02DDF">
        <w:t>Kaplanova 2252/8, Chodov, 148 00 Praha</w:t>
      </w:r>
      <w:r w:rsidR="00CB0228" w:rsidRPr="00F02DDF">
        <w:t xml:space="preserve"> </w:t>
      </w:r>
      <w:r w:rsidR="008F1E7F" w:rsidRPr="00F02DDF">
        <w:t>4</w:t>
      </w:r>
      <w:r w:rsidR="00182376" w:rsidRPr="00F02DDF">
        <w:t>,</w:t>
      </w:r>
      <w:r w:rsidR="00450FD0" w:rsidRPr="00F02DDF">
        <w:t xml:space="preserve"> </w:t>
      </w:r>
      <w:r w:rsidRPr="00F02DDF">
        <w:t>zejména</w:t>
      </w:r>
      <w:r w:rsidRPr="00446AA8">
        <w:t xml:space="preserve"> umožnit vstup do budovy oprávněným osobám vlastníka</w:t>
      </w:r>
      <w:r w:rsidR="005B63F0" w:rsidRPr="00446AA8">
        <w:t>,</w:t>
      </w:r>
      <w:r w:rsidRPr="00446AA8">
        <w:t xml:space="preserve"> popř. provozovatele, </w:t>
      </w:r>
      <w:r>
        <w:t>k provádění údržby a oprav zařízení a</w:t>
      </w:r>
      <w:r w:rsidR="00487089">
        <w:t> </w:t>
      </w:r>
      <w:r>
        <w:t>rozvodů kabelové televize</w:t>
      </w:r>
      <w:r w:rsidR="002D38C1">
        <w:t>,</w:t>
      </w:r>
    </w:p>
    <w:p w14:paraId="3016DE83" w14:textId="60E1C8C1" w:rsidR="00B773A8" w:rsidRDefault="009C19CD" w:rsidP="0018647B">
      <w:pPr>
        <w:spacing w:after="120"/>
        <w:jc w:val="both"/>
      </w:pPr>
      <w:r>
        <w:t xml:space="preserve">c) závazek </w:t>
      </w:r>
      <w:r w:rsidR="00C31EA4">
        <w:t xml:space="preserve">umožnit vlastníku nebytové jednotky 2508/102, sloužící jako </w:t>
      </w:r>
      <w:r w:rsidR="0072531C">
        <w:t>úkryt CO, ukrývání osob podle zvláštních předpisů</w:t>
      </w:r>
      <w:r w:rsidR="00917374">
        <w:t xml:space="preserve">. </w:t>
      </w:r>
    </w:p>
    <w:p w14:paraId="4F1C5BAE" w14:textId="701428D7" w:rsidR="00B64653" w:rsidRDefault="003D4888" w:rsidP="008873AF">
      <w:pPr>
        <w:spacing w:after="120"/>
        <w:jc w:val="both"/>
      </w:pPr>
      <w:r>
        <w:t>d</w:t>
      </w:r>
      <w:r w:rsidR="00450FD0">
        <w:t xml:space="preserve">) závazek umožnit </w:t>
      </w:r>
      <w:r w:rsidR="008B2CBD">
        <w:t>v rozsahu platných právních a technických předpisů provoz a údržbu energetického zařízení předávací stanice, které je ve</w:t>
      </w:r>
      <w:r w:rsidR="00F37288">
        <w:t xml:space="preserve"> vlastnictví Tepla Přerov, a.s.</w:t>
      </w:r>
      <w:r w:rsidR="008B2CBD">
        <w:t xml:space="preserve"> </w:t>
      </w:r>
      <w:r w:rsidR="00F37288">
        <w:t>IČ 25391453, se sídlem Přerov, Přerov I - Město, Blahoslavova 1499/7, PSČ 75002, zejména umožnit vstup do budovy oprávněným osobám vlastníka</w:t>
      </w:r>
      <w:r w:rsidR="00D2083F">
        <w:t xml:space="preserve"> a </w:t>
      </w:r>
      <w:r w:rsidR="00F37288">
        <w:t>provozovatele,</w:t>
      </w:r>
      <w:r w:rsidR="00D2083F">
        <w:t xml:space="preserve"> pověřených zajišťováním provozu, údržby, kontrol a oprav</w:t>
      </w:r>
      <w:r w:rsidR="006F4E4A">
        <w:t xml:space="preserve"> technologického zařízení.</w:t>
      </w:r>
      <w:r w:rsidR="00F37288">
        <w:t xml:space="preserve"> </w:t>
      </w:r>
    </w:p>
    <w:p w14:paraId="43A73EB5" w14:textId="604898AF" w:rsidR="00F35AA7" w:rsidRDefault="006F4E4A" w:rsidP="008873AF">
      <w:pPr>
        <w:spacing w:after="120"/>
        <w:jc w:val="both"/>
      </w:pPr>
      <w:r>
        <w:t>e) závazek</w:t>
      </w:r>
      <w:r w:rsidR="00545B60">
        <w:t xml:space="preserve"> umožnit dodávku tepelné energie do vedlejších budov. </w:t>
      </w:r>
    </w:p>
    <w:p w14:paraId="5FB3C388" w14:textId="77777777" w:rsidR="00B30323" w:rsidRPr="008873AF" w:rsidRDefault="00B30323" w:rsidP="008873AF">
      <w:pPr>
        <w:spacing w:after="120"/>
        <w:jc w:val="both"/>
      </w:pPr>
    </w:p>
    <w:p w14:paraId="1FAA7DF0" w14:textId="750154BA" w:rsidR="00F36816" w:rsidRDefault="00F36816" w:rsidP="008022C6">
      <w:pPr>
        <w:jc w:val="center"/>
        <w:rPr>
          <w:b/>
        </w:rPr>
      </w:pPr>
      <w:r>
        <w:rPr>
          <w:b/>
        </w:rPr>
        <w:t xml:space="preserve">Článek </w:t>
      </w:r>
      <w:r w:rsidR="002A52B7">
        <w:rPr>
          <w:b/>
        </w:rPr>
        <w:t>VIII</w:t>
      </w:r>
      <w:r>
        <w:rPr>
          <w:b/>
        </w:rPr>
        <w:t>.</w:t>
      </w:r>
    </w:p>
    <w:p w14:paraId="1FAA7DF1" w14:textId="77777777" w:rsidR="00F36816" w:rsidRDefault="00F36816" w:rsidP="00212395">
      <w:pPr>
        <w:spacing w:after="240"/>
        <w:jc w:val="center"/>
        <w:rPr>
          <w:b/>
        </w:rPr>
      </w:pPr>
      <w:r>
        <w:rPr>
          <w:b/>
        </w:rPr>
        <w:t>Předání předmětu převodu</w:t>
      </w:r>
    </w:p>
    <w:p w14:paraId="1FAA7DF3" w14:textId="7B2551E2" w:rsidR="00F938A9" w:rsidRDefault="00F36816" w:rsidP="00B30323">
      <w:pPr>
        <w:jc w:val="both"/>
        <w:rPr>
          <w:b/>
        </w:rPr>
      </w:pPr>
      <w:r w:rsidRPr="00C54110">
        <w:rPr>
          <w:color w:val="000000"/>
        </w:rPr>
        <w:t>Smluvní strany se dohodly, že prodávající před</w:t>
      </w:r>
      <w:r w:rsidR="00DD05B0">
        <w:rPr>
          <w:color w:val="000000"/>
        </w:rPr>
        <w:t>ají</w:t>
      </w:r>
      <w:r w:rsidRPr="00C54110">
        <w:rPr>
          <w:color w:val="000000"/>
        </w:rPr>
        <w:t xml:space="preserve"> kupující</w:t>
      </w:r>
      <w:r w:rsidR="007160ED">
        <w:rPr>
          <w:color w:val="000000"/>
        </w:rPr>
        <w:t>m</w:t>
      </w:r>
      <w:r w:rsidR="002A52B7">
        <w:rPr>
          <w:color w:val="000000"/>
        </w:rPr>
        <w:t>u</w:t>
      </w:r>
      <w:r w:rsidRPr="00C54110">
        <w:rPr>
          <w:color w:val="000000"/>
        </w:rPr>
        <w:t xml:space="preserve"> předmět převodu nejpozději do</w:t>
      </w:r>
      <w:r w:rsidR="007160ED">
        <w:rPr>
          <w:color w:val="000000"/>
        </w:rPr>
        <w:t> </w:t>
      </w:r>
      <w:r w:rsidR="00F52792">
        <w:rPr>
          <w:color w:val="000000"/>
        </w:rPr>
        <w:t>1</w:t>
      </w:r>
      <w:r w:rsidR="00BB2767">
        <w:rPr>
          <w:color w:val="000000"/>
        </w:rPr>
        <w:t>0</w:t>
      </w:r>
      <w:r w:rsidR="007160ED">
        <w:rPr>
          <w:color w:val="000000"/>
        </w:rPr>
        <w:t> </w:t>
      </w:r>
      <w:r w:rsidR="00B23E2E" w:rsidRPr="00C54110">
        <w:rPr>
          <w:color w:val="000000"/>
        </w:rPr>
        <w:t>pracovních</w:t>
      </w:r>
      <w:r w:rsidRPr="00C54110">
        <w:rPr>
          <w:color w:val="000000"/>
        </w:rPr>
        <w:t xml:space="preserve"> dnů poté, co </w:t>
      </w:r>
      <w:r w:rsidR="002D38C1">
        <w:rPr>
          <w:color w:val="000000"/>
        </w:rPr>
        <w:t xml:space="preserve">Katastrální úřad pro Olomoucký kraj, </w:t>
      </w:r>
      <w:r w:rsidR="00C81EFF">
        <w:rPr>
          <w:color w:val="000000"/>
        </w:rPr>
        <w:t>K</w:t>
      </w:r>
      <w:r w:rsidR="002D38C1">
        <w:rPr>
          <w:color w:val="000000"/>
        </w:rPr>
        <w:t>atastrální pracoviště Přerov, povolí vklad</w:t>
      </w:r>
      <w:r w:rsidRPr="00C54110">
        <w:rPr>
          <w:color w:val="000000"/>
        </w:rPr>
        <w:t xml:space="preserve"> </w:t>
      </w:r>
      <w:r w:rsidR="002D38C1" w:rsidRPr="00C54110">
        <w:rPr>
          <w:color w:val="000000"/>
        </w:rPr>
        <w:t xml:space="preserve">vlastnického práva do katastru nemovitostí </w:t>
      </w:r>
      <w:r w:rsidRPr="00C54110">
        <w:rPr>
          <w:color w:val="000000"/>
        </w:rPr>
        <w:t>na základě této smlouvy</w:t>
      </w:r>
      <w:r w:rsidR="00DD7B67">
        <w:rPr>
          <w:color w:val="000000"/>
        </w:rPr>
        <w:t xml:space="preserve"> a současně uhrazení kupní ceny prodávajícím dle čl. </w:t>
      </w:r>
      <w:r w:rsidR="00C81EFF">
        <w:rPr>
          <w:color w:val="000000"/>
        </w:rPr>
        <w:t>V. této smlouvy</w:t>
      </w:r>
      <w:r w:rsidRPr="00C54110">
        <w:rPr>
          <w:color w:val="000000"/>
        </w:rPr>
        <w:t>, přičemž smluvní strany se</w:t>
      </w:r>
      <w:r w:rsidR="007406EB">
        <w:rPr>
          <w:color w:val="000000"/>
        </w:rPr>
        <w:t> </w:t>
      </w:r>
      <w:r w:rsidRPr="00C54110">
        <w:rPr>
          <w:color w:val="000000"/>
        </w:rPr>
        <w:t>zavazují sepsat o</w:t>
      </w:r>
      <w:r w:rsidR="007160ED">
        <w:rPr>
          <w:color w:val="000000"/>
        </w:rPr>
        <w:t> </w:t>
      </w:r>
      <w:r w:rsidRPr="00C54110">
        <w:rPr>
          <w:color w:val="000000"/>
        </w:rPr>
        <w:t>předání předmětu převodu předávací protokol.</w:t>
      </w:r>
    </w:p>
    <w:p w14:paraId="51926241" w14:textId="77777777" w:rsidR="00B64653" w:rsidRDefault="00B64653" w:rsidP="006F3BCC">
      <w:pPr>
        <w:jc w:val="center"/>
        <w:rPr>
          <w:b/>
        </w:rPr>
      </w:pPr>
    </w:p>
    <w:p w14:paraId="1FAA7DF4" w14:textId="50F13BDD" w:rsidR="003038B2" w:rsidRDefault="00F938A9" w:rsidP="006F3BCC">
      <w:pPr>
        <w:jc w:val="center"/>
        <w:rPr>
          <w:b/>
        </w:rPr>
      </w:pPr>
      <w:r>
        <w:rPr>
          <w:b/>
        </w:rPr>
        <w:t xml:space="preserve">Článek </w:t>
      </w:r>
      <w:r w:rsidR="002A52B7">
        <w:rPr>
          <w:b/>
        </w:rPr>
        <w:t>I</w:t>
      </w:r>
      <w:r>
        <w:rPr>
          <w:b/>
        </w:rPr>
        <w:t>X.</w:t>
      </w:r>
    </w:p>
    <w:p w14:paraId="1FAA7DF5" w14:textId="77777777" w:rsidR="00F938A9" w:rsidRDefault="00F938A9" w:rsidP="00894032">
      <w:pPr>
        <w:jc w:val="center"/>
        <w:rPr>
          <w:b/>
        </w:rPr>
      </w:pPr>
      <w:r>
        <w:rPr>
          <w:b/>
        </w:rPr>
        <w:t>Odstoupení od smlouvy</w:t>
      </w:r>
    </w:p>
    <w:p w14:paraId="250DE506" w14:textId="77777777" w:rsidR="00D32300" w:rsidRDefault="00D32300" w:rsidP="00894032">
      <w:pPr>
        <w:jc w:val="center"/>
        <w:rPr>
          <w:b/>
        </w:rPr>
      </w:pPr>
    </w:p>
    <w:p w14:paraId="24D8DF61" w14:textId="4CCAF8E3" w:rsidR="007F0745" w:rsidRDefault="007F0745" w:rsidP="007F0745">
      <w:pPr>
        <w:jc w:val="both"/>
      </w:pPr>
      <w:r>
        <w:t xml:space="preserve">(1) Neuhradí-li kupující prodávajícím kupní cenu ve výši a lhůtě dle čl. </w:t>
      </w:r>
      <w:r w:rsidR="00A545AA">
        <w:t xml:space="preserve">V. </w:t>
      </w:r>
      <w:r>
        <w:t>této smlouvy, j</w:t>
      </w:r>
      <w:r w:rsidR="00A545AA">
        <w:t>sou</w:t>
      </w:r>
      <w:r>
        <w:t xml:space="preserve"> prodávající oprávněn</w:t>
      </w:r>
      <w:r w:rsidR="00A545AA">
        <w:t>i</w:t>
      </w:r>
      <w:r>
        <w:t xml:space="preserve"> od této smlouvy odstoupit.</w:t>
      </w:r>
    </w:p>
    <w:p w14:paraId="2EFE5E83" w14:textId="77777777" w:rsidR="007F0745" w:rsidRDefault="007F0745" w:rsidP="007F0745">
      <w:pPr>
        <w:jc w:val="both"/>
      </w:pPr>
    </w:p>
    <w:p w14:paraId="7584F33B" w14:textId="3168516E" w:rsidR="00966AF4" w:rsidRDefault="007F0745" w:rsidP="00B30323">
      <w:pPr>
        <w:jc w:val="both"/>
      </w:pPr>
      <w:r>
        <w:t>(2) Odstoupením od smlouvy se smlouva ruší ke dni, kdy je prohlášení prodávající</w:t>
      </w:r>
      <w:r w:rsidR="00794320">
        <w:t xml:space="preserve">ch </w:t>
      </w:r>
      <w:r>
        <w:t>o odstoupení od smlouvy doručeno straně kupující.</w:t>
      </w:r>
    </w:p>
    <w:p w14:paraId="26267E42" w14:textId="77777777" w:rsidR="009D706D" w:rsidRDefault="009D706D" w:rsidP="00B30323">
      <w:pPr>
        <w:jc w:val="both"/>
      </w:pPr>
    </w:p>
    <w:p w14:paraId="787574B8" w14:textId="77777777" w:rsidR="009D706D" w:rsidRDefault="009D706D" w:rsidP="00B30323">
      <w:pPr>
        <w:jc w:val="both"/>
      </w:pPr>
    </w:p>
    <w:p w14:paraId="5388CF8E" w14:textId="77777777" w:rsidR="009D706D" w:rsidRDefault="009D706D" w:rsidP="00B30323">
      <w:pPr>
        <w:jc w:val="both"/>
      </w:pPr>
    </w:p>
    <w:p w14:paraId="0F47CF8A" w14:textId="77777777" w:rsidR="009D706D" w:rsidRDefault="009D706D" w:rsidP="00B30323">
      <w:pPr>
        <w:jc w:val="both"/>
      </w:pPr>
    </w:p>
    <w:p w14:paraId="61EFB309" w14:textId="77777777" w:rsidR="009D706D" w:rsidRDefault="009D706D" w:rsidP="00B30323">
      <w:pPr>
        <w:jc w:val="both"/>
        <w:rPr>
          <w:b/>
        </w:rPr>
      </w:pPr>
    </w:p>
    <w:p w14:paraId="08E9421C" w14:textId="77777777" w:rsidR="00B64653" w:rsidRDefault="00B64653" w:rsidP="006F3BCC">
      <w:pPr>
        <w:jc w:val="center"/>
        <w:rPr>
          <w:b/>
        </w:rPr>
      </w:pPr>
    </w:p>
    <w:p w14:paraId="1FAA7DFA" w14:textId="77D030B3" w:rsidR="009C78DB" w:rsidRDefault="009C78DB" w:rsidP="006F3BCC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B23E2E">
        <w:rPr>
          <w:b/>
        </w:rPr>
        <w:t>X</w:t>
      </w:r>
      <w:r>
        <w:rPr>
          <w:b/>
        </w:rPr>
        <w:t>.</w:t>
      </w:r>
    </w:p>
    <w:p w14:paraId="1FAA7DFB" w14:textId="77777777" w:rsidR="00B53F18" w:rsidRDefault="00B53F18" w:rsidP="00894032">
      <w:pPr>
        <w:jc w:val="center"/>
        <w:rPr>
          <w:b/>
        </w:rPr>
      </w:pPr>
      <w:r>
        <w:rPr>
          <w:b/>
        </w:rPr>
        <w:t>Vklad vlastnického práva do katastru nemovitostí</w:t>
      </w:r>
    </w:p>
    <w:p w14:paraId="2D698B4B" w14:textId="77777777" w:rsidR="00D32300" w:rsidRDefault="00D32300" w:rsidP="00894032">
      <w:pPr>
        <w:jc w:val="center"/>
        <w:rPr>
          <w:b/>
        </w:rPr>
      </w:pPr>
    </w:p>
    <w:p w14:paraId="1FAA7DFC" w14:textId="473D18DF" w:rsidR="006F3BCC" w:rsidRDefault="006F3BCC" w:rsidP="006F3BCC">
      <w:pPr>
        <w:jc w:val="both"/>
      </w:pPr>
      <w:r>
        <w:t>(1) Kupující nab</w:t>
      </w:r>
      <w:r w:rsidR="00A97DA1">
        <w:t>y</w:t>
      </w:r>
      <w:r>
        <w:t>d</w:t>
      </w:r>
      <w:r w:rsidR="00E74DD8">
        <w:t>e</w:t>
      </w:r>
      <w:r>
        <w:t xml:space="preserve"> vlastnické právo </w:t>
      </w:r>
      <w:r w:rsidR="009C78DB">
        <w:t xml:space="preserve">k předmětu převodu </w:t>
      </w:r>
      <w:r>
        <w:t xml:space="preserve">na základě rozhodnutí Katastrálního úřadu pro Olomoucký kraj, </w:t>
      </w:r>
      <w:r w:rsidR="00794320">
        <w:t>K</w:t>
      </w:r>
      <w:r>
        <w:t>atastrální pracoviště Přerov</w:t>
      </w:r>
      <w:r w:rsidR="000060EF">
        <w:t>,</w:t>
      </w:r>
      <w:r>
        <w:t xml:space="preserve"> o povolení vkladu vlastnického práva do katastru nemovitostí, a to zpětně k</w:t>
      </w:r>
      <w:r w:rsidR="000B4663">
        <w:t xml:space="preserve"> okamžiku</w:t>
      </w:r>
      <w:r>
        <w:t xml:space="preserve"> podání návrhu na vklad.</w:t>
      </w:r>
    </w:p>
    <w:p w14:paraId="1FAA7DFD" w14:textId="77777777" w:rsidR="006F3BCC" w:rsidRDefault="006F3BCC" w:rsidP="006F3BCC">
      <w:pPr>
        <w:jc w:val="both"/>
      </w:pPr>
    </w:p>
    <w:p w14:paraId="24B105C1" w14:textId="014129D1" w:rsidR="006670FF" w:rsidRDefault="006F3BCC" w:rsidP="006670FF">
      <w:pPr>
        <w:jc w:val="both"/>
      </w:pPr>
      <w:r>
        <w:t xml:space="preserve">(2) Smluvní strany se dohodly, že návrh na vklad vlastnického práva do katastru nemovitostí podá příslušnému katastrálnímu úřadu </w:t>
      </w:r>
      <w:r w:rsidR="00637A81">
        <w:t>kupující</w:t>
      </w:r>
      <w:r w:rsidR="00D364AD">
        <w:t xml:space="preserve">, a to do </w:t>
      </w:r>
      <w:r w:rsidR="00F14E38">
        <w:t>2</w:t>
      </w:r>
      <w:r w:rsidR="009C78DB">
        <w:t xml:space="preserve">0 dnů </w:t>
      </w:r>
      <w:r w:rsidR="008927A8">
        <w:t xml:space="preserve">ode dne účinnosti </w:t>
      </w:r>
      <w:r w:rsidR="000060EF">
        <w:t>této smlouvy</w:t>
      </w:r>
      <w:r w:rsidR="002A52B7">
        <w:t>.</w:t>
      </w:r>
    </w:p>
    <w:p w14:paraId="7343353C" w14:textId="77777777" w:rsidR="00212395" w:rsidRDefault="00212395" w:rsidP="006670FF">
      <w:pPr>
        <w:jc w:val="both"/>
      </w:pPr>
    </w:p>
    <w:p w14:paraId="1FAA7E00" w14:textId="77777777" w:rsidR="00856BC6" w:rsidRDefault="00BD4953" w:rsidP="00BD4953">
      <w:pPr>
        <w:jc w:val="both"/>
      </w:pPr>
      <w:r>
        <w:t>(3)</w:t>
      </w:r>
      <w:r>
        <w:rPr>
          <w:b/>
        </w:rPr>
        <w:t xml:space="preserve"> </w:t>
      </w:r>
      <w:r>
        <w:t>Smluvní strany se dohodly, že správní poplatek za podání návrhu na vklad vlastnického práva do katastru nemovitostí uhradí kupující.</w:t>
      </w:r>
    </w:p>
    <w:p w14:paraId="1FAA7E01" w14:textId="77777777" w:rsidR="00487089" w:rsidRDefault="00487089" w:rsidP="006F3BCC">
      <w:pPr>
        <w:jc w:val="center"/>
        <w:rPr>
          <w:b/>
        </w:rPr>
      </w:pPr>
    </w:p>
    <w:p w14:paraId="6581B0D6" w14:textId="77777777" w:rsidR="00B64653" w:rsidRDefault="00B64653" w:rsidP="006F3BCC">
      <w:pPr>
        <w:jc w:val="center"/>
        <w:rPr>
          <w:b/>
        </w:rPr>
      </w:pPr>
    </w:p>
    <w:p w14:paraId="1FAA7E02" w14:textId="7799E20B" w:rsidR="006F3BCC" w:rsidRDefault="006F3BCC" w:rsidP="006F3BCC">
      <w:pPr>
        <w:jc w:val="center"/>
        <w:rPr>
          <w:b/>
        </w:rPr>
      </w:pPr>
      <w:r>
        <w:rPr>
          <w:b/>
        </w:rPr>
        <w:t xml:space="preserve">Článek </w:t>
      </w:r>
      <w:r w:rsidR="00F36816">
        <w:rPr>
          <w:b/>
        </w:rPr>
        <w:t>X</w:t>
      </w:r>
      <w:r w:rsidR="009D32CC">
        <w:rPr>
          <w:b/>
        </w:rPr>
        <w:t>I</w:t>
      </w:r>
      <w:r>
        <w:rPr>
          <w:b/>
        </w:rPr>
        <w:t>.</w:t>
      </w:r>
    </w:p>
    <w:p w14:paraId="1FAA7E03" w14:textId="77777777" w:rsidR="00B53F18" w:rsidRDefault="00B53F18" w:rsidP="00894032">
      <w:pPr>
        <w:jc w:val="center"/>
        <w:rPr>
          <w:b/>
        </w:rPr>
      </w:pPr>
      <w:r>
        <w:rPr>
          <w:b/>
        </w:rPr>
        <w:t>Závěrečná ustanovení</w:t>
      </w:r>
    </w:p>
    <w:p w14:paraId="30529EA9" w14:textId="14127100" w:rsidR="000B0391" w:rsidRPr="000F5B1A" w:rsidRDefault="000B0391" w:rsidP="000F5B1A">
      <w:pPr>
        <w:pStyle w:val="Zkladntext"/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iCs/>
          <w:color w:val="000000"/>
        </w:rPr>
        <w:t>(</w:t>
      </w:r>
      <w:r w:rsidR="007D59F9">
        <w:rPr>
          <w:iCs/>
          <w:color w:val="000000"/>
        </w:rPr>
        <w:t>1</w:t>
      </w:r>
      <w:r>
        <w:rPr>
          <w:color w:val="000000"/>
        </w:rPr>
        <w:t>) Práva a povinnosti touto smlouvou neupravené se řídí příslušnými ustanoveními právních předpisů České republiky v účinném znění, tj. zejména zákonem č. 89/2012 Sb., občanský zákoník, v platném znění.</w:t>
      </w:r>
    </w:p>
    <w:p w14:paraId="6C9D97E0" w14:textId="1F085CA7" w:rsidR="000B0391" w:rsidRDefault="000B0391" w:rsidP="000B0391">
      <w:pPr>
        <w:tabs>
          <w:tab w:val="decimal" w:pos="426"/>
        </w:tabs>
        <w:spacing w:after="120"/>
        <w:jc w:val="both"/>
      </w:pPr>
      <w:r>
        <w:rPr>
          <w:iCs/>
          <w:color w:val="000000"/>
        </w:rPr>
        <w:t>(</w:t>
      </w:r>
      <w:r w:rsidR="006342B8">
        <w:rPr>
          <w:iCs/>
          <w:color w:val="000000"/>
        </w:rPr>
        <w:t>2</w:t>
      </w:r>
      <w:r>
        <w:rPr>
          <w:iCs/>
          <w:color w:val="000000"/>
        </w:rPr>
        <w:t xml:space="preserve">) </w:t>
      </w:r>
      <w:r>
        <w:t xml:space="preserve">Smlouva nabývá platnosti </w:t>
      </w:r>
      <w:r w:rsidR="00C60205">
        <w:t xml:space="preserve">dnem jejího podpisu </w:t>
      </w:r>
      <w:r w:rsidR="007D59F9">
        <w:t xml:space="preserve">a účinnosti </w:t>
      </w:r>
      <w:r w:rsidRPr="00DF4D08">
        <w:t>dnem</w:t>
      </w:r>
      <w:r w:rsidR="00AF6886" w:rsidRPr="00AC2FB6">
        <w:t xml:space="preserve"> uveřejnění smlouvy prostřednictvím registru smluv ve smyslu zákona č. 340/2015 Sb., o zvláštních podmínkách účinnosti některých smluv, uveřejňování těchto smluv a o registru smluv (zákon o registru smluv)</w:t>
      </w:r>
      <w:r w:rsidR="00292998">
        <w:t>, když kupující se zavazuje, že smlouvu v registru smluv uveřejnění bez zbytečného odkladu po jejím podpisu všemi účastníky.</w:t>
      </w:r>
    </w:p>
    <w:p w14:paraId="2E121835" w14:textId="4FFCB2A5" w:rsidR="000B0391" w:rsidRDefault="000B0391" w:rsidP="000F5B1A">
      <w:pPr>
        <w:spacing w:after="240"/>
        <w:jc w:val="both"/>
      </w:pPr>
      <w:r>
        <w:t>(</w:t>
      </w:r>
      <w:r w:rsidR="006342B8">
        <w:t>3</w:t>
      </w:r>
      <w:r>
        <w:t>) Smluvní strany výslovně prohlašují, že si tuto smlouvu přečetly, že byla uzavřena po vzájemném projednání a podle jejich pravé a svobodné vůle, což stvrzují svými podpisy.</w:t>
      </w:r>
    </w:p>
    <w:p w14:paraId="14971289" w14:textId="43267A01" w:rsidR="00FF190C" w:rsidRDefault="000B0391" w:rsidP="00B64653">
      <w:pPr>
        <w:jc w:val="both"/>
      </w:pPr>
      <w:r>
        <w:t>(</w:t>
      </w:r>
      <w:r w:rsidR="006342B8">
        <w:t>4</w:t>
      </w:r>
      <w:r>
        <w:t>) Smlouva je vyhotovena v</w:t>
      </w:r>
      <w:r w:rsidR="00A7146B">
        <w:t xml:space="preserve"> </w:t>
      </w:r>
      <w:r w:rsidR="003B3632">
        <w:t>šes</w:t>
      </w:r>
      <w:r w:rsidR="00A7146B">
        <w:t>ti</w:t>
      </w:r>
      <w:r>
        <w:t xml:space="preserve"> stejnopisech s platností originálu, z nichž </w:t>
      </w:r>
      <w:r w:rsidR="007D59F9">
        <w:t xml:space="preserve">po jednom </w:t>
      </w:r>
      <w:r>
        <w:t xml:space="preserve">obdrží </w:t>
      </w:r>
      <w:r w:rsidR="003B3632">
        <w:t xml:space="preserve">každý </w:t>
      </w:r>
      <w:r>
        <w:t xml:space="preserve">prodávající, </w:t>
      </w:r>
      <w:r w:rsidR="00A7146B">
        <w:t>dva</w:t>
      </w:r>
      <w:r>
        <w:t xml:space="preserve"> kupující a jeden bude přílohou návrhu na vklad vlastnického práva do katastru nemovitostí.</w:t>
      </w:r>
    </w:p>
    <w:p w14:paraId="0600B84A" w14:textId="77777777" w:rsidR="00557E1C" w:rsidRDefault="00557E1C" w:rsidP="00B64653">
      <w:pPr>
        <w:jc w:val="both"/>
      </w:pPr>
    </w:p>
    <w:p w14:paraId="038D794B" w14:textId="77777777" w:rsidR="00557E1C" w:rsidRDefault="00557E1C" w:rsidP="00B64653">
      <w:pPr>
        <w:jc w:val="both"/>
      </w:pPr>
    </w:p>
    <w:p w14:paraId="0345A2FF" w14:textId="77777777" w:rsidR="00557E1C" w:rsidRDefault="00557E1C" w:rsidP="00B64653">
      <w:pPr>
        <w:jc w:val="both"/>
      </w:pPr>
    </w:p>
    <w:p w14:paraId="62FA0510" w14:textId="77777777" w:rsidR="00557E1C" w:rsidRDefault="00557E1C" w:rsidP="00B64653">
      <w:pPr>
        <w:jc w:val="both"/>
      </w:pPr>
    </w:p>
    <w:p w14:paraId="3BA695B8" w14:textId="77777777" w:rsidR="00557E1C" w:rsidRDefault="00557E1C" w:rsidP="00B64653">
      <w:pPr>
        <w:jc w:val="both"/>
      </w:pPr>
    </w:p>
    <w:p w14:paraId="72E7240F" w14:textId="77777777" w:rsidR="00557E1C" w:rsidRDefault="00557E1C" w:rsidP="00B64653">
      <w:pPr>
        <w:jc w:val="both"/>
      </w:pPr>
    </w:p>
    <w:p w14:paraId="68BAB1C0" w14:textId="77777777" w:rsidR="00557E1C" w:rsidRDefault="00557E1C" w:rsidP="00B64653">
      <w:pPr>
        <w:jc w:val="both"/>
      </w:pPr>
    </w:p>
    <w:p w14:paraId="473D7616" w14:textId="77777777" w:rsidR="00557E1C" w:rsidRDefault="00557E1C" w:rsidP="00B64653">
      <w:pPr>
        <w:jc w:val="both"/>
      </w:pPr>
    </w:p>
    <w:p w14:paraId="2D1908E0" w14:textId="77777777" w:rsidR="00557E1C" w:rsidRDefault="00557E1C" w:rsidP="00B64653">
      <w:pPr>
        <w:jc w:val="both"/>
      </w:pPr>
    </w:p>
    <w:p w14:paraId="3644461E" w14:textId="77777777" w:rsidR="00557E1C" w:rsidRDefault="00557E1C" w:rsidP="00B64653">
      <w:pPr>
        <w:jc w:val="both"/>
      </w:pPr>
    </w:p>
    <w:p w14:paraId="3D6DD942" w14:textId="77777777" w:rsidR="00557E1C" w:rsidRDefault="00557E1C" w:rsidP="00B64653">
      <w:pPr>
        <w:jc w:val="both"/>
      </w:pPr>
    </w:p>
    <w:p w14:paraId="0FCE5822" w14:textId="77777777" w:rsidR="00557E1C" w:rsidRDefault="00557E1C" w:rsidP="00B64653">
      <w:pPr>
        <w:jc w:val="both"/>
      </w:pPr>
    </w:p>
    <w:p w14:paraId="7DA66357" w14:textId="77777777" w:rsidR="00557E1C" w:rsidRDefault="00557E1C" w:rsidP="00B64653">
      <w:pPr>
        <w:jc w:val="both"/>
      </w:pPr>
    </w:p>
    <w:p w14:paraId="293C7EC8" w14:textId="77777777" w:rsidR="00557E1C" w:rsidRDefault="00557E1C" w:rsidP="00B64653">
      <w:pPr>
        <w:jc w:val="both"/>
      </w:pPr>
    </w:p>
    <w:p w14:paraId="5C1AC2F3" w14:textId="77777777" w:rsidR="00557E1C" w:rsidRDefault="00557E1C" w:rsidP="00B64653">
      <w:pPr>
        <w:jc w:val="both"/>
      </w:pPr>
    </w:p>
    <w:p w14:paraId="20F16108" w14:textId="77777777" w:rsidR="00557E1C" w:rsidRPr="00B64653" w:rsidRDefault="00557E1C" w:rsidP="00B64653">
      <w:pPr>
        <w:jc w:val="both"/>
      </w:pPr>
    </w:p>
    <w:p w14:paraId="356332C9" w14:textId="77777777" w:rsidR="00E03318" w:rsidRDefault="00E03318" w:rsidP="006F3BCC">
      <w:pPr>
        <w:jc w:val="center"/>
        <w:rPr>
          <w:b/>
        </w:rPr>
      </w:pPr>
    </w:p>
    <w:p w14:paraId="1FAA7E0B" w14:textId="00D98F83" w:rsidR="006F3BCC" w:rsidRDefault="006F3BCC" w:rsidP="006F3BCC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C5266C">
        <w:rPr>
          <w:b/>
        </w:rPr>
        <w:t>XII</w:t>
      </w:r>
      <w:r w:rsidR="002A52B7">
        <w:rPr>
          <w:b/>
        </w:rPr>
        <w:t>.</w:t>
      </w:r>
    </w:p>
    <w:p w14:paraId="1FAA7E0C" w14:textId="77777777" w:rsidR="00B53F18" w:rsidRDefault="00B53F18" w:rsidP="00894032">
      <w:pPr>
        <w:jc w:val="center"/>
        <w:rPr>
          <w:b/>
        </w:rPr>
      </w:pPr>
      <w:r>
        <w:rPr>
          <w:b/>
        </w:rPr>
        <w:t>Doložka obce</w:t>
      </w:r>
    </w:p>
    <w:p w14:paraId="498CA09F" w14:textId="77777777" w:rsidR="00E36C86" w:rsidRDefault="00E36C86" w:rsidP="00894032">
      <w:pPr>
        <w:jc w:val="center"/>
        <w:rPr>
          <w:b/>
        </w:rPr>
      </w:pPr>
    </w:p>
    <w:p w14:paraId="1FAA7E0D" w14:textId="2A58F1FB" w:rsidR="008022C6" w:rsidRPr="00C141B0" w:rsidRDefault="008022C6" w:rsidP="008022C6">
      <w:pPr>
        <w:jc w:val="both"/>
      </w:pPr>
      <w:r w:rsidRPr="00C141B0">
        <w:t xml:space="preserve">Touto doložkou se osvědčuje, že byly splněny podmínky platnosti tohoto právního </w:t>
      </w:r>
      <w:r w:rsidR="00A7146B">
        <w:t>jednání</w:t>
      </w:r>
      <w:r w:rsidRPr="00C141B0">
        <w:t xml:space="preserve"> podmíněné schválením převodu Zastupit</w:t>
      </w:r>
      <w:r>
        <w:t xml:space="preserve">elstvem města Přerova na jeho </w:t>
      </w:r>
      <w:r w:rsidR="008A2A88">
        <w:t>11</w:t>
      </w:r>
      <w:r w:rsidR="009D65C7">
        <w:t>.</w:t>
      </w:r>
      <w:r>
        <w:t xml:space="preserve"> zasedání konaném dne </w:t>
      </w:r>
      <w:r w:rsidR="00DC0BEF">
        <w:t>15.4.2024</w:t>
      </w:r>
      <w:r w:rsidR="00AC64B7">
        <w:t xml:space="preserve"> </w:t>
      </w:r>
      <w:r>
        <w:t>usnesením č.</w:t>
      </w:r>
      <w:r w:rsidR="00D55FF2">
        <w:t xml:space="preserve"> </w:t>
      </w:r>
      <w:r w:rsidR="00DC0BEF">
        <w:t>389/11/3.3.2/</w:t>
      </w:r>
      <w:r w:rsidR="00161855">
        <w:t>2024</w:t>
      </w:r>
      <w:r w:rsidR="00B64653">
        <w:t>.</w:t>
      </w:r>
    </w:p>
    <w:p w14:paraId="1FAA7E0F" w14:textId="60B5A38B" w:rsidR="008022C6" w:rsidRDefault="008022C6" w:rsidP="00B61943">
      <w:pPr>
        <w:jc w:val="both"/>
      </w:pPr>
    </w:p>
    <w:p w14:paraId="0D78D8D0" w14:textId="026C65F9" w:rsidR="005B3A8D" w:rsidRDefault="008022C6" w:rsidP="00B61943">
      <w:pPr>
        <w:jc w:val="both"/>
      </w:pPr>
      <w:r>
        <w:t xml:space="preserve">         </w:t>
      </w:r>
      <w:r w:rsidR="00B61943">
        <w:t xml:space="preserve">V Přerově dne </w:t>
      </w:r>
      <w:r w:rsidR="00CC7425">
        <w:t>22.4.2024</w:t>
      </w:r>
      <w:r>
        <w:t xml:space="preserve">                  </w:t>
      </w:r>
      <w:r w:rsidR="00EB3024">
        <w:t xml:space="preserve">           </w:t>
      </w:r>
      <w:r w:rsidR="00B61943">
        <w:t xml:space="preserve">        </w:t>
      </w:r>
      <w:r w:rsidR="00E36C86">
        <w:tab/>
      </w:r>
      <w:r w:rsidR="00B61943">
        <w:t>V</w:t>
      </w:r>
      <w:r w:rsidR="00CC7425">
        <w:t xml:space="preserve"> Olomouci </w:t>
      </w:r>
      <w:r w:rsidR="00B61943">
        <w:t xml:space="preserve">dne </w:t>
      </w:r>
      <w:r w:rsidR="00E208D1">
        <w:t>25.4.2024</w:t>
      </w:r>
      <w:r w:rsidR="00B61943">
        <w:t xml:space="preserve">   </w:t>
      </w:r>
    </w:p>
    <w:p w14:paraId="6A2417EC" w14:textId="77777777" w:rsidR="00557E1C" w:rsidRDefault="00557E1C" w:rsidP="00B61943">
      <w:pPr>
        <w:jc w:val="both"/>
      </w:pPr>
    </w:p>
    <w:p w14:paraId="4F00A4D4" w14:textId="77777777" w:rsidR="005B3A8D" w:rsidRDefault="005B3A8D" w:rsidP="00B61943">
      <w:pPr>
        <w:jc w:val="both"/>
      </w:pPr>
    </w:p>
    <w:p w14:paraId="2B3992BD" w14:textId="77777777" w:rsidR="00BD72AB" w:rsidRDefault="00BD72AB" w:rsidP="00B61943">
      <w:pPr>
        <w:jc w:val="both"/>
      </w:pPr>
    </w:p>
    <w:p w14:paraId="1FAA7E15" w14:textId="43C8F684" w:rsidR="00B61943" w:rsidRDefault="00B61943" w:rsidP="00B61943">
      <w:pPr>
        <w:jc w:val="both"/>
      </w:pPr>
      <w:r>
        <w:t xml:space="preserve">         …..…………………………                             </w:t>
      </w:r>
      <w:r w:rsidR="00E36C86">
        <w:tab/>
      </w:r>
      <w:r>
        <w:t xml:space="preserve"> ...……………………………...</w:t>
      </w:r>
    </w:p>
    <w:p w14:paraId="1FAA7E16" w14:textId="447D817A" w:rsidR="00B61943" w:rsidRDefault="00B61943" w:rsidP="00B61943">
      <w:pPr>
        <w:ind w:left="708" w:hanging="708"/>
      </w:pPr>
      <w:r>
        <w:t xml:space="preserve">        </w:t>
      </w:r>
      <w:r>
        <w:tab/>
      </w:r>
      <w:r w:rsidR="00D26751">
        <w:t xml:space="preserve">   </w:t>
      </w:r>
      <w:r w:rsidR="00E36C86">
        <w:t>Ing. Miloslav Dohnal</w:t>
      </w:r>
      <w:r>
        <w:tab/>
      </w:r>
      <w:r>
        <w:tab/>
      </w:r>
      <w:r>
        <w:tab/>
      </w:r>
      <w:r>
        <w:tab/>
        <w:t xml:space="preserve">  </w:t>
      </w:r>
      <w:r w:rsidR="001A6FEE">
        <w:t xml:space="preserve">            </w:t>
      </w:r>
      <w:r w:rsidR="00654433">
        <w:t xml:space="preserve">   </w:t>
      </w:r>
      <w:r w:rsidR="00E36C86">
        <w:t>Jitka Poláčková</w:t>
      </w:r>
    </w:p>
    <w:p w14:paraId="3FC619CF" w14:textId="3CFC928B" w:rsidR="00E36C86" w:rsidRDefault="00B61943" w:rsidP="00BA6D3D">
      <w:pPr>
        <w:ind w:left="708" w:hanging="708"/>
      </w:pPr>
      <w:r>
        <w:t xml:space="preserve">       </w:t>
      </w:r>
      <w:r w:rsidR="00E36C86">
        <w:t xml:space="preserve">         náměstek primátora</w:t>
      </w:r>
      <w:r>
        <w:tab/>
        <w:t xml:space="preserve">  </w:t>
      </w:r>
    </w:p>
    <w:p w14:paraId="73651621" w14:textId="77777777" w:rsidR="00557E1C" w:rsidRDefault="00557E1C" w:rsidP="00BA6D3D">
      <w:pPr>
        <w:ind w:left="708" w:hanging="708"/>
      </w:pPr>
    </w:p>
    <w:p w14:paraId="1BCEEBF6" w14:textId="77777777" w:rsidR="00E36C86" w:rsidRDefault="00E36C86" w:rsidP="00E36C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...……………………………...</w:t>
      </w:r>
    </w:p>
    <w:p w14:paraId="0AF8FFC0" w14:textId="77777777" w:rsidR="00161855" w:rsidRDefault="00E36C86" w:rsidP="00BA6D3D">
      <w:pPr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Ing. Marta Tomigová</w:t>
      </w:r>
      <w:r w:rsidR="00B61943">
        <w:t xml:space="preserve">  </w:t>
      </w:r>
    </w:p>
    <w:p w14:paraId="489D9484" w14:textId="77777777" w:rsidR="00557E1C" w:rsidRDefault="00557E1C" w:rsidP="00BA6D3D">
      <w:pPr>
        <w:ind w:left="708" w:hanging="708"/>
      </w:pPr>
    </w:p>
    <w:p w14:paraId="2A68C97E" w14:textId="1B93AA4D" w:rsidR="00E36C86" w:rsidRDefault="00B61943" w:rsidP="00BA6D3D">
      <w:pPr>
        <w:ind w:left="708" w:hanging="708"/>
      </w:pPr>
      <w:r>
        <w:t xml:space="preserve"> </w:t>
      </w:r>
    </w:p>
    <w:p w14:paraId="46A5CBEC" w14:textId="77777777" w:rsidR="00E36C86" w:rsidRDefault="00E36C86" w:rsidP="00BA6D3D">
      <w:pPr>
        <w:ind w:left="708" w:hanging="708"/>
      </w:pPr>
    </w:p>
    <w:p w14:paraId="7E6DE6B4" w14:textId="77777777" w:rsidR="00E36C86" w:rsidRDefault="00E36C86" w:rsidP="00E36C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...……………………………...</w:t>
      </w:r>
    </w:p>
    <w:p w14:paraId="1FAA7E1E" w14:textId="6A30FF0B" w:rsidR="00FE5ECA" w:rsidRPr="00FE5ECA" w:rsidRDefault="00E36C86" w:rsidP="00991AFC">
      <w:pPr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Václav Urban</w:t>
      </w:r>
      <w:r w:rsidR="00B61943">
        <w:t xml:space="preserve"> </w:t>
      </w:r>
      <w:r w:rsidR="00B61943">
        <w:tab/>
        <w:t xml:space="preserve">  </w:t>
      </w:r>
    </w:p>
    <w:sectPr w:rsidR="00FE5ECA" w:rsidRPr="00FE5ECA" w:rsidSect="00A10A6C">
      <w:headerReference w:type="default" r:id="rId10"/>
      <w:footerReference w:type="default" r:id="rId11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675A" w14:textId="77777777" w:rsidR="00954116" w:rsidRDefault="00954116" w:rsidP="001A7502">
      <w:r>
        <w:separator/>
      </w:r>
    </w:p>
  </w:endnote>
  <w:endnote w:type="continuationSeparator" w:id="0">
    <w:p w14:paraId="0872521F" w14:textId="77777777" w:rsidR="00954116" w:rsidRDefault="00954116" w:rsidP="001A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source_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792567"/>
      <w:docPartObj>
        <w:docPartGallery w:val="Page Numbers (Bottom of Page)"/>
        <w:docPartUnique/>
      </w:docPartObj>
    </w:sdtPr>
    <w:sdtEndPr/>
    <w:sdtContent>
      <w:p w14:paraId="45109C49" w14:textId="054C0409" w:rsidR="00E36C86" w:rsidRDefault="00E36C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FCA38" w14:textId="77777777" w:rsidR="00E36C86" w:rsidRDefault="00E36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DEDE" w14:textId="77777777" w:rsidR="00954116" w:rsidRDefault="00954116" w:rsidP="001A7502">
      <w:r>
        <w:separator/>
      </w:r>
    </w:p>
  </w:footnote>
  <w:footnote w:type="continuationSeparator" w:id="0">
    <w:p w14:paraId="34EC216A" w14:textId="77777777" w:rsidR="00954116" w:rsidRDefault="00954116" w:rsidP="001A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7E23" w14:textId="77777777" w:rsidR="00286E87" w:rsidRDefault="00286E87" w:rsidP="008022C6">
    <w:pPr>
      <w:pStyle w:val="Zhlav"/>
      <w:jc w:val="right"/>
    </w:pPr>
  </w:p>
  <w:p w14:paraId="1FAA7E24" w14:textId="457D39D9" w:rsidR="00286E87" w:rsidRDefault="00286E87" w:rsidP="008022C6">
    <w:pPr>
      <w:pStyle w:val="Zhlav"/>
      <w:jc w:val="right"/>
    </w:pPr>
    <w:r>
      <w:t>MMPr/SML/</w:t>
    </w:r>
    <w:r w:rsidR="00C364EA">
      <w:t>0784</w:t>
    </w:r>
    <w:r>
      <w:t>/202</w:t>
    </w:r>
    <w:r w:rsidR="00016C0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4679"/>
    <w:multiLevelType w:val="hybridMultilevel"/>
    <w:tmpl w:val="3336EF28"/>
    <w:lvl w:ilvl="0" w:tplc="A36CE7C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5FB"/>
    <w:multiLevelType w:val="hybridMultilevel"/>
    <w:tmpl w:val="BD2CC0DA"/>
    <w:lvl w:ilvl="0" w:tplc="8D9C1D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8574E"/>
    <w:multiLevelType w:val="hybridMultilevel"/>
    <w:tmpl w:val="913C3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B20B5"/>
    <w:multiLevelType w:val="hybridMultilevel"/>
    <w:tmpl w:val="A8880BA8"/>
    <w:lvl w:ilvl="0" w:tplc="87CABB3A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ED3803"/>
    <w:multiLevelType w:val="hybridMultilevel"/>
    <w:tmpl w:val="78607A70"/>
    <w:lvl w:ilvl="0" w:tplc="CD4EA23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5932"/>
    <w:multiLevelType w:val="hybridMultilevel"/>
    <w:tmpl w:val="FE6C036A"/>
    <w:lvl w:ilvl="0" w:tplc="6262ACA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7565"/>
    <w:multiLevelType w:val="hybridMultilevel"/>
    <w:tmpl w:val="D7824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4896"/>
    <w:multiLevelType w:val="hybridMultilevel"/>
    <w:tmpl w:val="9F3EA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116F"/>
    <w:multiLevelType w:val="hybridMultilevel"/>
    <w:tmpl w:val="B02859E8"/>
    <w:lvl w:ilvl="0" w:tplc="1E46E2E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7D55"/>
    <w:multiLevelType w:val="hybridMultilevel"/>
    <w:tmpl w:val="E33886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6756D"/>
    <w:multiLevelType w:val="hybridMultilevel"/>
    <w:tmpl w:val="D6A65CFE"/>
    <w:lvl w:ilvl="0" w:tplc="27C8834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C507EB"/>
    <w:multiLevelType w:val="hybridMultilevel"/>
    <w:tmpl w:val="F9909CC4"/>
    <w:lvl w:ilvl="0" w:tplc="5EE6F080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8887010"/>
    <w:multiLevelType w:val="hybridMultilevel"/>
    <w:tmpl w:val="C024DCD2"/>
    <w:lvl w:ilvl="0" w:tplc="3ACC337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396C"/>
    <w:multiLevelType w:val="hybridMultilevel"/>
    <w:tmpl w:val="18BE7A38"/>
    <w:lvl w:ilvl="0" w:tplc="109229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F6190"/>
    <w:multiLevelType w:val="hybridMultilevel"/>
    <w:tmpl w:val="F59289AC"/>
    <w:lvl w:ilvl="0" w:tplc="A46C31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C786A05"/>
    <w:multiLevelType w:val="hybridMultilevel"/>
    <w:tmpl w:val="370E850C"/>
    <w:lvl w:ilvl="0" w:tplc="35288A1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0538A"/>
    <w:multiLevelType w:val="hybridMultilevel"/>
    <w:tmpl w:val="0EE25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535380">
    <w:abstractNumId w:val="3"/>
  </w:num>
  <w:num w:numId="2" w16cid:durableId="2044671392">
    <w:abstractNumId w:val="9"/>
  </w:num>
  <w:num w:numId="3" w16cid:durableId="325473239">
    <w:abstractNumId w:val="1"/>
  </w:num>
  <w:num w:numId="4" w16cid:durableId="553933476">
    <w:abstractNumId w:val="13"/>
  </w:num>
  <w:num w:numId="5" w16cid:durableId="744306508">
    <w:abstractNumId w:val="10"/>
  </w:num>
  <w:num w:numId="6" w16cid:durableId="2098086721">
    <w:abstractNumId w:val="15"/>
  </w:num>
  <w:num w:numId="7" w16cid:durableId="1330449194">
    <w:abstractNumId w:val="4"/>
  </w:num>
  <w:num w:numId="8" w16cid:durableId="2106261664">
    <w:abstractNumId w:val="0"/>
  </w:num>
  <w:num w:numId="9" w16cid:durableId="940526719">
    <w:abstractNumId w:val="12"/>
  </w:num>
  <w:num w:numId="10" w16cid:durableId="305204771">
    <w:abstractNumId w:val="5"/>
  </w:num>
  <w:num w:numId="11" w16cid:durableId="1706363691">
    <w:abstractNumId w:val="8"/>
  </w:num>
  <w:num w:numId="12" w16cid:durableId="1072317889">
    <w:abstractNumId w:val="14"/>
  </w:num>
  <w:num w:numId="13" w16cid:durableId="1643192928">
    <w:abstractNumId w:val="6"/>
  </w:num>
  <w:num w:numId="14" w16cid:durableId="787503352">
    <w:abstractNumId w:val="7"/>
  </w:num>
  <w:num w:numId="15" w16cid:durableId="1505508632">
    <w:abstractNumId w:val="11"/>
  </w:num>
  <w:num w:numId="16" w16cid:durableId="445009344">
    <w:abstractNumId w:val="2"/>
  </w:num>
  <w:num w:numId="17" w16cid:durableId="588731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0ABD"/>
    <w:rsid w:val="00005C3A"/>
    <w:rsid w:val="000060EF"/>
    <w:rsid w:val="0001245F"/>
    <w:rsid w:val="0001404C"/>
    <w:rsid w:val="00016C02"/>
    <w:rsid w:val="00022755"/>
    <w:rsid w:val="00026BF1"/>
    <w:rsid w:val="00033C6C"/>
    <w:rsid w:val="0003468E"/>
    <w:rsid w:val="00034CE1"/>
    <w:rsid w:val="000379F5"/>
    <w:rsid w:val="0004077D"/>
    <w:rsid w:val="0007066A"/>
    <w:rsid w:val="000713FC"/>
    <w:rsid w:val="00072756"/>
    <w:rsid w:val="00075E31"/>
    <w:rsid w:val="00080329"/>
    <w:rsid w:val="00081C8D"/>
    <w:rsid w:val="0008364B"/>
    <w:rsid w:val="00083936"/>
    <w:rsid w:val="00084103"/>
    <w:rsid w:val="0009067A"/>
    <w:rsid w:val="000A1EDA"/>
    <w:rsid w:val="000A6327"/>
    <w:rsid w:val="000B0391"/>
    <w:rsid w:val="000B1F7A"/>
    <w:rsid w:val="000B3799"/>
    <w:rsid w:val="000B4663"/>
    <w:rsid w:val="000C1201"/>
    <w:rsid w:val="000C1BC0"/>
    <w:rsid w:val="000C4881"/>
    <w:rsid w:val="000D2F44"/>
    <w:rsid w:val="000E3E51"/>
    <w:rsid w:val="000E44F4"/>
    <w:rsid w:val="000E5DDF"/>
    <w:rsid w:val="000F32B6"/>
    <w:rsid w:val="000F3BB3"/>
    <w:rsid w:val="000F472D"/>
    <w:rsid w:val="000F5B1A"/>
    <w:rsid w:val="000F5D11"/>
    <w:rsid w:val="001004EC"/>
    <w:rsid w:val="00102A6F"/>
    <w:rsid w:val="00102D02"/>
    <w:rsid w:val="00103C1B"/>
    <w:rsid w:val="00104449"/>
    <w:rsid w:val="001047FE"/>
    <w:rsid w:val="00107BFA"/>
    <w:rsid w:val="001123B9"/>
    <w:rsid w:val="00114D7D"/>
    <w:rsid w:val="00116102"/>
    <w:rsid w:val="001227D3"/>
    <w:rsid w:val="001309BD"/>
    <w:rsid w:val="001312CE"/>
    <w:rsid w:val="00135DF4"/>
    <w:rsid w:val="00150203"/>
    <w:rsid w:val="00156BE4"/>
    <w:rsid w:val="0016087F"/>
    <w:rsid w:val="00160D45"/>
    <w:rsid w:val="00161855"/>
    <w:rsid w:val="001639F4"/>
    <w:rsid w:val="001647AF"/>
    <w:rsid w:val="00166E25"/>
    <w:rsid w:val="00167F6C"/>
    <w:rsid w:val="00170E5C"/>
    <w:rsid w:val="001731E6"/>
    <w:rsid w:val="00174876"/>
    <w:rsid w:val="001771A2"/>
    <w:rsid w:val="00180320"/>
    <w:rsid w:val="00182376"/>
    <w:rsid w:val="001845A2"/>
    <w:rsid w:val="0018647B"/>
    <w:rsid w:val="001951EF"/>
    <w:rsid w:val="0019562C"/>
    <w:rsid w:val="00196D78"/>
    <w:rsid w:val="001A1BB3"/>
    <w:rsid w:val="001A34DC"/>
    <w:rsid w:val="001A5780"/>
    <w:rsid w:val="001A6FEE"/>
    <w:rsid w:val="001A72D4"/>
    <w:rsid w:val="001A7502"/>
    <w:rsid w:val="001B5C71"/>
    <w:rsid w:val="001B60A6"/>
    <w:rsid w:val="001B614E"/>
    <w:rsid w:val="001B6CDD"/>
    <w:rsid w:val="001D0861"/>
    <w:rsid w:val="001D29E1"/>
    <w:rsid w:val="001D34B9"/>
    <w:rsid w:val="001D43EC"/>
    <w:rsid w:val="001D510E"/>
    <w:rsid w:val="001D66E8"/>
    <w:rsid w:val="001D6A72"/>
    <w:rsid w:val="001E2799"/>
    <w:rsid w:val="001E5024"/>
    <w:rsid w:val="001E6BAB"/>
    <w:rsid w:val="001E75CB"/>
    <w:rsid w:val="001F3A7B"/>
    <w:rsid w:val="001F4D95"/>
    <w:rsid w:val="001F5402"/>
    <w:rsid w:val="001F5491"/>
    <w:rsid w:val="001F69B7"/>
    <w:rsid w:val="001F777E"/>
    <w:rsid w:val="0020024F"/>
    <w:rsid w:val="00200C67"/>
    <w:rsid w:val="00205BCE"/>
    <w:rsid w:val="00206B66"/>
    <w:rsid w:val="00210776"/>
    <w:rsid w:val="00212395"/>
    <w:rsid w:val="0021797F"/>
    <w:rsid w:val="0021799C"/>
    <w:rsid w:val="002208BA"/>
    <w:rsid w:val="002215B8"/>
    <w:rsid w:val="00221FB1"/>
    <w:rsid w:val="00236FE5"/>
    <w:rsid w:val="00242192"/>
    <w:rsid w:val="0024448A"/>
    <w:rsid w:val="00247E73"/>
    <w:rsid w:val="00251BF1"/>
    <w:rsid w:val="002539A1"/>
    <w:rsid w:val="00272AF8"/>
    <w:rsid w:val="00277DEE"/>
    <w:rsid w:val="002832F7"/>
    <w:rsid w:val="00286E87"/>
    <w:rsid w:val="00290F71"/>
    <w:rsid w:val="00292998"/>
    <w:rsid w:val="002936A9"/>
    <w:rsid w:val="0029481B"/>
    <w:rsid w:val="00297357"/>
    <w:rsid w:val="002A1B68"/>
    <w:rsid w:val="002A5013"/>
    <w:rsid w:val="002A5224"/>
    <w:rsid w:val="002A52B7"/>
    <w:rsid w:val="002A7A90"/>
    <w:rsid w:val="002B27FE"/>
    <w:rsid w:val="002B5492"/>
    <w:rsid w:val="002B56E9"/>
    <w:rsid w:val="002C0995"/>
    <w:rsid w:val="002C276F"/>
    <w:rsid w:val="002C56E5"/>
    <w:rsid w:val="002D3356"/>
    <w:rsid w:val="002D38C1"/>
    <w:rsid w:val="002D6FE7"/>
    <w:rsid w:val="002E21D0"/>
    <w:rsid w:val="002E777B"/>
    <w:rsid w:val="002F33BF"/>
    <w:rsid w:val="002F4EF4"/>
    <w:rsid w:val="002F5A81"/>
    <w:rsid w:val="002F5DC6"/>
    <w:rsid w:val="00300EE8"/>
    <w:rsid w:val="003038B2"/>
    <w:rsid w:val="00304520"/>
    <w:rsid w:val="00305EBF"/>
    <w:rsid w:val="003109DA"/>
    <w:rsid w:val="00316D5B"/>
    <w:rsid w:val="00327417"/>
    <w:rsid w:val="0034324B"/>
    <w:rsid w:val="00343606"/>
    <w:rsid w:val="00353262"/>
    <w:rsid w:val="003612DA"/>
    <w:rsid w:val="003616B7"/>
    <w:rsid w:val="0037096B"/>
    <w:rsid w:val="00370BB2"/>
    <w:rsid w:val="00370D12"/>
    <w:rsid w:val="003711C6"/>
    <w:rsid w:val="0037386C"/>
    <w:rsid w:val="00376F0F"/>
    <w:rsid w:val="003809BB"/>
    <w:rsid w:val="00381442"/>
    <w:rsid w:val="00383300"/>
    <w:rsid w:val="003853C6"/>
    <w:rsid w:val="003900E5"/>
    <w:rsid w:val="00394A6D"/>
    <w:rsid w:val="003A463F"/>
    <w:rsid w:val="003B3632"/>
    <w:rsid w:val="003B386E"/>
    <w:rsid w:val="003B3AB5"/>
    <w:rsid w:val="003B6C2A"/>
    <w:rsid w:val="003B7D10"/>
    <w:rsid w:val="003C11C0"/>
    <w:rsid w:val="003C2C07"/>
    <w:rsid w:val="003C5369"/>
    <w:rsid w:val="003C6749"/>
    <w:rsid w:val="003C77A8"/>
    <w:rsid w:val="003D0220"/>
    <w:rsid w:val="003D34F6"/>
    <w:rsid w:val="003D4888"/>
    <w:rsid w:val="003D7799"/>
    <w:rsid w:val="003E2B70"/>
    <w:rsid w:val="003E4AEA"/>
    <w:rsid w:val="003F0C71"/>
    <w:rsid w:val="003F2635"/>
    <w:rsid w:val="003F2B66"/>
    <w:rsid w:val="003F6CF8"/>
    <w:rsid w:val="00401A1C"/>
    <w:rsid w:val="00401E5D"/>
    <w:rsid w:val="004051F0"/>
    <w:rsid w:val="0041240B"/>
    <w:rsid w:val="00412FB1"/>
    <w:rsid w:val="00417628"/>
    <w:rsid w:val="0042230F"/>
    <w:rsid w:val="00423639"/>
    <w:rsid w:val="004241C1"/>
    <w:rsid w:val="004250BA"/>
    <w:rsid w:val="004251B9"/>
    <w:rsid w:val="004345C5"/>
    <w:rsid w:val="00437EE2"/>
    <w:rsid w:val="00441B30"/>
    <w:rsid w:val="004425D7"/>
    <w:rsid w:val="004448F4"/>
    <w:rsid w:val="00445FDB"/>
    <w:rsid w:val="00446AA8"/>
    <w:rsid w:val="0045054C"/>
    <w:rsid w:val="00450FD0"/>
    <w:rsid w:val="0045234F"/>
    <w:rsid w:val="00456179"/>
    <w:rsid w:val="004570FB"/>
    <w:rsid w:val="00457FA5"/>
    <w:rsid w:val="00464415"/>
    <w:rsid w:val="0046509B"/>
    <w:rsid w:val="004654DB"/>
    <w:rsid w:val="004679D5"/>
    <w:rsid w:val="004708FE"/>
    <w:rsid w:val="00471A95"/>
    <w:rsid w:val="0047550B"/>
    <w:rsid w:val="0048026F"/>
    <w:rsid w:val="004867D4"/>
    <w:rsid w:val="00487089"/>
    <w:rsid w:val="00492E8F"/>
    <w:rsid w:val="00495D15"/>
    <w:rsid w:val="004968C0"/>
    <w:rsid w:val="00497AE9"/>
    <w:rsid w:val="004A3D31"/>
    <w:rsid w:val="004A3E79"/>
    <w:rsid w:val="004B0CF7"/>
    <w:rsid w:val="004B2127"/>
    <w:rsid w:val="004B3F20"/>
    <w:rsid w:val="004B5208"/>
    <w:rsid w:val="004B57BB"/>
    <w:rsid w:val="004C0A69"/>
    <w:rsid w:val="004C19D3"/>
    <w:rsid w:val="004C37A7"/>
    <w:rsid w:val="004C3AF3"/>
    <w:rsid w:val="004C6CDE"/>
    <w:rsid w:val="004D07BA"/>
    <w:rsid w:val="004D0B05"/>
    <w:rsid w:val="004D243B"/>
    <w:rsid w:val="004D2DCD"/>
    <w:rsid w:val="004D643A"/>
    <w:rsid w:val="004E053F"/>
    <w:rsid w:val="004E40FB"/>
    <w:rsid w:val="004E4B85"/>
    <w:rsid w:val="004E53AF"/>
    <w:rsid w:val="004F2C31"/>
    <w:rsid w:val="0050084A"/>
    <w:rsid w:val="005023AA"/>
    <w:rsid w:val="005038C1"/>
    <w:rsid w:val="00507F01"/>
    <w:rsid w:val="00516C3A"/>
    <w:rsid w:val="00521360"/>
    <w:rsid w:val="0052184C"/>
    <w:rsid w:val="00522C91"/>
    <w:rsid w:val="00523A80"/>
    <w:rsid w:val="005272B1"/>
    <w:rsid w:val="00527E1F"/>
    <w:rsid w:val="00531BE2"/>
    <w:rsid w:val="00532E6B"/>
    <w:rsid w:val="0053426D"/>
    <w:rsid w:val="005366BF"/>
    <w:rsid w:val="005447D2"/>
    <w:rsid w:val="00545B60"/>
    <w:rsid w:val="00553BF6"/>
    <w:rsid w:val="005563E0"/>
    <w:rsid w:val="00557E1C"/>
    <w:rsid w:val="005633B2"/>
    <w:rsid w:val="0057175F"/>
    <w:rsid w:val="00571AD3"/>
    <w:rsid w:val="00575957"/>
    <w:rsid w:val="00584AC5"/>
    <w:rsid w:val="005A174C"/>
    <w:rsid w:val="005B3A8D"/>
    <w:rsid w:val="005B48BB"/>
    <w:rsid w:val="005B63F0"/>
    <w:rsid w:val="005B67DC"/>
    <w:rsid w:val="005C20ED"/>
    <w:rsid w:val="005C6ECF"/>
    <w:rsid w:val="005D146D"/>
    <w:rsid w:val="005D4C59"/>
    <w:rsid w:val="005D6083"/>
    <w:rsid w:val="005E0963"/>
    <w:rsid w:val="005E2F67"/>
    <w:rsid w:val="005E6923"/>
    <w:rsid w:val="005E7AC5"/>
    <w:rsid w:val="005F18C8"/>
    <w:rsid w:val="0060311D"/>
    <w:rsid w:val="006035EE"/>
    <w:rsid w:val="00612D52"/>
    <w:rsid w:val="00613225"/>
    <w:rsid w:val="00613315"/>
    <w:rsid w:val="00614B1A"/>
    <w:rsid w:val="006175DD"/>
    <w:rsid w:val="00620859"/>
    <w:rsid w:val="006222B3"/>
    <w:rsid w:val="00631907"/>
    <w:rsid w:val="00631D6F"/>
    <w:rsid w:val="00632B2C"/>
    <w:rsid w:val="00633A24"/>
    <w:rsid w:val="006342B8"/>
    <w:rsid w:val="006346E1"/>
    <w:rsid w:val="00637A81"/>
    <w:rsid w:val="00641984"/>
    <w:rsid w:val="00643084"/>
    <w:rsid w:val="00654433"/>
    <w:rsid w:val="0066158D"/>
    <w:rsid w:val="00661AE2"/>
    <w:rsid w:val="00663964"/>
    <w:rsid w:val="00665363"/>
    <w:rsid w:val="00666D66"/>
    <w:rsid w:val="006670FF"/>
    <w:rsid w:val="00675DBE"/>
    <w:rsid w:val="0067609A"/>
    <w:rsid w:val="00683926"/>
    <w:rsid w:val="00683A0A"/>
    <w:rsid w:val="00683E65"/>
    <w:rsid w:val="00686762"/>
    <w:rsid w:val="00687873"/>
    <w:rsid w:val="00694F6B"/>
    <w:rsid w:val="006A055D"/>
    <w:rsid w:val="006A08F9"/>
    <w:rsid w:val="006A4C85"/>
    <w:rsid w:val="006A7285"/>
    <w:rsid w:val="006B10E9"/>
    <w:rsid w:val="006B5AEC"/>
    <w:rsid w:val="006B5EC5"/>
    <w:rsid w:val="006C30F8"/>
    <w:rsid w:val="006C67E2"/>
    <w:rsid w:val="006C6BBF"/>
    <w:rsid w:val="006D0DE8"/>
    <w:rsid w:val="006D201A"/>
    <w:rsid w:val="006D4122"/>
    <w:rsid w:val="006D611C"/>
    <w:rsid w:val="006D68D2"/>
    <w:rsid w:val="006E0BB8"/>
    <w:rsid w:val="006E29D0"/>
    <w:rsid w:val="006E4236"/>
    <w:rsid w:val="006E5BB9"/>
    <w:rsid w:val="006F05B2"/>
    <w:rsid w:val="006F0C3B"/>
    <w:rsid w:val="006F3566"/>
    <w:rsid w:val="006F3BCC"/>
    <w:rsid w:val="006F4E4A"/>
    <w:rsid w:val="006F59CD"/>
    <w:rsid w:val="006F63A9"/>
    <w:rsid w:val="007000B0"/>
    <w:rsid w:val="00704484"/>
    <w:rsid w:val="00707BE5"/>
    <w:rsid w:val="0071277F"/>
    <w:rsid w:val="0071485E"/>
    <w:rsid w:val="00715C4D"/>
    <w:rsid w:val="007160ED"/>
    <w:rsid w:val="00716960"/>
    <w:rsid w:val="007222D2"/>
    <w:rsid w:val="00722C10"/>
    <w:rsid w:val="007235D1"/>
    <w:rsid w:val="00723951"/>
    <w:rsid w:val="0072405D"/>
    <w:rsid w:val="007248BD"/>
    <w:rsid w:val="0072531C"/>
    <w:rsid w:val="00726174"/>
    <w:rsid w:val="0073063C"/>
    <w:rsid w:val="00733B52"/>
    <w:rsid w:val="00737AA5"/>
    <w:rsid w:val="007406EB"/>
    <w:rsid w:val="00741E79"/>
    <w:rsid w:val="00743EBD"/>
    <w:rsid w:val="00744FA2"/>
    <w:rsid w:val="0075088C"/>
    <w:rsid w:val="007508F7"/>
    <w:rsid w:val="0075759B"/>
    <w:rsid w:val="00762C91"/>
    <w:rsid w:val="0076657E"/>
    <w:rsid w:val="00766EB0"/>
    <w:rsid w:val="00770330"/>
    <w:rsid w:val="00772DC2"/>
    <w:rsid w:val="007732EC"/>
    <w:rsid w:val="00780803"/>
    <w:rsid w:val="00781A6E"/>
    <w:rsid w:val="00783EC8"/>
    <w:rsid w:val="00785153"/>
    <w:rsid w:val="00785D1C"/>
    <w:rsid w:val="00786510"/>
    <w:rsid w:val="00787457"/>
    <w:rsid w:val="00787B54"/>
    <w:rsid w:val="0079337E"/>
    <w:rsid w:val="00794320"/>
    <w:rsid w:val="0079715A"/>
    <w:rsid w:val="007A0387"/>
    <w:rsid w:val="007A14D4"/>
    <w:rsid w:val="007A6E62"/>
    <w:rsid w:val="007A7A6B"/>
    <w:rsid w:val="007B6209"/>
    <w:rsid w:val="007C121C"/>
    <w:rsid w:val="007C301E"/>
    <w:rsid w:val="007C506E"/>
    <w:rsid w:val="007C555B"/>
    <w:rsid w:val="007C74CA"/>
    <w:rsid w:val="007D59F9"/>
    <w:rsid w:val="007D61B4"/>
    <w:rsid w:val="007D7921"/>
    <w:rsid w:val="007E20A6"/>
    <w:rsid w:val="007E4C06"/>
    <w:rsid w:val="007E5C5E"/>
    <w:rsid w:val="007F0745"/>
    <w:rsid w:val="007F1C41"/>
    <w:rsid w:val="007F2E23"/>
    <w:rsid w:val="008002A2"/>
    <w:rsid w:val="008022C6"/>
    <w:rsid w:val="00802B9D"/>
    <w:rsid w:val="00803EF6"/>
    <w:rsid w:val="008059A6"/>
    <w:rsid w:val="00805AAE"/>
    <w:rsid w:val="00805CB9"/>
    <w:rsid w:val="00806A14"/>
    <w:rsid w:val="008104FA"/>
    <w:rsid w:val="00812374"/>
    <w:rsid w:val="008128DF"/>
    <w:rsid w:val="008132DC"/>
    <w:rsid w:val="00813CD2"/>
    <w:rsid w:val="00820013"/>
    <w:rsid w:val="00821505"/>
    <w:rsid w:val="00831D16"/>
    <w:rsid w:val="00833680"/>
    <w:rsid w:val="00833A88"/>
    <w:rsid w:val="00837CC6"/>
    <w:rsid w:val="008412E4"/>
    <w:rsid w:val="0084229F"/>
    <w:rsid w:val="008457E8"/>
    <w:rsid w:val="00847761"/>
    <w:rsid w:val="00850026"/>
    <w:rsid w:val="00850133"/>
    <w:rsid w:val="0085015E"/>
    <w:rsid w:val="0085183C"/>
    <w:rsid w:val="008567D2"/>
    <w:rsid w:val="00856BC6"/>
    <w:rsid w:val="00857770"/>
    <w:rsid w:val="00857CA2"/>
    <w:rsid w:val="0086008F"/>
    <w:rsid w:val="008659C9"/>
    <w:rsid w:val="0086641C"/>
    <w:rsid w:val="00870268"/>
    <w:rsid w:val="0087085B"/>
    <w:rsid w:val="0087401F"/>
    <w:rsid w:val="008748D8"/>
    <w:rsid w:val="0088561D"/>
    <w:rsid w:val="008873AF"/>
    <w:rsid w:val="008873CE"/>
    <w:rsid w:val="008927A8"/>
    <w:rsid w:val="00894032"/>
    <w:rsid w:val="00895227"/>
    <w:rsid w:val="008A29E0"/>
    <w:rsid w:val="008A2A88"/>
    <w:rsid w:val="008B2CBD"/>
    <w:rsid w:val="008D28E3"/>
    <w:rsid w:val="008D760D"/>
    <w:rsid w:val="008E0FE7"/>
    <w:rsid w:val="008E130F"/>
    <w:rsid w:val="008E3D14"/>
    <w:rsid w:val="008E508D"/>
    <w:rsid w:val="008E6F43"/>
    <w:rsid w:val="008F150A"/>
    <w:rsid w:val="008F1E7F"/>
    <w:rsid w:val="008F4D21"/>
    <w:rsid w:val="00903644"/>
    <w:rsid w:val="00906D2B"/>
    <w:rsid w:val="0091017E"/>
    <w:rsid w:val="00917374"/>
    <w:rsid w:val="00924356"/>
    <w:rsid w:val="00932CF6"/>
    <w:rsid w:val="00934E21"/>
    <w:rsid w:val="009373A5"/>
    <w:rsid w:val="00941913"/>
    <w:rsid w:val="00942D47"/>
    <w:rsid w:val="00943D86"/>
    <w:rsid w:val="0094484D"/>
    <w:rsid w:val="00950E50"/>
    <w:rsid w:val="00954116"/>
    <w:rsid w:val="00954A1B"/>
    <w:rsid w:val="009554DC"/>
    <w:rsid w:val="00956327"/>
    <w:rsid w:val="00960EBA"/>
    <w:rsid w:val="00961EF8"/>
    <w:rsid w:val="00966AF4"/>
    <w:rsid w:val="00971D05"/>
    <w:rsid w:val="00971D9F"/>
    <w:rsid w:val="009744B4"/>
    <w:rsid w:val="009772B3"/>
    <w:rsid w:val="0097772D"/>
    <w:rsid w:val="0098048C"/>
    <w:rsid w:val="009865C9"/>
    <w:rsid w:val="00991686"/>
    <w:rsid w:val="00991AFC"/>
    <w:rsid w:val="009954F6"/>
    <w:rsid w:val="009A23B5"/>
    <w:rsid w:val="009B0065"/>
    <w:rsid w:val="009B2102"/>
    <w:rsid w:val="009B581D"/>
    <w:rsid w:val="009C01CF"/>
    <w:rsid w:val="009C19CD"/>
    <w:rsid w:val="009C228A"/>
    <w:rsid w:val="009C237A"/>
    <w:rsid w:val="009C35A1"/>
    <w:rsid w:val="009C379E"/>
    <w:rsid w:val="009C3EF7"/>
    <w:rsid w:val="009C5351"/>
    <w:rsid w:val="009C7896"/>
    <w:rsid w:val="009C78DB"/>
    <w:rsid w:val="009D244B"/>
    <w:rsid w:val="009D32CC"/>
    <w:rsid w:val="009D4284"/>
    <w:rsid w:val="009D5BB4"/>
    <w:rsid w:val="009D65C7"/>
    <w:rsid w:val="009D706D"/>
    <w:rsid w:val="009D7494"/>
    <w:rsid w:val="009D7A0E"/>
    <w:rsid w:val="009E057B"/>
    <w:rsid w:val="009E730F"/>
    <w:rsid w:val="009F2B48"/>
    <w:rsid w:val="009F7352"/>
    <w:rsid w:val="009F7C67"/>
    <w:rsid w:val="00A00DAB"/>
    <w:rsid w:val="00A03FE5"/>
    <w:rsid w:val="00A10A6C"/>
    <w:rsid w:val="00A11165"/>
    <w:rsid w:val="00A15049"/>
    <w:rsid w:val="00A165CA"/>
    <w:rsid w:val="00A17CE6"/>
    <w:rsid w:val="00A20F34"/>
    <w:rsid w:val="00A21CD4"/>
    <w:rsid w:val="00A25538"/>
    <w:rsid w:val="00A3439F"/>
    <w:rsid w:val="00A40EA5"/>
    <w:rsid w:val="00A43852"/>
    <w:rsid w:val="00A506DD"/>
    <w:rsid w:val="00A50B23"/>
    <w:rsid w:val="00A50CE2"/>
    <w:rsid w:val="00A519C2"/>
    <w:rsid w:val="00A522A8"/>
    <w:rsid w:val="00A52CB7"/>
    <w:rsid w:val="00A545AA"/>
    <w:rsid w:val="00A667F0"/>
    <w:rsid w:val="00A70392"/>
    <w:rsid w:val="00A7146B"/>
    <w:rsid w:val="00A71C75"/>
    <w:rsid w:val="00A724A6"/>
    <w:rsid w:val="00A72FDE"/>
    <w:rsid w:val="00A742E7"/>
    <w:rsid w:val="00A74461"/>
    <w:rsid w:val="00A846EF"/>
    <w:rsid w:val="00A86234"/>
    <w:rsid w:val="00A87101"/>
    <w:rsid w:val="00A91102"/>
    <w:rsid w:val="00A92672"/>
    <w:rsid w:val="00A93315"/>
    <w:rsid w:val="00A95946"/>
    <w:rsid w:val="00A95A25"/>
    <w:rsid w:val="00A97DA1"/>
    <w:rsid w:val="00AA0A71"/>
    <w:rsid w:val="00AA2F01"/>
    <w:rsid w:val="00AA33FB"/>
    <w:rsid w:val="00AA5013"/>
    <w:rsid w:val="00AB1FCB"/>
    <w:rsid w:val="00AB70FA"/>
    <w:rsid w:val="00AC0304"/>
    <w:rsid w:val="00AC64B7"/>
    <w:rsid w:val="00AD6AA7"/>
    <w:rsid w:val="00AE2A45"/>
    <w:rsid w:val="00AE3FCE"/>
    <w:rsid w:val="00AF0467"/>
    <w:rsid w:val="00AF0A51"/>
    <w:rsid w:val="00AF5C98"/>
    <w:rsid w:val="00AF6886"/>
    <w:rsid w:val="00AF6BE6"/>
    <w:rsid w:val="00B015CD"/>
    <w:rsid w:val="00B12669"/>
    <w:rsid w:val="00B13339"/>
    <w:rsid w:val="00B1751F"/>
    <w:rsid w:val="00B2084B"/>
    <w:rsid w:val="00B21218"/>
    <w:rsid w:val="00B239E3"/>
    <w:rsid w:val="00B23E2E"/>
    <w:rsid w:val="00B259D0"/>
    <w:rsid w:val="00B27A57"/>
    <w:rsid w:val="00B27CD7"/>
    <w:rsid w:val="00B30323"/>
    <w:rsid w:val="00B31FF1"/>
    <w:rsid w:val="00B53F18"/>
    <w:rsid w:val="00B571A6"/>
    <w:rsid w:val="00B61943"/>
    <w:rsid w:val="00B632CD"/>
    <w:rsid w:val="00B64653"/>
    <w:rsid w:val="00B65860"/>
    <w:rsid w:val="00B74284"/>
    <w:rsid w:val="00B773A8"/>
    <w:rsid w:val="00B818E4"/>
    <w:rsid w:val="00B83AE9"/>
    <w:rsid w:val="00B94AF7"/>
    <w:rsid w:val="00BA290E"/>
    <w:rsid w:val="00BA352D"/>
    <w:rsid w:val="00BA5B82"/>
    <w:rsid w:val="00BA6D3D"/>
    <w:rsid w:val="00BA7BDC"/>
    <w:rsid w:val="00BB0069"/>
    <w:rsid w:val="00BB2767"/>
    <w:rsid w:val="00BB3692"/>
    <w:rsid w:val="00BB6974"/>
    <w:rsid w:val="00BC1240"/>
    <w:rsid w:val="00BC15E4"/>
    <w:rsid w:val="00BC24A3"/>
    <w:rsid w:val="00BC34DA"/>
    <w:rsid w:val="00BC5057"/>
    <w:rsid w:val="00BC5081"/>
    <w:rsid w:val="00BC5F74"/>
    <w:rsid w:val="00BD23A8"/>
    <w:rsid w:val="00BD39D7"/>
    <w:rsid w:val="00BD4953"/>
    <w:rsid w:val="00BD72AB"/>
    <w:rsid w:val="00BD74A2"/>
    <w:rsid w:val="00BE3416"/>
    <w:rsid w:val="00BE5BE4"/>
    <w:rsid w:val="00BE6489"/>
    <w:rsid w:val="00BE7471"/>
    <w:rsid w:val="00BF0B72"/>
    <w:rsid w:val="00BF370A"/>
    <w:rsid w:val="00C026E5"/>
    <w:rsid w:val="00C038F7"/>
    <w:rsid w:val="00C109F9"/>
    <w:rsid w:val="00C11F00"/>
    <w:rsid w:val="00C149A5"/>
    <w:rsid w:val="00C16CEC"/>
    <w:rsid w:val="00C207B0"/>
    <w:rsid w:val="00C219FB"/>
    <w:rsid w:val="00C21A55"/>
    <w:rsid w:val="00C2342B"/>
    <w:rsid w:val="00C31EA4"/>
    <w:rsid w:val="00C364EA"/>
    <w:rsid w:val="00C3694E"/>
    <w:rsid w:val="00C375C7"/>
    <w:rsid w:val="00C443C3"/>
    <w:rsid w:val="00C45534"/>
    <w:rsid w:val="00C4566E"/>
    <w:rsid w:val="00C45C03"/>
    <w:rsid w:val="00C5266C"/>
    <w:rsid w:val="00C54110"/>
    <w:rsid w:val="00C60093"/>
    <w:rsid w:val="00C60205"/>
    <w:rsid w:val="00C60D4E"/>
    <w:rsid w:val="00C615CE"/>
    <w:rsid w:val="00C658FD"/>
    <w:rsid w:val="00C70C6F"/>
    <w:rsid w:val="00C71648"/>
    <w:rsid w:val="00C732CE"/>
    <w:rsid w:val="00C75C7C"/>
    <w:rsid w:val="00C81EFF"/>
    <w:rsid w:val="00C82EC6"/>
    <w:rsid w:val="00C8313F"/>
    <w:rsid w:val="00C862C3"/>
    <w:rsid w:val="00C86D0A"/>
    <w:rsid w:val="00C926F4"/>
    <w:rsid w:val="00C96E28"/>
    <w:rsid w:val="00CA07B6"/>
    <w:rsid w:val="00CA1D28"/>
    <w:rsid w:val="00CA1DEF"/>
    <w:rsid w:val="00CA1E6B"/>
    <w:rsid w:val="00CA2D1E"/>
    <w:rsid w:val="00CA4440"/>
    <w:rsid w:val="00CB0228"/>
    <w:rsid w:val="00CB4DD6"/>
    <w:rsid w:val="00CC5EEA"/>
    <w:rsid w:val="00CC71AF"/>
    <w:rsid w:val="00CC7425"/>
    <w:rsid w:val="00CD41DA"/>
    <w:rsid w:val="00CD64D7"/>
    <w:rsid w:val="00CE0C65"/>
    <w:rsid w:val="00CE434F"/>
    <w:rsid w:val="00CE4E3B"/>
    <w:rsid w:val="00CF2421"/>
    <w:rsid w:val="00CF4081"/>
    <w:rsid w:val="00CF5CD3"/>
    <w:rsid w:val="00D17A91"/>
    <w:rsid w:val="00D202CF"/>
    <w:rsid w:val="00D2083F"/>
    <w:rsid w:val="00D20F81"/>
    <w:rsid w:val="00D222DD"/>
    <w:rsid w:val="00D26751"/>
    <w:rsid w:val="00D27371"/>
    <w:rsid w:val="00D31C5B"/>
    <w:rsid w:val="00D31C8F"/>
    <w:rsid w:val="00D32300"/>
    <w:rsid w:val="00D32614"/>
    <w:rsid w:val="00D32845"/>
    <w:rsid w:val="00D34C36"/>
    <w:rsid w:val="00D364AD"/>
    <w:rsid w:val="00D4363D"/>
    <w:rsid w:val="00D448C1"/>
    <w:rsid w:val="00D4629D"/>
    <w:rsid w:val="00D46C76"/>
    <w:rsid w:val="00D5295C"/>
    <w:rsid w:val="00D53AFC"/>
    <w:rsid w:val="00D55FF2"/>
    <w:rsid w:val="00D61DE3"/>
    <w:rsid w:val="00D62256"/>
    <w:rsid w:val="00D623D5"/>
    <w:rsid w:val="00D63850"/>
    <w:rsid w:val="00D63A07"/>
    <w:rsid w:val="00D702B5"/>
    <w:rsid w:val="00D76072"/>
    <w:rsid w:val="00D773D4"/>
    <w:rsid w:val="00D907EF"/>
    <w:rsid w:val="00D93356"/>
    <w:rsid w:val="00D9520B"/>
    <w:rsid w:val="00DA1FC4"/>
    <w:rsid w:val="00DA28BE"/>
    <w:rsid w:val="00DA2AEF"/>
    <w:rsid w:val="00DA394E"/>
    <w:rsid w:val="00DA471F"/>
    <w:rsid w:val="00DA69FD"/>
    <w:rsid w:val="00DA7B06"/>
    <w:rsid w:val="00DB6705"/>
    <w:rsid w:val="00DB6C64"/>
    <w:rsid w:val="00DB7399"/>
    <w:rsid w:val="00DB7C82"/>
    <w:rsid w:val="00DC0BEF"/>
    <w:rsid w:val="00DC0FE3"/>
    <w:rsid w:val="00DC15F3"/>
    <w:rsid w:val="00DC2D28"/>
    <w:rsid w:val="00DC333E"/>
    <w:rsid w:val="00DC3D5C"/>
    <w:rsid w:val="00DC5080"/>
    <w:rsid w:val="00DC77D3"/>
    <w:rsid w:val="00DD05B0"/>
    <w:rsid w:val="00DD25B2"/>
    <w:rsid w:val="00DD46F9"/>
    <w:rsid w:val="00DD7B67"/>
    <w:rsid w:val="00DE39D0"/>
    <w:rsid w:val="00DE46C6"/>
    <w:rsid w:val="00DF2BD5"/>
    <w:rsid w:val="00DF512E"/>
    <w:rsid w:val="00DF61CE"/>
    <w:rsid w:val="00E007B6"/>
    <w:rsid w:val="00E013FE"/>
    <w:rsid w:val="00E03318"/>
    <w:rsid w:val="00E04E7D"/>
    <w:rsid w:val="00E06995"/>
    <w:rsid w:val="00E06DF7"/>
    <w:rsid w:val="00E07D84"/>
    <w:rsid w:val="00E110E0"/>
    <w:rsid w:val="00E126E8"/>
    <w:rsid w:val="00E130DD"/>
    <w:rsid w:val="00E14214"/>
    <w:rsid w:val="00E1499B"/>
    <w:rsid w:val="00E16ABB"/>
    <w:rsid w:val="00E2021E"/>
    <w:rsid w:val="00E208D1"/>
    <w:rsid w:val="00E21E5A"/>
    <w:rsid w:val="00E220D9"/>
    <w:rsid w:val="00E279A2"/>
    <w:rsid w:val="00E27EC4"/>
    <w:rsid w:val="00E32D27"/>
    <w:rsid w:val="00E33471"/>
    <w:rsid w:val="00E33E33"/>
    <w:rsid w:val="00E36C86"/>
    <w:rsid w:val="00E4054A"/>
    <w:rsid w:val="00E40DAC"/>
    <w:rsid w:val="00E41F2C"/>
    <w:rsid w:val="00E45185"/>
    <w:rsid w:val="00E454BD"/>
    <w:rsid w:val="00E52AAE"/>
    <w:rsid w:val="00E74DD8"/>
    <w:rsid w:val="00E75A22"/>
    <w:rsid w:val="00E770D6"/>
    <w:rsid w:val="00E778AC"/>
    <w:rsid w:val="00E81D83"/>
    <w:rsid w:val="00E8652D"/>
    <w:rsid w:val="00E9324E"/>
    <w:rsid w:val="00E940D2"/>
    <w:rsid w:val="00E97502"/>
    <w:rsid w:val="00E9759B"/>
    <w:rsid w:val="00E9787B"/>
    <w:rsid w:val="00EA09EA"/>
    <w:rsid w:val="00EA1DDC"/>
    <w:rsid w:val="00EB0D1B"/>
    <w:rsid w:val="00EB2BA2"/>
    <w:rsid w:val="00EB3024"/>
    <w:rsid w:val="00EB3E6F"/>
    <w:rsid w:val="00EC295F"/>
    <w:rsid w:val="00EC4A93"/>
    <w:rsid w:val="00EC6592"/>
    <w:rsid w:val="00EC71F2"/>
    <w:rsid w:val="00ED288D"/>
    <w:rsid w:val="00ED415A"/>
    <w:rsid w:val="00ED5346"/>
    <w:rsid w:val="00ED58F6"/>
    <w:rsid w:val="00EE09F6"/>
    <w:rsid w:val="00EE1A12"/>
    <w:rsid w:val="00EE2221"/>
    <w:rsid w:val="00EE4F52"/>
    <w:rsid w:val="00EF00E6"/>
    <w:rsid w:val="00F01C49"/>
    <w:rsid w:val="00F02DDF"/>
    <w:rsid w:val="00F06838"/>
    <w:rsid w:val="00F13F31"/>
    <w:rsid w:val="00F14942"/>
    <w:rsid w:val="00F14E06"/>
    <w:rsid w:val="00F14E38"/>
    <w:rsid w:val="00F16B7B"/>
    <w:rsid w:val="00F17190"/>
    <w:rsid w:val="00F227EA"/>
    <w:rsid w:val="00F2497A"/>
    <w:rsid w:val="00F25093"/>
    <w:rsid w:val="00F2580D"/>
    <w:rsid w:val="00F304CF"/>
    <w:rsid w:val="00F30A8D"/>
    <w:rsid w:val="00F31839"/>
    <w:rsid w:val="00F34171"/>
    <w:rsid w:val="00F35AA7"/>
    <w:rsid w:val="00F3601A"/>
    <w:rsid w:val="00F36816"/>
    <w:rsid w:val="00F37288"/>
    <w:rsid w:val="00F4332E"/>
    <w:rsid w:val="00F4446B"/>
    <w:rsid w:val="00F45CF6"/>
    <w:rsid w:val="00F52792"/>
    <w:rsid w:val="00F54AD9"/>
    <w:rsid w:val="00F574A2"/>
    <w:rsid w:val="00F606B5"/>
    <w:rsid w:val="00F71F53"/>
    <w:rsid w:val="00F727B5"/>
    <w:rsid w:val="00F74DAD"/>
    <w:rsid w:val="00F8420A"/>
    <w:rsid w:val="00F877A4"/>
    <w:rsid w:val="00F87C96"/>
    <w:rsid w:val="00F87CD4"/>
    <w:rsid w:val="00F90A39"/>
    <w:rsid w:val="00F9142E"/>
    <w:rsid w:val="00F938A9"/>
    <w:rsid w:val="00FA10BC"/>
    <w:rsid w:val="00FA3D41"/>
    <w:rsid w:val="00FA5B35"/>
    <w:rsid w:val="00FA6A60"/>
    <w:rsid w:val="00FA71EA"/>
    <w:rsid w:val="00FB1838"/>
    <w:rsid w:val="00FB3352"/>
    <w:rsid w:val="00FB3B06"/>
    <w:rsid w:val="00FB3DC2"/>
    <w:rsid w:val="00FC2372"/>
    <w:rsid w:val="00FC4C7C"/>
    <w:rsid w:val="00FD3A4F"/>
    <w:rsid w:val="00FD4FFB"/>
    <w:rsid w:val="00FD644D"/>
    <w:rsid w:val="00FE526E"/>
    <w:rsid w:val="00FE5ECA"/>
    <w:rsid w:val="00FE60A1"/>
    <w:rsid w:val="00FE78BE"/>
    <w:rsid w:val="00FF00CA"/>
    <w:rsid w:val="00FF190C"/>
    <w:rsid w:val="00FF4F9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A7D52"/>
  <w15:chartTrackingRefBased/>
  <w15:docId w15:val="{C75694EB-5E1F-414F-8BF8-24CB447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631907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rPr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A7446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B53F18"/>
    <w:pPr>
      <w:spacing w:after="120" w:line="48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7C506E"/>
    <w:pPr>
      <w:spacing w:after="120"/>
    </w:pPr>
  </w:style>
  <w:style w:type="character" w:customStyle="1" w:styleId="ZkladntextChar">
    <w:name w:val="Základní text Char"/>
    <w:link w:val="Zkladntext"/>
    <w:uiPriority w:val="99"/>
    <w:rsid w:val="007C50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D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1D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7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750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75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7502"/>
    <w:rPr>
      <w:sz w:val="24"/>
      <w:szCs w:val="24"/>
    </w:rPr>
  </w:style>
  <w:style w:type="character" w:customStyle="1" w:styleId="nowrap">
    <w:name w:val="nowrap"/>
    <w:rsid w:val="00A87101"/>
  </w:style>
  <w:style w:type="character" w:customStyle="1" w:styleId="preformatted">
    <w:name w:val="preformatted"/>
    <w:rsid w:val="00450FD0"/>
  </w:style>
  <w:style w:type="paragraph" w:customStyle="1" w:styleId="CharCharCharCharCharCharCharCharCharCharCharCharCharCharCharCharChar0">
    <w:name w:val="Char Char Char Char Char Char Char Char Char Char Char Char Char Char Char Char Char"/>
    <w:basedOn w:val="Normln"/>
    <w:rsid w:val="00971D0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52C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C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CB7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C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CB7"/>
    <w:rPr>
      <w:b/>
      <w:bCs/>
      <w:lang w:eastAsia="cs-CZ"/>
    </w:rPr>
  </w:style>
  <w:style w:type="paragraph" w:customStyle="1" w:styleId="CharCharCharCharCharCharCharCharCharCharCharCharCharCharCharCharChar1">
    <w:name w:val="Char Char Char Char Char Char Char Char Char Char Char Char Char Char Char Char Char"/>
    <w:basedOn w:val="Normln"/>
    <w:rsid w:val="002F4EF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2">
    <w:name w:val="Char Char Char Char Char Char Char Char Char Char Char Char Char Char Char Char Char"/>
    <w:basedOn w:val="Normln"/>
    <w:rsid w:val="006346E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7" ma:contentTypeDescription="Vytvoří nový dokument" ma:contentTypeScope="" ma:versionID="88d1a18d3da3bd23c5d343dc29e0509c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92d41fac2d0abc7a6a4b2b401f9a2109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4C344-06ED-4A7B-A0DA-77B42357F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64CA2-F102-47BB-AF23-C39FD8493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81B9CF-2CB7-466E-8EFE-DF9447AA2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2265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Městský úřad Přerov</dc:creator>
  <cp:keywords/>
  <cp:lastModifiedBy>Dagmar Šneidrová</cp:lastModifiedBy>
  <cp:revision>41</cp:revision>
  <cp:lastPrinted>2021-06-14T11:53:00Z</cp:lastPrinted>
  <dcterms:created xsi:type="dcterms:W3CDTF">2024-04-03T06:57:00Z</dcterms:created>
  <dcterms:modified xsi:type="dcterms:W3CDTF">2024-04-29T12:45:00Z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