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0C" w:rsidRPr="005F0F9C" w:rsidRDefault="006A245B" w:rsidP="005F0F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40" w:lineRule="auto"/>
        <w:ind w:left="2" w:hanging="4"/>
        <w:jc w:val="center"/>
        <w:rPr>
          <w:rFonts w:asciiTheme="majorHAnsi" w:hAnsiTheme="majorHAnsi" w:cstheme="majorHAnsi"/>
          <w:position w:val="0"/>
          <w:sz w:val="20"/>
        </w:rPr>
      </w:pPr>
      <w:r w:rsidRPr="005F0F9C">
        <w:rPr>
          <w:rFonts w:asciiTheme="majorHAnsi" w:eastAsia="Calibri" w:hAnsiTheme="majorHAnsi" w:cstheme="majorHAnsi"/>
          <w:b/>
          <w:color w:val="000000"/>
          <w:position w:val="0"/>
          <w:sz w:val="36"/>
          <w:szCs w:val="36"/>
        </w:rPr>
        <w:t>SMLOUVA O VÝPŮJČCE č. HM/147/2024/PEDS</w:t>
      </w:r>
    </w:p>
    <w:p w:rsidR="0086700C" w:rsidRPr="005F0F9C" w:rsidRDefault="006A245B" w:rsidP="005F0F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40" w:lineRule="auto"/>
        <w:ind w:left="0" w:hanging="2"/>
        <w:jc w:val="center"/>
        <w:rPr>
          <w:rFonts w:asciiTheme="majorHAnsi" w:hAnsiTheme="majorHAnsi" w:cstheme="majorHAnsi"/>
          <w:position w:val="0"/>
          <w:sz w:val="20"/>
        </w:rPr>
      </w:pPr>
      <w:r w:rsidRPr="005F0F9C">
        <w:rPr>
          <w:rFonts w:asciiTheme="majorHAnsi" w:eastAsia="Calibri" w:hAnsiTheme="majorHAnsi" w:cstheme="majorHAnsi"/>
          <w:color w:val="000000"/>
          <w:position w:val="0"/>
        </w:rPr>
        <w:t>uzavřená podle § 2193 a § 2358 a násl. zákona č. 89/2012 Sb., občanského zákoníku</w:t>
      </w:r>
    </w:p>
    <w:p w:rsidR="0086700C" w:rsidRPr="005F0F9C" w:rsidRDefault="006A245B" w:rsidP="005F0F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40" w:lineRule="auto"/>
        <w:ind w:left="0" w:hanging="2"/>
        <w:jc w:val="center"/>
        <w:rPr>
          <w:rFonts w:asciiTheme="majorHAnsi" w:hAnsiTheme="majorHAnsi" w:cstheme="majorHAnsi"/>
          <w:position w:val="0"/>
          <w:sz w:val="20"/>
        </w:rPr>
      </w:pPr>
      <w:r w:rsidRPr="005F0F9C">
        <w:rPr>
          <w:rFonts w:asciiTheme="majorHAnsi" w:eastAsia="Calibri" w:hAnsiTheme="majorHAnsi" w:cstheme="majorHAnsi"/>
          <w:color w:val="000000"/>
          <w:position w:val="0"/>
        </w:rPr>
        <w:t>a podle § 55 odst. 3 zákona č. 219/2000 Sb., o majetku České republiky</w:t>
      </w:r>
    </w:p>
    <w:p w:rsidR="0086700C" w:rsidRPr="005F0F9C" w:rsidRDefault="006A245B">
      <w:pPr>
        <w:widowControl w:val="0"/>
        <w:spacing w:before="57" w:after="57" w:line="240" w:lineRule="auto"/>
        <w:ind w:left="0" w:hanging="2"/>
        <w:jc w:val="right"/>
        <w:rPr>
          <w:rFonts w:asciiTheme="majorHAnsi" w:hAnsiTheme="majorHAnsi" w:cstheme="majorHAnsi"/>
          <w:position w:val="0"/>
          <w:sz w:val="20"/>
        </w:rPr>
      </w:pPr>
      <w:r w:rsidRPr="005F0F9C">
        <w:rPr>
          <w:rFonts w:asciiTheme="majorHAnsi" w:eastAsia="Calibri" w:hAnsiTheme="majorHAnsi" w:cstheme="majorHAnsi"/>
          <w:color w:val="000000"/>
          <w:position w:val="0"/>
          <w:sz w:val="18"/>
          <w:szCs w:val="18"/>
        </w:rPr>
        <w:t>č.j.: 17302/2024-UVCR</w:t>
      </w:r>
    </w:p>
    <w:p w:rsidR="0086700C" w:rsidRPr="005F0F9C" w:rsidRDefault="006A245B">
      <w:pPr>
        <w:widowControl w:val="0"/>
        <w:spacing w:before="57" w:after="57" w:line="240" w:lineRule="auto"/>
        <w:ind w:left="0" w:hanging="2"/>
        <w:jc w:val="right"/>
        <w:rPr>
          <w:rFonts w:asciiTheme="majorHAnsi" w:hAnsiTheme="majorHAnsi" w:cstheme="majorHAnsi"/>
          <w:position w:val="0"/>
          <w:sz w:val="20"/>
        </w:rPr>
      </w:pPr>
      <w:r w:rsidRPr="005F0F9C">
        <w:rPr>
          <w:rFonts w:asciiTheme="majorHAnsi" w:eastAsia="Calibri" w:hAnsiTheme="majorHAnsi" w:cstheme="majorHAnsi"/>
          <w:color w:val="000000"/>
          <w:position w:val="0"/>
          <w:sz w:val="18"/>
          <w:szCs w:val="18"/>
        </w:rPr>
        <w:t>ev. číslo smlouvy: 24/099-0</w:t>
      </w:r>
    </w:p>
    <w:p w:rsidR="0086700C" w:rsidRPr="005F0F9C" w:rsidRDefault="0086700C">
      <w:pPr>
        <w:widowControl w:val="0"/>
        <w:spacing w:before="57" w:after="57" w:line="240" w:lineRule="auto"/>
        <w:ind w:left="0" w:hanging="2"/>
        <w:rPr>
          <w:rFonts w:asciiTheme="majorHAnsi" w:eastAsia="Calibri" w:hAnsiTheme="majorHAnsi" w:cstheme="majorHAnsi"/>
          <w:b/>
          <w:color w:val="000000"/>
          <w:position w:val="0"/>
          <w:sz w:val="20"/>
        </w:rPr>
      </w:pPr>
    </w:p>
    <w:p w:rsidR="0086700C" w:rsidRPr="005F0F9C" w:rsidRDefault="006A245B">
      <w:pPr>
        <w:widowControl w:val="0"/>
        <w:spacing w:before="57" w:after="57" w:line="240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Smluvní strany:</w:t>
      </w:r>
    </w:p>
    <w:p w:rsidR="0086700C" w:rsidRPr="005F0F9C" w:rsidRDefault="006A245B">
      <w:pPr>
        <w:widowControl w:val="0"/>
        <w:numPr>
          <w:ilvl w:val="0"/>
          <w:numId w:val="8"/>
        </w:numPr>
        <w:spacing w:before="57" w:after="57" w:line="276" w:lineRule="auto"/>
        <w:ind w:left="-57" w:firstLine="0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 xml:space="preserve">Husitské muzeum v Táboře, IČO 00072486, nám. Mikuláše z Husi 44, 390 01 Tábor, </w:t>
      </w:r>
      <w:r w:rsidRPr="005F0F9C">
        <w:rPr>
          <w:rFonts w:asciiTheme="majorHAnsi" w:eastAsia="Calibri" w:hAnsiTheme="majorHAnsi" w:cstheme="majorHAnsi"/>
          <w:b/>
          <w:color w:val="000000"/>
        </w:rPr>
        <w:br/>
      </w:r>
      <w:r w:rsidRPr="005F0F9C">
        <w:rPr>
          <w:rFonts w:asciiTheme="majorHAnsi" w:eastAsia="Calibri" w:hAnsiTheme="majorHAnsi" w:cstheme="majorHAnsi"/>
          <w:color w:val="000000"/>
        </w:rPr>
        <w:t>jehož jménem jedná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 Mgr. Jakub Smrčka, Th.D., </w:t>
      </w:r>
      <w:r w:rsidRPr="005F0F9C">
        <w:rPr>
          <w:rFonts w:asciiTheme="majorHAnsi" w:eastAsia="Calibri" w:hAnsiTheme="majorHAnsi" w:cstheme="majorHAnsi"/>
          <w:color w:val="000000"/>
        </w:rPr>
        <w:t>ředitel Husitského muzea v Táboře</w:t>
      </w:r>
    </w:p>
    <w:p w:rsidR="0086700C" w:rsidRPr="005F0F9C" w:rsidRDefault="006A245B">
      <w:pPr>
        <w:widowControl w:val="0"/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Kontakt</w:t>
      </w:r>
      <w:r w:rsidR="009D07FA">
        <w:rPr>
          <w:rFonts w:asciiTheme="majorHAnsi" w:eastAsia="Calibri" w:hAnsiTheme="majorHAnsi" w:cstheme="majorHAnsi"/>
          <w:color w:val="000000"/>
        </w:rPr>
        <w:t>ní osoba: XXX</w:t>
      </w:r>
      <w:r w:rsidRPr="005F0F9C">
        <w:rPr>
          <w:rFonts w:asciiTheme="majorHAnsi" w:eastAsia="Calibri" w:hAnsiTheme="majorHAnsi" w:cstheme="majorHAnsi"/>
          <w:color w:val="000000"/>
        </w:rPr>
        <w:t xml:space="preserve">, tel.: </w:t>
      </w:r>
      <w:r w:rsidR="009D07FA">
        <w:rPr>
          <w:rFonts w:asciiTheme="majorHAnsi" w:eastAsia="Calibri" w:hAnsiTheme="majorHAnsi" w:cstheme="majorHAnsi"/>
          <w:color w:val="000000"/>
        </w:rPr>
        <w:t>XXX</w:t>
      </w:r>
      <w:r w:rsidRPr="005F0F9C">
        <w:rPr>
          <w:rFonts w:asciiTheme="majorHAnsi" w:eastAsia="Calibri" w:hAnsiTheme="majorHAnsi" w:cstheme="majorHAnsi"/>
          <w:color w:val="000000"/>
        </w:rPr>
        <w:t xml:space="preserve">, </w:t>
      </w:r>
      <w:r w:rsidRPr="005F0F9C">
        <w:rPr>
          <w:rFonts w:asciiTheme="majorHAnsi" w:eastAsia="Calibri" w:hAnsiTheme="majorHAnsi" w:cstheme="majorHAnsi"/>
          <w:color w:val="000000"/>
        </w:rPr>
        <w:br/>
        <w:t xml:space="preserve">e-mail: </w:t>
      </w:r>
      <w:r w:rsidR="009D07FA">
        <w:rPr>
          <w:rFonts w:asciiTheme="majorHAnsi" w:eastAsia="Calibri" w:hAnsiTheme="majorHAnsi" w:cstheme="majorHAnsi"/>
          <w:color w:val="000000"/>
        </w:rPr>
        <w:t>XXX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(dále jen půjčitel)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a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keepNext/>
        <w:widowControl w:val="0"/>
        <w:numPr>
          <w:ilvl w:val="0"/>
          <w:numId w:val="8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 xml:space="preserve">Česká republika – Úřad vlády České republiky, IČO 00006599, nábř. E. Beneše 128/4, 118 01 Praha 1 – Malá Strana, </w:t>
      </w:r>
      <w:r w:rsidRPr="005F0F9C">
        <w:rPr>
          <w:rFonts w:asciiTheme="majorHAnsi" w:eastAsia="Calibri" w:hAnsiTheme="majorHAnsi" w:cstheme="majorHAnsi"/>
          <w:color w:val="000000"/>
        </w:rPr>
        <w:t xml:space="preserve">jehož jménem jedná </w:t>
      </w:r>
      <w:r w:rsidRPr="005F0F9C">
        <w:rPr>
          <w:rFonts w:asciiTheme="majorHAnsi" w:eastAsia="Calibri" w:hAnsiTheme="majorHAnsi" w:cstheme="majorHAnsi"/>
          <w:b/>
          <w:color w:val="000000"/>
        </w:rPr>
        <w:t>Ing. Ivana Hošťálková</w:t>
      </w:r>
      <w:r w:rsidRPr="005F0F9C">
        <w:rPr>
          <w:rFonts w:asciiTheme="majorHAnsi" w:eastAsia="Calibri" w:hAnsiTheme="majorHAnsi" w:cstheme="majorHAnsi"/>
          <w:color w:val="000000"/>
        </w:rPr>
        <w:t>, ředitelka Odboru majetku a služeb</w:t>
      </w:r>
    </w:p>
    <w:p w:rsidR="0086700C" w:rsidRPr="005F0F9C" w:rsidRDefault="006A245B">
      <w:pPr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Kontaktní osoba: </w:t>
      </w:r>
      <w:r w:rsidR="009D07FA">
        <w:rPr>
          <w:rFonts w:asciiTheme="majorHAnsi" w:eastAsia="Calibri" w:hAnsiTheme="majorHAnsi" w:cstheme="majorHAnsi"/>
          <w:color w:val="000000"/>
        </w:rPr>
        <w:t>XXX</w:t>
      </w:r>
      <w:r w:rsidRPr="005F0F9C">
        <w:rPr>
          <w:rFonts w:asciiTheme="majorHAnsi" w:eastAsia="Calibri" w:hAnsiTheme="majorHAnsi" w:cstheme="majorHAnsi"/>
          <w:color w:val="000000"/>
        </w:rPr>
        <w:t xml:space="preserve">, tel.: </w:t>
      </w:r>
      <w:r w:rsidR="009D07FA">
        <w:rPr>
          <w:rFonts w:asciiTheme="majorHAnsi" w:eastAsia="Calibri" w:hAnsiTheme="majorHAnsi" w:cstheme="majorHAnsi"/>
          <w:color w:val="000000"/>
        </w:rPr>
        <w:t>XXX</w:t>
      </w:r>
    </w:p>
    <w:p w:rsidR="0086700C" w:rsidRPr="005F0F9C" w:rsidRDefault="006A245B">
      <w:pPr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e-mail: </w:t>
      </w:r>
      <w:r w:rsidR="009D07FA">
        <w:rPr>
          <w:rFonts w:asciiTheme="majorHAnsi" w:eastAsia="Calibri" w:hAnsiTheme="majorHAnsi" w:cstheme="majorHAnsi"/>
          <w:color w:val="000000"/>
        </w:rPr>
        <w:t>XXX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 (dále jen vypůjčitel)</w:t>
      </w:r>
    </w:p>
    <w:p w:rsidR="005F0F9C" w:rsidRPr="005F0F9C" w:rsidRDefault="005F0F9C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</w:p>
    <w:p w:rsidR="0086700C" w:rsidRPr="005F0F9C" w:rsidRDefault="0086700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PŘEDMĚT SMLOUVY</w:t>
      </w:r>
    </w:p>
    <w:p w:rsidR="0086700C" w:rsidRPr="005F0F9C" w:rsidRDefault="006A245B">
      <w:pPr>
        <w:numPr>
          <w:ilvl w:val="0"/>
          <w:numId w:val="1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Půjčitel tímto přenechává jmenovanému vypůjčiteli do bezplatné výpůjčky předměty specifikované v </w:t>
      </w:r>
      <w:r w:rsidRPr="005F0F9C">
        <w:rPr>
          <w:rFonts w:asciiTheme="majorHAnsi" w:eastAsia="Calibri" w:hAnsiTheme="majorHAnsi" w:cstheme="majorHAnsi"/>
          <w:b/>
          <w:color w:val="000000"/>
        </w:rPr>
        <w:t>Příloze č. 1</w:t>
      </w:r>
      <w:r w:rsidRPr="005F0F9C">
        <w:rPr>
          <w:rFonts w:asciiTheme="majorHAnsi" w:eastAsia="Calibri" w:hAnsiTheme="majorHAnsi" w:cstheme="majorHAnsi"/>
          <w:color w:val="000000"/>
        </w:rPr>
        <w:t xml:space="preserve"> této smlouvy, které jsou ve vlastnictví České republiky, </w:t>
      </w:r>
      <w:r w:rsidRPr="005F0F9C">
        <w:rPr>
          <w:rFonts w:asciiTheme="majorHAnsi" w:eastAsia="Calibri" w:hAnsiTheme="majorHAnsi" w:cstheme="majorHAnsi"/>
          <w:color w:val="000000"/>
        </w:rPr>
        <w:br/>
        <w:t>se kterými má příslušnost hospodařit na základě zákona č. 219/2000 Sb., o majetku České republiky a jejím vystupování v právních vztazích, v platném znění, a to za podmínek stanovených zákonem č. 122/2000 Sb., o ochraně sbírek mu</w:t>
      </w:r>
      <w:r w:rsidR="005F0F9C">
        <w:rPr>
          <w:rFonts w:asciiTheme="majorHAnsi" w:eastAsia="Calibri" w:hAnsiTheme="majorHAnsi" w:cstheme="majorHAnsi"/>
          <w:color w:val="000000"/>
        </w:rPr>
        <w:t>zejní povahy, v platném znění a </w:t>
      </w:r>
      <w:r w:rsidRPr="005F0F9C">
        <w:rPr>
          <w:rFonts w:asciiTheme="majorHAnsi" w:eastAsia="Calibri" w:hAnsiTheme="majorHAnsi" w:cstheme="majorHAnsi"/>
          <w:color w:val="000000"/>
        </w:rPr>
        <w:t>to ve stavu způsobilém k jejich řádnému užívání.</w:t>
      </w:r>
    </w:p>
    <w:p w:rsidR="0086700C" w:rsidRPr="005F0F9C" w:rsidRDefault="006A245B">
      <w:pPr>
        <w:numPr>
          <w:ilvl w:val="0"/>
          <w:numId w:val="1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Vypůjčitel je oprávněn uvedené předměty užívat výhradně k následujícímu účelu: 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výstavnímu </w:t>
      </w:r>
      <w:r w:rsidRPr="005F0F9C">
        <w:rPr>
          <w:rFonts w:asciiTheme="majorHAnsi" w:eastAsia="Calibri" w:hAnsiTheme="majorHAnsi" w:cstheme="majorHAnsi"/>
          <w:color w:val="000000"/>
        </w:rPr>
        <w:t xml:space="preserve">v expozici umístěné v prostorách </w:t>
      </w:r>
      <w:r w:rsidRPr="005F0F9C">
        <w:rPr>
          <w:rFonts w:asciiTheme="majorHAnsi" w:eastAsia="Calibri" w:hAnsiTheme="majorHAnsi" w:cstheme="majorHAnsi"/>
          <w:b/>
          <w:color w:val="000000"/>
        </w:rPr>
        <w:t>Benešovy vily</w:t>
      </w:r>
      <w:r w:rsidRPr="005F0F9C">
        <w:rPr>
          <w:rFonts w:asciiTheme="majorHAnsi" w:eastAsia="Calibri" w:hAnsiTheme="majorHAnsi" w:cstheme="majorHAnsi"/>
          <w:color w:val="000000"/>
        </w:rPr>
        <w:t xml:space="preserve"> čp. 20</w:t>
      </w:r>
      <w:r w:rsidR="005F0F9C">
        <w:rPr>
          <w:rFonts w:asciiTheme="majorHAnsi" w:eastAsia="Calibri" w:hAnsiTheme="majorHAnsi" w:cstheme="majorHAnsi"/>
          <w:color w:val="000000"/>
        </w:rPr>
        <w:t>1, Sezimovo Ústí I. Za </w:t>
      </w:r>
      <w:r w:rsidRPr="005F0F9C">
        <w:rPr>
          <w:rFonts w:asciiTheme="majorHAnsi" w:eastAsia="Calibri" w:hAnsiTheme="majorHAnsi" w:cstheme="majorHAnsi"/>
          <w:color w:val="000000"/>
        </w:rPr>
        <w:t xml:space="preserve">užívání předmětů dle stanoveného účelu se rozumí i využívání prostor Benešovy vily pro plnění úkolů spojených s odborným, organizačním a technickým zabezpečením činnosti vlády </w:t>
      </w:r>
      <w:r w:rsidRPr="005F0F9C">
        <w:rPr>
          <w:rFonts w:asciiTheme="majorHAnsi" w:eastAsia="Calibri" w:hAnsiTheme="majorHAnsi" w:cstheme="majorHAnsi"/>
          <w:color w:val="000000"/>
        </w:rPr>
        <w:lastRenderedPageBreak/>
        <w:t>České republiky a jejích orgánů, za předpokladu, že předměty dle odst. 1 nejsou užívány dle jejich funkčního určení, ale výhradně jakožto exponáty</w:t>
      </w:r>
      <w:r w:rsidRPr="005F0F9C">
        <w:rPr>
          <w:rFonts w:asciiTheme="majorHAnsi" w:eastAsia="Calibri" w:hAnsiTheme="majorHAnsi" w:cstheme="majorHAnsi"/>
          <w:b/>
          <w:color w:val="000000"/>
        </w:rPr>
        <w:t>.</w:t>
      </w:r>
    </w:p>
    <w:p w:rsidR="0086700C" w:rsidRPr="005F0F9C" w:rsidRDefault="006A245B">
      <w:pPr>
        <w:numPr>
          <w:ilvl w:val="0"/>
          <w:numId w:val="1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nesmí uvedené předměty použít pro jiný než sjednaný účel ani je přenechat k užívání třetí osobě, s výjimkou specializované transportní firmy (je-li předmět od půjčitele k vypůjčiteli a zpět přepravován takovouto firmou).</w:t>
      </w:r>
    </w:p>
    <w:p w:rsidR="0086700C" w:rsidRPr="005F0F9C" w:rsidRDefault="0086700C">
      <w:pPr>
        <w:spacing w:before="57" w:after="57" w:line="276" w:lineRule="auto"/>
        <w:ind w:left="0" w:firstLine="0"/>
        <w:jc w:val="both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DOBA VÝPŮJČKY</w:t>
      </w:r>
    </w:p>
    <w:p w:rsidR="0086700C" w:rsidRPr="005F0F9C" w:rsidRDefault="006A245B">
      <w:pPr>
        <w:numPr>
          <w:ilvl w:val="0"/>
          <w:numId w:val="1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Půjčitel přenechává vypůjčiteli výše uvedené předměty na dobu určitou,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5F0F9C">
        <w:rPr>
          <w:rFonts w:asciiTheme="majorHAnsi" w:eastAsia="Calibri" w:hAnsiTheme="majorHAnsi" w:cstheme="majorHAnsi"/>
          <w:color w:val="000000"/>
        </w:rPr>
        <w:t>a to: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 </w:t>
      </w:r>
    </w:p>
    <w:p w:rsidR="0086700C" w:rsidRPr="005F0F9C" w:rsidRDefault="006A245B">
      <w:p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 xml:space="preserve">od </w:t>
      </w:r>
      <w:r w:rsidRPr="005F0F9C">
        <w:rPr>
          <w:rFonts w:asciiTheme="majorHAnsi" w:eastAsia="Calibri" w:hAnsiTheme="majorHAnsi" w:cstheme="majorHAnsi"/>
          <w:b/>
        </w:rPr>
        <w:t>29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. </w:t>
      </w:r>
      <w:r w:rsidRPr="005F0F9C">
        <w:rPr>
          <w:rFonts w:asciiTheme="majorHAnsi" w:eastAsia="Calibri" w:hAnsiTheme="majorHAnsi" w:cstheme="majorHAnsi"/>
          <w:b/>
        </w:rPr>
        <w:t>4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. 2024 do </w:t>
      </w:r>
      <w:r w:rsidRPr="005F0F9C">
        <w:rPr>
          <w:rFonts w:asciiTheme="majorHAnsi" w:eastAsia="Calibri" w:hAnsiTheme="majorHAnsi" w:cstheme="majorHAnsi"/>
          <w:b/>
        </w:rPr>
        <w:t>29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. </w:t>
      </w:r>
      <w:r w:rsidRPr="005F0F9C">
        <w:rPr>
          <w:rFonts w:asciiTheme="majorHAnsi" w:eastAsia="Calibri" w:hAnsiTheme="majorHAnsi" w:cstheme="majorHAnsi"/>
          <w:b/>
        </w:rPr>
        <w:t>4</w:t>
      </w:r>
      <w:r w:rsidRPr="005F0F9C">
        <w:rPr>
          <w:rFonts w:asciiTheme="majorHAnsi" w:eastAsia="Calibri" w:hAnsiTheme="majorHAnsi" w:cstheme="majorHAnsi"/>
          <w:b/>
          <w:color w:val="000000"/>
        </w:rPr>
        <w:t>. 2032.</w:t>
      </w:r>
    </w:p>
    <w:p w:rsidR="0086700C" w:rsidRPr="005F0F9C" w:rsidRDefault="006A245B">
      <w:pPr>
        <w:numPr>
          <w:ilvl w:val="0"/>
          <w:numId w:val="1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Půjčitel si vyhrazuje právo v odůvodněných případech zkrátit dobu výpůjčky a to z vážného důvodu. Vážným důvodem je především vlastní potřeba půjčitele, nepředvídané zhoršení fyzického stavu předmětu výpůjčky, nebo nedodržení smluvních podmínek vypůjčitelem. V takovém případě není půjčitel povinen uhradit vypůjčiteli případnou škodu či náklady s tím spojené.</w:t>
      </w:r>
    </w:p>
    <w:p w:rsidR="0086700C" w:rsidRPr="005F0F9C" w:rsidRDefault="006A245B">
      <w:pPr>
        <w:numPr>
          <w:ilvl w:val="0"/>
          <w:numId w:val="1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Oznámení o zkrácení doby výpůjčky učiní půjčitel písemně. Je-li důvodem vlastní potřeba půjčitele, půjčitel oznámí vypůjčiteli nový termín ukončení doby výpůjčky nejméně 15</w:t>
      </w:r>
      <w:r w:rsidR="00D07361">
        <w:rPr>
          <w:rFonts w:asciiTheme="majorHAnsi" w:eastAsia="Calibri" w:hAnsiTheme="majorHAnsi" w:cstheme="majorHAnsi"/>
          <w:color w:val="000000"/>
        </w:rPr>
        <w:t> </w:t>
      </w:r>
      <w:r w:rsidRPr="005F0F9C">
        <w:rPr>
          <w:rFonts w:asciiTheme="majorHAnsi" w:eastAsia="Calibri" w:hAnsiTheme="majorHAnsi" w:cstheme="majorHAnsi"/>
          <w:color w:val="000000"/>
        </w:rPr>
        <w:t>pracovních dnů předem. Je-li důvodem nepředvídané zhoršení fyzického stavu předmětů nebo nedodržení smluvních podmínek vypůjčitelem, může půjčitel vyžadovat okamžité vrácení vypůjčených předmětů.</w:t>
      </w:r>
    </w:p>
    <w:p w:rsidR="0086700C" w:rsidRPr="005F0F9C" w:rsidRDefault="006A245B">
      <w:pPr>
        <w:numPr>
          <w:ilvl w:val="0"/>
          <w:numId w:val="1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nemá v žádném v žádném případě právo vypůjčené předměty zadržovat, jestliže byl vyzván k jejich vrácení v souladu s podmínkami dle tohoto článku.</w:t>
      </w:r>
    </w:p>
    <w:p w:rsidR="0086700C" w:rsidRPr="005F0F9C" w:rsidRDefault="0086700C">
      <w:p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ODPOVĚDNOST ZA ŠKODU</w:t>
      </w:r>
    </w:p>
    <w:p w:rsidR="0086700C" w:rsidRPr="005F0F9C" w:rsidRDefault="006A245B">
      <w:pPr>
        <w:numPr>
          <w:ilvl w:val="0"/>
          <w:numId w:val="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je povinen zacházet s vypůjčeným předmětem po celou dobu výpůjčky s maximální péčí a učinit všechna opatření tak, aby zabránil jakémukoliv poškození, zničení nebo ztrátě.</w:t>
      </w:r>
    </w:p>
    <w:p w:rsidR="0086700C" w:rsidRPr="005F0F9C" w:rsidRDefault="006A245B">
      <w:pPr>
        <w:numPr>
          <w:ilvl w:val="0"/>
          <w:numId w:val="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Dojde-li k jakékoliv škodě, je vypůjčitel povinen okamžitě informovat půjčitele písemnou formou. Smluvní strany se následně dohodnou na dalším postupu.</w:t>
      </w:r>
    </w:p>
    <w:p w:rsidR="0086700C" w:rsidRPr="006A245B" w:rsidRDefault="006A245B">
      <w:pPr>
        <w:numPr>
          <w:ilvl w:val="0"/>
          <w:numId w:val="3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odpovídá za vypůjčený předmět po celou dobu výpůjčky do výše jeho pojistné hodnoty a je povinen případnou škodu půjčiteli uhradit, s výjimkou uvedenou v předchozím článku.</w:t>
      </w:r>
    </w:p>
    <w:p w:rsidR="006A245B" w:rsidRDefault="006A245B" w:rsidP="006A245B">
      <w:pPr>
        <w:spacing w:before="57" w:after="57" w:line="276" w:lineRule="auto"/>
        <w:ind w:left="0" w:firstLine="0"/>
        <w:jc w:val="both"/>
        <w:rPr>
          <w:rFonts w:asciiTheme="majorHAnsi" w:eastAsia="Calibri" w:hAnsiTheme="majorHAnsi" w:cstheme="majorHAnsi"/>
          <w:color w:val="000000"/>
        </w:rPr>
      </w:pPr>
    </w:p>
    <w:p w:rsidR="006A245B" w:rsidRDefault="006A245B" w:rsidP="006A245B">
      <w:pPr>
        <w:spacing w:before="57" w:after="57" w:line="276" w:lineRule="auto"/>
        <w:ind w:left="0" w:firstLine="0"/>
        <w:jc w:val="both"/>
        <w:rPr>
          <w:rFonts w:asciiTheme="majorHAnsi" w:eastAsia="Calibri" w:hAnsiTheme="majorHAnsi" w:cstheme="majorHAnsi"/>
          <w:color w:val="000000"/>
        </w:rPr>
      </w:pPr>
    </w:p>
    <w:p w:rsidR="006A245B" w:rsidRDefault="006A245B" w:rsidP="006A245B">
      <w:pPr>
        <w:spacing w:before="57" w:after="57" w:line="276" w:lineRule="auto"/>
        <w:ind w:left="0" w:firstLine="0"/>
        <w:jc w:val="both"/>
        <w:rPr>
          <w:rFonts w:asciiTheme="majorHAnsi" w:eastAsia="Calibri" w:hAnsiTheme="majorHAnsi" w:cstheme="majorHAnsi"/>
          <w:color w:val="000000"/>
        </w:rPr>
      </w:pPr>
    </w:p>
    <w:p w:rsidR="006A245B" w:rsidRPr="005F0F9C" w:rsidRDefault="006A245B" w:rsidP="006A245B">
      <w:pPr>
        <w:spacing w:before="57" w:after="57" w:line="276" w:lineRule="auto"/>
        <w:ind w:left="0" w:firstLine="0"/>
        <w:jc w:val="both"/>
        <w:rPr>
          <w:rFonts w:asciiTheme="majorHAnsi" w:hAnsiTheme="majorHAnsi" w:cstheme="majorHAnsi"/>
        </w:rPr>
      </w:pPr>
    </w:p>
    <w:p w:rsidR="0086700C" w:rsidRPr="005F0F9C" w:rsidRDefault="0086700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PŘEPRAVA A PŘEDÁNÍ PŘEDMĚTŮ</w:t>
      </w:r>
    </w:p>
    <w:p w:rsidR="0086700C" w:rsidRPr="005F0F9C" w:rsidRDefault="006A245B">
      <w:pPr>
        <w:widowControl w:val="0"/>
        <w:numPr>
          <w:ilvl w:val="0"/>
          <w:numId w:val="1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Půjčitel se s vypůjčitelem dohodl, že transport předmětu výpůjčky do a z místa vystavení, jež je současně místem předání a převzetí, zajistí půjčitel na své náklady.</w:t>
      </w:r>
    </w:p>
    <w:p w:rsidR="0086700C" w:rsidRPr="005F0F9C" w:rsidRDefault="006A245B">
      <w:pPr>
        <w:widowControl w:val="0"/>
        <w:numPr>
          <w:ilvl w:val="0"/>
          <w:numId w:val="1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Při předání předmětu výpůjčky mezi půjčitelem a vypůjčitelem a při zpětném převzetí předmětu výpůjčky mezi vypůjčitelem a půjčitelem bude vyhotoven písemný záznam (Příloha č. 2 Záznam o předání a převzetí půjčovaných předmětů).</w:t>
      </w:r>
    </w:p>
    <w:p w:rsidR="0086700C" w:rsidRPr="005F0F9C" w:rsidRDefault="006A245B">
      <w:pPr>
        <w:widowControl w:val="0"/>
        <w:numPr>
          <w:ilvl w:val="0"/>
          <w:numId w:val="1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highlight w:val="white"/>
        </w:rPr>
        <w:t xml:space="preserve">Půjčitel se s vypůjčitelem dohodl, že předání předmětů s inv. č. </w:t>
      </w:r>
      <w:r w:rsidRPr="005F0F9C">
        <w:rPr>
          <w:rFonts w:asciiTheme="majorHAnsi" w:eastAsia="Calibri" w:hAnsiTheme="majorHAnsi" w:cstheme="majorHAnsi"/>
          <w:b/>
          <w:highlight w:val="white"/>
        </w:rPr>
        <w:t xml:space="preserve">HB 5, HB 26, HB 29, </w:t>
      </w:r>
      <w:r w:rsidRPr="005F0F9C">
        <w:rPr>
          <w:rFonts w:asciiTheme="majorHAnsi" w:eastAsia="Calibri" w:hAnsiTheme="majorHAnsi" w:cstheme="majorHAnsi"/>
          <w:b/>
          <w:highlight w:val="white"/>
        </w:rPr>
        <w:br/>
        <w:t xml:space="preserve">HB 31, HB 39/a-h, HB 44, HB 55, HB 56, HB 70, HB 98, HB105/a-b, HB 140, HB 255b, </w:t>
      </w:r>
      <w:r w:rsidRPr="005F0F9C">
        <w:rPr>
          <w:rFonts w:asciiTheme="majorHAnsi" w:eastAsia="Calibri" w:hAnsiTheme="majorHAnsi" w:cstheme="majorHAnsi"/>
          <w:b/>
          <w:highlight w:val="white"/>
        </w:rPr>
        <w:br/>
        <w:t xml:space="preserve">HB 256, HB 257a, HB 648, HB 674, HB 681 a EB 1461, EB 1462, EB 1463, EB 1464, </w:t>
      </w:r>
      <w:r w:rsidRPr="005F0F9C">
        <w:rPr>
          <w:rFonts w:asciiTheme="majorHAnsi" w:eastAsia="Calibri" w:hAnsiTheme="majorHAnsi" w:cstheme="majorHAnsi"/>
          <w:b/>
          <w:highlight w:val="white"/>
        </w:rPr>
        <w:br/>
        <w:t>EB 1465, EB 1466 bude probíhat ve dvo</w:t>
      </w:r>
      <w:r w:rsidR="005F0F9C">
        <w:rPr>
          <w:rFonts w:asciiTheme="majorHAnsi" w:eastAsia="Calibri" w:hAnsiTheme="majorHAnsi" w:cstheme="majorHAnsi"/>
          <w:b/>
          <w:highlight w:val="white"/>
        </w:rPr>
        <w:t xml:space="preserve">u etapách. V první etapě budou </w:t>
      </w:r>
      <w:r w:rsidRPr="005F0F9C">
        <w:rPr>
          <w:rFonts w:asciiTheme="majorHAnsi" w:eastAsia="Calibri" w:hAnsiTheme="majorHAnsi" w:cstheme="majorHAnsi"/>
          <w:b/>
          <w:highlight w:val="white"/>
        </w:rPr>
        <w:t>do 30. 4. 2024 předány předměty s inv. č.</w:t>
      </w:r>
      <w:r w:rsidR="005F0F9C">
        <w:rPr>
          <w:rFonts w:asciiTheme="majorHAnsi" w:eastAsia="Calibri" w:hAnsiTheme="majorHAnsi" w:cstheme="majorHAnsi"/>
          <w:b/>
        </w:rPr>
        <w:t xml:space="preserve"> HB 39/a-h, HB 44. V</w:t>
      </w:r>
      <w:r w:rsidRPr="005F0F9C">
        <w:rPr>
          <w:rFonts w:asciiTheme="majorHAnsi" w:eastAsia="Calibri" w:hAnsiTheme="majorHAnsi" w:cstheme="majorHAnsi"/>
          <w:b/>
          <w:highlight w:val="white"/>
        </w:rPr>
        <w:t xml:space="preserve"> druhé etapě budou do 10. 6. 2024 předány všechny zbývající předměty výpůjčky </w:t>
      </w:r>
      <w:r w:rsidRPr="005F0F9C">
        <w:rPr>
          <w:rFonts w:asciiTheme="majorHAnsi" w:eastAsia="Calibri" w:hAnsiTheme="majorHAnsi" w:cstheme="majorHAnsi"/>
          <w:highlight w:val="white"/>
        </w:rPr>
        <w:t>(viz</w:t>
      </w:r>
      <w:r w:rsidRPr="005F0F9C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Pr="005F0F9C">
        <w:rPr>
          <w:rFonts w:asciiTheme="majorHAnsi" w:eastAsia="Calibri" w:hAnsiTheme="majorHAnsi" w:cstheme="majorHAnsi"/>
          <w:highlight w:val="white"/>
        </w:rPr>
        <w:t>Příloha č. 2 Záznam o předání a převzetí půjčovaných předmětů).</w:t>
      </w:r>
    </w:p>
    <w:p w:rsidR="0086700C" w:rsidRPr="005F0F9C" w:rsidRDefault="006A245B">
      <w:pPr>
        <w:widowControl w:val="0"/>
        <w:numPr>
          <w:ilvl w:val="0"/>
          <w:numId w:val="1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Výstavní prostory musí být připraveny a uklizeny před vybalováním předmětu výpůjčky, aby mohl být předmět výpůjčky přímo instalován na místo vystavení. Ve výjimečných případech, kdy z vážných důvodů není možno tuto podmínku splnit, musí mít vypůjčitel k dispozici vhodné prostory k přechodnému uložení předmětu výpůjčky.</w:t>
      </w:r>
    </w:p>
    <w:p w:rsidR="0086700C" w:rsidRPr="005F0F9C" w:rsidRDefault="006A245B">
      <w:pPr>
        <w:widowControl w:val="0"/>
        <w:numPr>
          <w:ilvl w:val="0"/>
          <w:numId w:val="1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Instalaci předmětů zajistí pověření pracovníci půjčite</w:t>
      </w:r>
      <w:r w:rsidR="005F0F9C">
        <w:rPr>
          <w:rFonts w:asciiTheme="majorHAnsi" w:eastAsia="Calibri" w:hAnsiTheme="majorHAnsi" w:cstheme="majorHAnsi"/>
          <w:color w:val="000000"/>
        </w:rPr>
        <w:t>le za přítomnosti a kooperace s </w:t>
      </w:r>
      <w:r w:rsidRPr="005F0F9C">
        <w:rPr>
          <w:rFonts w:asciiTheme="majorHAnsi" w:eastAsia="Calibri" w:hAnsiTheme="majorHAnsi" w:cstheme="majorHAnsi"/>
          <w:color w:val="000000"/>
        </w:rPr>
        <w:t>pověřenými pracovníky vypůjčitele.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 w:rsidP="005F0F9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BEZPEČNOSTNÍ, KLIMATICKÉ A SVĚTELNÉ PODMÍNKY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Na předmětech nebudou prováděny žádné změn</w:t>
      </w:r>
      <w:r w:rsidRPr="005F0F9C">
        <w:rPr>
          <w:rFonts w:asciiTheme="majorHAnsi" w:eastAsia="Calibri" w:hAnsiTheme="majorHAnsi" w:cstheme="majorHAnsi"/>
        </w:rPr>
        <w:t>y</w:t>
      </w:r>
      <w:r w:rsidRPr="005F0F9C">
        <w:rPr>
          <w:rFonts w:asciiTheme="majorHAnsi" w:eastAsia="Calibri" w:hAnsiTheme="majorHAnsi" w:cstheme="majorHAnsi"/>
          <w:color w:val="000000"/>
        </w:rPr>
        <w:t xml:space="preserve"> ani úpravy (s výjimkou těch, které byly během uzavírané výpůjčky sjednány – viz Příloha č. 2 Záznam o předání a převzetí).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Případné konzervační a restaurátorské zásahy na předmětech mohou být vypůjčitelem provedeny pouze po předchozím vyrozumění a souhlasu půjčitele.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Předměty budou umístěny v prostředí odpovídajícím jejich významu a stavu.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zabezpečí předměty tak, aby nedošlo k jejich poškození, zničení nebo ztrátě.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Všechny prostory, ve kterých budou vypůjčené předměty umístěny, musí mít stabilní klimatické podmínky v hodnotách: teplota 20°C ± 5°C, relativní vlhkost 50 % ± 8 %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Předmět, jehož materiálem je papír nebo jiné organické a citlivé materiály (textil, akvarely, pastely, kresby, fotografie apod.) nesmí být vystaven působení přímého slunečního světla, přičemž nepřímé denní světlo musí mít odstíněnou UV složku (např. UV filtrační fólie</w:t>
      </w:r>
      <w:r w:rsidRPr="005F0F9C">
        <w:rPr>
          <w:rFonts w:asciiTheme="majorHAnsi" w:eastAsia="Calibri" w:hAnsiTheme="majorHAnsi" w:cstheme="majorHAnsi"/>
          <w:color w:val="000000"/>
        </w:rPr>
        <w:br/>
        <w:t>v oknech). Umělé osvětlení musí být zajištěno světelnými zdroji s odstíněním UV složky.</w:t>
      </w:r>
    </w:p>
    <w:p w:rsidR="0086700C" w:rsidRPr="005F0F9C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Vypůjčitel je povinen zajistit, aby všechny prostory, kde budou předměty umístěny, byly zajištěny elektronickým zabezpečovacím systémem.</w:t>
      </w:r>
    </w:p>
    <w:p w:rsidR="0086700C" w:rsidRPr="006A245B" w:rsidRDefault="006A245B">
      <w:pPr>
        <w:numPr>
          <w:ilvl w:val="0"/>
          <w:numId w:val="2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lastRenderedPageBreak/>
        <w:t>Vypůjčitel je povinen po dobu výpůjčky umožnit pověřeným pracovníkům půjčitele inspekci předmětů, kontrolu klimatických a světelných podmínek, způsobu instalace a bezpečnostních opatření.</w:t>
      </w:r>
    </w:p>
    <w:p w:rsidR="006A245B" w:rsidRPr="005F0F9C" w:rsidRDefault="006A245B" w:rsidP="006A245B">
      <w:pPr>
        <w:spacing w:before="57" w:after="57" w:line="276" w:lineRule="auto"/>
        <w:ind w:left="0" w:firstLine="0"/>
        <w:jc w:val="both"/>
        <w:rPr>
          <w:rFonts w:asciiTheme="majorHAnsi" w:hAnsiTheme="majorHAnsi" w:cstheme="majorHAnsi"/>
        </w:rPr>
      </w:pPr>
    </w:p>
    <w:p w:rsidR="0086700C" w:rsidRPr="005F0F9C" w:rsidRDefault="0086700C">
      <w:pPr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LICENČNÍ UJEDNÁNÍ</w:t>
      </w:r>
    </w:p>
    <w:p w:rsidR="0086700C" w:rsidRPr="005F0F9C" w:rsidRDefault="006A245B">
      <w:pPr>
        <w:numPr>
          <w:ilvl w:val="0"/>
          <w:numId w:val="6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Půjčitel je nositelem autorských práv k předmětu výpůjčky a prohlašuje, že je oprávněn s těmito právy plně disponovat. Půjčitel touto smlouvou poskytuje vypůjčiteli nevýhradní právo (nevýhradní licenci) užít předmět výpůjčky v rozsahu a k účelu stanovenému v této smlouvě. Půjčitel se dále zavazuje zajistit řádné a nerušené užívání předmětu výpůjčky vypůjčitelem, včetně případného zajištění dalších souhlasů a licencí od autorů děl v souladu s autorským zákonem, popř. od vlastníků jiných práv duševního vlastnictví v souladu </w:t>
      </w:r>
      <w:r w:rsidRPr="005F0F9C">
        <w:rPr>
          <w:rFonts w:asciiTheme="majorHAnsi" w:eastAsia="Calibri" w:hAnsiTheme="majorHAnsi" w:cstheme="majorHAnsi"/>
          <w:color w:val="000000"/>
        </w:rPr>
        <w:br/>
        <w:t xml:space="preserve">s právními předpisy. Půjčitel se zavazuje, že vypůjčiteli uhradí veškeré náklady, výdaje, škody </w:t>
      </w:r>
      <w:r w:rsidRPr="005F0F9C">
        <w:rPr>
          <w:rFonts w:asciiTheme="majorHAnsi" w:eastAsia="Calibri" w:hAnsiTheme="majorHAnsi" w:cstheme="majorHAnsi"/>
          <w:color w:val="000000"/>
        </w:rPr>
        <w:br/>
        <w:t>a majetkovou i nemajetkovou újmu, které vypůjčiteli vzniknou v důsledku porušení povinností dle předchozí věty.</w:t>
      </w:r>
    </w:p>
    <w:p w:rsidR="0086700C" w:rsidRPr="005F0F9C" w:rsidRDefault="006A245B">
      <w:pPr>
        <w:numPr>
          <w:ilvl w:val="0"/>
          <w:numId w:val="6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Poskytnutí licence k výkonu práv užít předmět výpůjčky v uvedeném rozsahu dle této smlouvy sjednaly smluvní strany jako bezplatné.</w:t>
      </w:r>
    </w:p>
    <w:p w:rsidR="0086700C" w:rsidRPr="005F0F9C" w:rsidRDefault="0086700C">
      <w:pPr>
        <w:spacing w:before="57" w:after="57" w:line="276" w:lineRule="auto"/>
        <w:ind w:left="0" w:hanging="2"/>
        <w:rPr>
          <w:rFonts w:asciiTheme="majorHAnsi" w:eastAsia="Calibri" w:hAnsiTheme="majorHAnsi" w:cstheme="majorHAnsi"/>
        </w:rPr>
      </w:pPr>
    </w:p>
    <w:p w:rsidR="0086700C" w:rsidRPr="005F0F9C" w:rsidRDefault="0086700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ZVLÁŠTNÍ UJEDNÁNÍ</w:t>
      </w:r>
    </w:p>
    <w:p w:rsidR="0086700C" w:rsidRPr="005F0F9C" w:rsidRDefault="006A245B">
      <w:pPr>
        <w:numPr>
          <w:ilvl w:val="0"/>
          <w:numId w:val="5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Vypůjčitel je povinen umožnit půjčiteli provádění inventury vypůjčených předmětů </w:t>
      </w:r>
      <w:r w:rsidRPr="005F0F9C">
        <w:rPr>
          <w:rFonts w:asciiTheme="majorHAnsi" w:eastAsia="Calibri" w:hAnsiTheme="majorHAnsi" w:cstheme="majorHAnsi"/>
          <w:color w:val="000000"/>
        </w:rPr>
        <w:br/>
        <w:t>na základě písemného oznámení půjčitele doručeného vypůjčiteli alespoň 5 pracovních dnů předem. Vypůjčitel je oprávněn žádost půjčitele odmítnout v neodkladných záležitostech při plnění účelu této smlouvy. V takovém případě umožní vypůjčitel půjčiteli provedení inventury v nejbližším možném termínu sjednaném oběma smluvními stranami.</w:t>
      </w:r>
    </w:p>
    <w:p w:rsidR="0086700C" w:rsidRPr="005F0F9C" w:rsidRDefault="006A245B">
      <w:pPr>
        <w:numPr>
          <w:ilvl w:val="0"/>
          <w:numId w:val="5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Vypůjčitel je povinen ve všech tiskových materiálech a publikacích spojených s expozicí </w:t>
      </w:r>
      <w:r w:rsidRPr="005F0F9C">
        <w:rPr>
          <w:rFonts w:asciiTheme="majorHAnsi" w:eastAsia="Calibri" w:hAnsiTheme="majorHAnsi" w:cstheme="majorHAnsi"/>
          <w:color w:val="000000"/>
        </w:rPr>
        <w:br/>
        <w:t>a ve všech případných dalších informačních materiálech uvést, že expozice vznikla ve</w:t>
      </w:r>
      <w:r w:rsidR="00D07361">
        <w:rPr>
          <w:rFonts w:asciiTheme="majorHAnsi" w:eastAsia="Calibri" w:hAnsiTheme="majorHAnsi" w:cstheme="majorHAnsi"/>
          <w:color w:val="000000"/>
        </w:rPr>
        <w:t> </w:t>
      </w:r>
      <w:r w:rsidRPr="005F0F9C">
        <w:rPr>
          <w:rFonts w:asciiTheme="majorHAnsi" w:eastAsia="Calibri" w:hAnsiTheme="majorHAnsi" w:cstheme="majorHAnsi"/>
          <w:color w:val="000000"/>
        </w:rPr>
        <w:t>spolupráci s půjčitelem, a uvádět logo půjčitele. Logo dodá půjčitel.</w:t>
      </w:r>
    </w:p>
    <w:p w:rsidR="0086700C" w:rsidRPr="005F0F9C" w:rsidRDefault="006A245B">
      <w:pPr>
        <w:numPr>
          <w:ilvl w:val="0"/>
          <w:numId w:val="5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Bez souhlasu půjčitele nebudou předměty fotografovány, filmovány ani nebudou pořizovány kopie těchto předmětů. Toto ustanovení se netýká bezpečnostní dokumentace expozice a dále celkových záběrů expozice, které vypůjčitel (příp. média) použije k propagaci příslušné expozice či v přímé souvislosti s činností vlády České republiky a jejích orgánů. Vypůjčitel je oprávněn umožnit dalším osobám, zejména návštěvníkům expozice, pořizování celkových fotografických záběrů expozice, nikoli však ke komerčním účelům.  </w:t>
      </w:r>
    </w:p>
    <w:p w:rsidR="0086700C" w:rsidRPr="005F0F9C" w:rsidRDefault="006A245B">
      <w:pPr>
        <w:numPr>
          <w:ilvl w:val="0"/>
          <w:numId w:val="5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Vypůjčitel předá půjčiteli dva bezplatné výtisky všech tiskovin vydaných k expozic, </w:t>
      </w:r>
      <w:r w:rsidRPr="005F0F9C">
        <w:rPr>
          <w:rFonts w:asciiTheme="majorHAnsi" w:eastAsia="Calibri" w:hAnsiTheme="majorHAnsi" w:cstheme="majorHAnsi"/>
          <w:color w:val="000000"/>
        </w:rPr>
        <w:br/>
        <w:t>budou-li takové vydány, pro dokumentační účely HM.</w:t>
      </w:r>
    </w:p>
    <w:p w:rsidR="0086700C" w:rsidRPr="005F0F9C" w:rsidRDefault="0086700C">
      <w:pPr>
        <w:spacing w:before="57" w:after="57" w:line="276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:rsidR="0086700C" w:rsidRPr="005F0F9C" w:rsidRDefault="0086700C">
      <w:pPr>
        <w:spacing w:before="57" w:after="57" w:line="276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:rsidR="0086700C" w:rsidRPr="005F0F9C" w:rsidRDefault="0086700C">
      <w:pPr>
        <w:keepNext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keepNext/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ODSTOUPENÍ OD SMLOUVY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Před uplynutím doby uvedené v čl. II odst. 1 této smlouvy, je užívání předmětu výpůjčky možné ukončit:</w:t>
      </w:r>
    </w:p>
    <w:p w:rsidR="0086700C" w:rsidRPr="005F0F9C" w:rsidRDefault="006A245B">
      <w:pPr>
        <w:numPr>
          <w:ilvl w:val="0"/>
          <w:numId w:val="10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písemnou dohodou stran této smlouvy</w:t>
      </w:r>
    </w:p>
    <w:p w:rsidR="0086700C" w:rsidRPr="005F0F9C" w:rsidRDefault="006A245B">
      <w:pPr>
        <w:numPr>
          <w:ilvl w:val="0"/>
          <w:numId w:val="10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výpovědí dle odst. 2 a 3 tohoto článku.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Obě smluvní strany se dohodly, že každá ze stran může skončit tento užívací vztah výpovědí i bez udání důvodu s výpovědní dobou 6 měsíců počínající prvním dnem kalendářního měsíce následujícího po kalendářním měsíci, v němž byla výpověď doručena druhé straně. 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Tuto smlouvu lze vypovědět bez výpovědní doby z těchto důvodů:</w:t>
      </w:r>
    </w:p>
    <w:p w:rsidR="0086700C" w:rsidRPr="005F0F9C" w:rsidRDefault="006A245B">
      <w:p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Výpovědní důvody pro vypůjčitele:</w:t>
      </w:r>
    </w:p>
    <w:p w:rsidR="0086700C" w:rsidRPr="005F0F9C" w:rsidRDefault="006A245B">
      <w:pPr>
        <w:numPr>
          <w:ilvl w:val="0"/>
          <w:numId w:val="11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přestane-li být předmět výpůjčky z objektivních důvodů způsobilý k účelu, pro který je užíván nebo</w:t>
      </w:r>
    </w:p>
    <w:p w:rsidR="0086700C" w:rsidRPr="005F0F9C" w:rsidRDefault="006A245B">
      <w:pPr>
        <w:numPr>
          <w:ilvl w:val="0"/>
          <w:numId w:val="11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porušuje-li půjčitel hrubě své povinnosti vůči vypůjčiteli, a tím působí vypůjčiteli značnou újmu.</w:t>
      </w:r>
    </w:p>
    <w:p w:rsidR="0086700C" w:rsidRPr="005F0F9C" w:rsidRDefault="006A245B">
      <w:p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Výpovědní důvody pro půjčitele:</w:t>
      </w:r>
    </w:p>
    <w:p w:rsidR="0086700C" w:rsidRPr="005F0F9C" w:rsidRDefault="006A245B">
      <w:pPr>
        <w:numPr>
          <w:ilvl w:val="0"/>
          <w:numId w:val="14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porušuje-li vypůjčitel hrubě své povinnosti vůči půjčiteli, a to i přes to, že ho půjčitel vyzval k nápravě.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Po skončení užívání je vypůjčitel povinen vrátit předmět výpůjčky půjčiteli ve stavu, v jakém jej převzal, s přihlédnutím k běžnému opotřebení, případně povoleným úpravám či zásahům, a to ve lhůtě 30 kalendářních dnů ode dne ukončení práva k užívání předmětu výpůjčky. O faktickém předání a převzetí předmětu výpůjčky bude sepsán protokol předání </w:t>
      </w:r>
      <w:r w:rsidRPr="005F0F9C">
        <w:rPr>
          <w:rFonts w:asciiTheme="majorHAnsi" w:eastAsia="Calibri" w:hAnsiTheme="majorHAnsi" w:cstheme="majorHAnsi"/>
          <w:color w:val="000000"/>
        </w:rPr>
        <w:br/>
        <w:t>a převzetí. Ve kterém bude uveden stav vráceného předmětu výpůjčky a který podepíší pověřené osoby vypůjčitele a půjčitele.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Nepředá-li vypůjčitel při skončení užívání předmět výpůjčky ve lhůtě stanovené v odst. 4, zaplatí půjčiteli smluvní pokutu ve výši 1.500 Kč za každý započatý den prodlení.</w:t>
      </w:r>
    </w:p>
    <w:p w:rsidR="0086700C" w:rsidRPr="005F0F9C" w:rsidRDefault="006A245B">
      <w:pPr>
        <w:numPr>
          <w:ilvl w:val="0"/>
          <w:numId w:val="9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Smluvní pokuta je splatná do 30 dnů ode dne oznámení o uložení smluvní pokuty půjčitelem vypůjčiteli.</w:t>
      </w:r>
    </w:p>
    <w:p w:rsidR="0086700C" w:rsidRPr="005F0F9C" w:rsidRDefault="0086700C">
      <w:pPr>
        <w:widowControl w:val="0"/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widowControl w:val="0"/>
        <w:numPr>
          <w:ilvl w:val="0"/>
          <w:numId w:val="4"/>
        </w:numPr>
        <w:spacing w:before="57" w:after="57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spacing w:before="57" w:after="57" w:line="276" w:lineRule="auto"/>
        <w:ind w:left="0" w:hanging="2"/>
        <w:jc w:val="center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b/>
          <w:color w:val="000000"/>
        </w:rPr>
        <w:t>ZÁVĚREČNÁ USTANOVENÍ</w:t>
      </w:r>
    </w:p>
    <w:p w:rsidR="0086700C" w:rsidRPr="005F0F9C" w:rsidRDefault="006A245B">
      <w:pPr>
        <w:spacing w:before="57" w:after="57" w:line="276" w:lineRule="auto"/>
        <w:ind w:left="0" w:firstLine="0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Není-li touto smlouvou stanoveno jinak, řídí se práva a povinnosti smluvních stran příslušnými ustanoveními občanského zákoníku a zákona o majetku České republiky.</w:t>
      </w:r>
    </w:p>
    <w:p w:rsidR="0086700C" w:rsidRPr="005F0F9C" w:rsidRDefault="006A245B">
      <w:pPr>
        <w:numPr>
          <w:ilvl w:val="0"/>
          <w:numId w:val="7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Smlouvu je možno měnit či doplňovat pouze písemnými dodatky podepsanými oběma smluvními stranami.</w:t>
      </w:r>
    </w:p>
    <w:p w:rsidR="0086700C" w:rsidRPr="005F0F9C" w:rsidRDefault="006A245B">
      <w:pPr>
        <w:numPr>
          <w:ilvl w:val="0"/>
          <w:numId w:val="7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lastRenderedPageBreak/>
        <w:t xml:space="preserve"> </w:t>
      </w:r>
      <w:r w:rsidRPr="005F0F9C">
        <w:rPr>
          <w:rFonts w:asciiTheme="majorHAnsi" w:eastAsia="Calibri" w:hAnsiTheme="majorHAnsi" w:cstheme="majorHAnsi"/>
          <w:b/>
          <w:color w:val="000000"/>
        </w:rPr>
        <w:t>Tato smlouva ruší</w:t>
      </w:r>
      <w:r w:rsidRPr="005F0F9C">
        <w:rPr>
          <w:rFonts w:asciiTheme="majorHAnsi" w:eastAsia="Calibri" w:hAnsiTheme="majorHAnsi" w:cstheme="majorHAnsi"/>
          <w:color w:val="000000"/>
        </w:rPr>
        <w:t> a </w:t>
      </w:r>
      <w:r w:rsidRPr="005F0F9C">
        <w:rPr>
          <w:rFonts w:asciiTheme="majorHAnsi" w:eastAsia="Calibri" w:hAnsiTheme="majorHAnsi" w:cstheme="majorHAnsi"/>
          <w:b/>
          <w:color w:val="000000"/>
        </w:rPr>
        <w:t xml:space="preserve">nahrazuje smlouvu o výpůjčce č. 18/090-0 (HM11/2018/CES) mezi půjčitelem a vypůjčitelem ze dne 17. 7. 2018, přičemž předmět výpůjčky podle nahrazené smlouvy je v celém rozsahu součástí předmětu výpůjčky podle této smlouvy (vedle předmětů dle čl. IV odst. 3 této smlouvy) a současně se nachází v místě vystavení. Při převzetí nově doplňovaného souboru předmětů dle čl. IV odst. 3 této smlouvy vypůjčitelem bude za přítomnosti pověřených pracovníků půjčitele a vypůjčitele provedena </w:t>
      </w:r>
      <w:r w:rsidRPr="005F0F9C">
        <w:rPr>
          <w:rFonts w:asciiTheme="majorHAnsi" w:eastAsia="Calibri" w:hAnsiTheme="majorHAnsi" w:cstheme="majorHAnsi"/>
          <w:b/>
        </w:rPr>
        <w:t xml:space="preserve">kontrola </w:t>
      </w:r>
      <w:r w:rsidRPr="005F0F9C">
        <w:rPr>
          <w:rFonts w:asciiTheme="majorHAnsi" w:eastAsia="Calibri" w:hAnsiTheme="majorHAnsi" w:cstheme="majorHAnsi"/>
          <w:b/>
          <w:color w:val="000000"/>
        </w:rPr>
        <w:t>předmětu výpůjčky podle této smlouvy, o jejímž výsledku bude proveden písemný záznam.</w:t>
      </w:r>
    </w:p>
    <w:p w:rsidR="0086700C" w:rsidRPr="005F0F9C" w:rsidRDefault="006A245B">
      <w:pPr>
        <w:numPr>
          <w:ilvl w:val="0"/>
          <w:numId w:val="7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Tato smlouva nabývá platnosti dnem podpisu oběma smluvními stranami a účinnosti dnem uveřejnění v registru smluv podle zákona č. 340/2015 Sb., přičemž uveřejnění zajistí bez zbytečného odkladu v zákonné lhůtě vypůjčitel.</w:t>
      </w:r>
    </w:p>
    <w:p w:rsidR="0086700C" w:rsidRPr="005F0F9C" w:rsidRDefault="006A245B">
      <w:pPr>
        <w:numPr>
          <w:ilvl w:val="0"/>
          <w:numId w:val="7"/>
        </w:numPr>
        <w:spacing w:before="57" w:after="57" w:line="276" w:lineRule="auto"/>
        <w:ind w:left="0" w:hanging="2"/>
        <w:jc w:val="both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Smluvní strany prohlašují, že si text smlouvy přečetly, s jejím obsahem bezvýhradně souhlasí a na důkaz toho připojují své elektronické podpisy. Každá smluvní strana je oprávněna si vytisknout svůj podepsaný exemplář smlouvy, který má platnost originálu.</w:t>
      </w:r>
    </w:p>
    <w:p w:rsidR="0086700C" w:rsidRPr="005F0F9C" w:rsidRDefault="0086700C" w:rsidP="005F0F9C">
      <w:pPr>
        <w:spacing w:before="57" w:after="57" w:line="276" w:lineRule="auto"/>
        <w:ind w:left="0" w:firstLine="0"/>
        <w:jc w:val="both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spacing w:before="57" w:after="57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 xml:space="preserve">  V Táboře dne</w:t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>29.04.2024</w:t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r w:rsidR="00951E0F">
        <w:rPr>
          <w:rFonts w:asciiTheme="majorHAnsi" w:eastAsia="Calibri" w:hAnsiTheme="majorHAnsi" w:cstheme="majorHAnsi"/>
          <w:color w:val="000000"/>
        </w:rPr>
        <w:tab/>
      </w:r>
      <w:bookmarkStart w:id="0" w:name="_GoBack"/>
      <w:bookmarkEnd w:id="0"/>
      <w:r w:rsidRPr="005F0F9C">
        <w:rPr>
          <w:rFonts w:asciiTheme="majorHAnsi" w:eastAsia="Calibri" w:hAnsiTheme="majorHAnsi" w:cstheme="majorHAnsi"/>
          <w:color w:val="000000"/>
        </w:rPr>
        <w:t xml:space="preserve">V Praze dne </w:t>
      </w:r>
      <w:r w:rsidR="00951E0F">
        <w:rPr>
          <w:rFonts w:asciiTheme="majorHAnsi" w:eastAsia="Calibri" w:hAnsiTheme="majorHAnsi" w:cstheme="majorHAnsi"/>
          <w:color w:val="000000"/>
        </w:rPr>
        <w:t>29.04.2024</w:t>
      </w:r>
    </w:p>
    <w:p w:rsidR="0086700C" w:rsidRPr="005F0F9C" w:rsidRDefault="0086700C">
      <w:pPr>
        <w:spacing w:before="57" w:after="57" w:line="276" w:lineRule="auto"/>
        <w:ind w:left="0" w:hanging="2"/>
        <w:rPr>
          <w:rFonts w:asciiTheme="majorHAnsi" w:eastAsia="Calibri" w:hAnsiTheme="majorHAnsi" w:cstheme="majorHAnsi"/>
        </w:rPr>
      </w:pPr>
    </w:p>
    <w:p w:rsidR="0086700C" w:rsidRDefault="0086700C">
      <w:pPr>
        <w:spacing w:before="57" w:after="57" w:line="276" w:lineRule="auto"/>
        <w:ind w:left="0" w:hanging="2"/>
        <w:rPr>
          <w:rFonts w:asciiTheme="majorHAnsi" w:eastAsia="Calibri" w:hAnsiTheme="majorHAnsi" w:cstheme="majorHAnsi"/>
        </w:rPr>
      </w:pPr>
    </w:p>
    <w:p w:rsidR="006A245B" w:rsidRDefault="006A245B">
      <w:pPr>
        <w:spacing w:before="57" w:after="57" w:line="276" w:lineRule="auto"/>
        <w:ind w:left="0" w:hanging="2"/>
        <w:rPr>
          <w:rFonts w:asciiTheme="majorHAnsi" w:eastAsia="Calibri" w:hAnsiTheme="majorHAnsi" w:cstheme="majorHAnsi"/>
        </w:rPr>
      </w:pPr>
    </w:p>
    <w:p w:rsidR="006A245B" w:rsidRPr="005F0F9C" w:rsidRDefault="006A245B">
      <w:pPr>
        <w:spacing w:before="57" w:after="57" w:line="276" w:lineRule="auto"/>
        <w:ind w:left="0" w:hanging="2"/>
        <w:rPr>
          <w:rFonts w:asciiTheme="majorHAnsi" w:eastAsia="Calibri" w:hAnsiTheme="majorHAnsi" w:cstheme="majorHAnsi"/>
        </w:rPr>
      </w:pPr>
    </w:p>
    <w:p w:rsidR="0086700C" w:rsidRPr="005F0F9C" w:rsidRDefault="006A245B">
      <w:pPr>
        <w:spacing w:before="57" w:after="57" w:line="276" w:lineRule="auto"/>
        <w:ind w:left="2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__________________________</w:t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ab/>
        <w:t>________________________</w:t>
      </w:r>
      <w:r w:rsidRP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b/>
          <w:color w:val="000000"/>
        </w:rPr>
        <w:t>Mgr. Jakub Smrčka, Th.D</w:t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</w:rPr>
        <w:tab/>
      </w:r>
      <w:r w:rsidRPr="005F0F9C">
        <w:rPr>
          <w:rFonts w:asciiTheme="majorHAnsi" w:eastAsia="Calibri" w:hAnsiTheme="majorHAnsi" w:cstheme="majorHAnsi"/>
          <w:b/>
          <w:color w:val="000000"/>
        </w:rPr>
        <w:t>Ing. Ivana Hošťálková</w:t>
      </w:r>
    </w:p>
    <w:p w:rsidR="0086700C" w:rsidRPr="005F0F9C" w:rsidRDefault="006A245B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ředitel H</w:t>
      </w:r>
      <w:r w:rsidR="005F0F9C">
        <w:rPr>
          <w:rFonts w:asciiTheme="majorHAnsi" w:eastAsia="Calibri" w:hAnsiTheme="majorHAnsi" w:cstheme="majorHAnsi"/>
          <w:color w:val="000000"/>
        </w:rPr>
        <w:t>usitského muzea v Táboře</w:t>
      </w:r>
      <w:r w:rsidR="005F0F9C">
        <w:rPr>
          <w:rFonts w:asciiTheme="majorHAnsi" w:eastAsia="Calibri" w:hAnsiTheme="majorHAnsi" w:cstheme="majorHAnsi"/>
          <w:color w:val="000000"/>
        </w:rPr>
        <w:tab/>
      </w:r>
      <w:r w:rsidRPr="005F0F9C">
        <w:rPr>
          <w:rFonts w:asciiTheme="majorHAnsi" w:eastAsia="Calibri" w:hAnsiTheme="majorHAnsi" w:cstheme="majorHAnsi"/>
          <w:color w:val="000000"/>
        </w:rPr>
        <w:t>ředitelka Odboru majetku a služeb</w:t>
      </w:r>
    </w:p>
    <w:p w:rsidR="0086700C" w:rsidRPr="005F0F9C" w:rsidRDefault="0086700C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86700C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86700C" w:rsidRPr="005F0F9C" w:rsidRDefault="006A245B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Příloha č. 1 – Seznam vypůjčených exponátů</w:t>
      </w:r>
    </w:p>
    <w:p w:rsidR="0086700C" w:rsidRPr="005F0F9C" w:rsidRDefault="006A245B">
      <w:pPr>
        <w:widowControl w:val="0"/>
        <w:tabs>
          <w:tab w:val="center" w:pos="2268"/>
          <w:tab w:val="center" w:pos="7230"/>
        </w:tabs>
        <w:spacing w:before="57" w:after="57" w:line="276" w:lineRule="auto"/>
        <w:ind w:left="0" w:hanging="2"/>
        <w:rPr>
          <w:rFonts w:asciiTheme="majorHAnsi" w:hAnsiTheme="majorHAnsi" w:cstheme="majorHAnsi"/>
        </w:rPr>
      </w:pPr>
      <w:r w:rsidRPr="005F0F9C">
        <w:rPr>
          <w:rFonts w:asciiTheme="majorHAnsi" w:eastAsia="Calibri" w:hAnsiTheme="majorHAnsi" w:cstheme="majorHAnsi"/>
          <w:color w:val="000000"/>
        </w:rPr>
        <w:t>Příloha č. 2 – Záznam o předání a převzetí</w:t>
      </w:r>
    </w:p>
    <w:sectPr w:rsidR="0086700C" w:rsidRPr="005F0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B5" w:rsidRDefault="001109B5">
      <w:pPr>
        <w:spacing w:line="240" w:lineRule="auto"/>
      </w:pPr>
      <w:r>
        <w:separator/>
      </w:r>
    </w:p>
  </w:endnote>
  <w:endnote w:type="continuationSeparator" w:id="0">
    <w:p w:rsidR="001109B5" w:rsidRDefault="0011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C" w:rsidRDefault="00867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C" w:rsidRDefault="006A245B">
    <w:pP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hAnsi="Calibri"/>
        <w:color w:val="000000"/>
        <w:sz w:val="20"/>
        <w:szCs w:val="20"/>
      </w:rPr>
      <w:instrText xml:space="preserve"> PAGE </w:instrText>
    </w:r>
    <w:r>
      <w:rPr>
        <w:rFonts w:ascii="Calibri" w:hAnsi="Calibri"/>
        <w:color w:val="000000"/>
        <w:sz w:val="20"/>
        <w:szCs w:val="20"/>
      </w:rPr>
      <w:fldChar w:fldCharType="separate"/>
    </w:r>
    <w:r w:rsidR="00951E0F">
      <w:rPr>
        <w:rFonts w:ascii="Calibri" w:hAnsi="Calibri"/>
        <w:noProof/>
        <w:color w:val="000000"/>
        <w:sz w:val="20"/>
        <w:szCs w:val="20"/>
      </w:rPr>
      <w:t>3</w:t>
    </w:r>
    <w:r>
      <w:rPr>
        <w:rFonts w:ascii="Calibri" w:hAnsi="Calibri"/>
        <w:color w:val="000000"/>
        <w:sz w:val="20"/>
        <w:szCs w:val="20"/>
      </w:rPr>
      <w:fldChar w:fldCharType="end"/>
    </w:r>
    <w:r>
      <w:rPr>
        <w:rFonts w:ascii="Calibri" w:hAnsi="Calibri"/>
        <w:color w:val="000000"/>
        <w:sz w:val="20"/>
        <w:szCs w:val="20"/>
      </w:rPr>
      <w:t>/</w:t>
    </w: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hAnsi="Calibri"/>
        <w:color w:val="000000"/>
        <w:sz w:val="20"/>
        <w:szCs w:val="20"/>
      </w:rPr>
      <w:instrText xml:space="preserve"> NUMPAGES </w:instrText>
    </w:r>
    <w:r>
      <w:rPr>
        <w:rFonts w:ascii="Calibri" w:hAnsi="Calibri"/>
        <w:color w:val="000000"/>
        <w:sz w:val="20"/>
        <w:szCs w:val="20"/>
      </w:rPr>
      <w:fldChar w:fldCharType="separate"/>
    </w:r>
    <w:r w:rsidR="00951E0F">
      <w:rPr>
        <w:rFonts w:ascii="Calibri" w:hAnsi="Calibri"/>
        <w:noProof/>
        <w:color w:val="000000"/>
        <w:sz w:val="20"/>
        <w:szCs w:val="20"/>
      </w:rPr>
      <w:t>6</w:t>
    </w:r>
    <w:r>
      <w:rPr>
        <w:rFonts w:ascii="Calibri" w:hAnsi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FOOTER_Výchozí_styl_stránk"/>
  <w:p w:rsidR="0086700C" w:rsidRDefault="006A245B">
    <w:pP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hAnsi="Calibri"/>
        <w:color w:val="000000"/>
        <w:sz w:val="20"/>
        <w:szCs w:val="20"/>
      </w:rPr>
      <w:instrText xml:space="preserve"> PAGE </w:instrText>
    </w:r>
    <w:r>
      <w:rPr>
        <w:rFonts w:ascii="Calibri" w:hAnsi="Calibri"/>
        <w:color w:val="000000"/>
        <w:sz w:val="20"/>
        <w:szCs w:val="20"/>
      </w:rPr>
      <w:fldChar w:fldCharType="separate"/>
    </w:r>
    <w:r>
      <w:rPr>
        <w:rFonts w:ascii="Calibri" w:hAnsi="Calibri"/>
        <w:color w:val="000000"/>
        <w:sz w:val="20"/>
        <w:szCs w:val="20"/>
      </w:rPr>
      <w:t>4</w:t>
    </w:r>
    <w:r>
      <w:rPr>
        <w:rFonts w:ascii="Calibri" w:hAnsi="Calibri"/>
        <w:color w:val="000000"/>
        <w:sz w:val="20"/>
        <w:szCs w:val="20"/>
      </w:rPr>
      <w:fldChar w:fldCharType="end"/>
    </w:r>
    <w:bookmarkEnd w:id="1"/>
    <w:r>
      <w:rPr>
        <w:rFonts w:ascii="Calibri" w:hAnsi="Calibri"/>
        <w:color w:val="000000"/>
        <w:sz w:val="20"/>
        <w:szCs w:val="20"/>
      </w:rPr>
      <w:t>/</w:t>
    </w:r>
    <w:r>
      <w:rPr>
        <w:rFonts w:ascii="Calibri" w:hAnsi="Calibri"/>
        <w:color w:val="000000"/>
        <w:sz w:val="20"/>
        <w:szCs w:val="20"/>
      </w:rPr>
      <w:fldChar w:fldCharType="begin"/>
    </w:r>
    <w:r>
      <w:rPr>
        <w:rFonts w:ascii="Calibri" w:hAnsi="Calibri"/>
        <w:color w:val="000000"/>
        <w:sz w:val="20"/>
        <w:szCs w:val="20"/>
      </w:rPr>
      <w:instrText xml:space="preserve"> NUMPAGES </w:instrText>
    </w:r>
    <w:r>
      <w:rPr>
        <w:rFonts w:ascii="Calibri" w:hAnsi="Calibri"/>
        <w:color w:val="000000"/>
        <w:sz w:val="20"/>
        <w:szCs w:val="20"/>
      </w:rPr>
      <w:fldChar w:fldCharType="separate"/>
    </w:r>
    <w:r>
      <w:rPr>
        <w:rFonts w:ascii="Calibri" w:hAnsi="Calibri"/>
        <w:color w:val="000000"/>
        <w:sz w:val="20"/>
        <w:szCs w:val="20"/>
      </w:rPr>
      <w:t>6</w:t>
    </w:r>
    <w:r>
      <w:rPr>
        <w:rFonts w:ascii="Calibri" w:hAnsi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B5" w:rsidRDefault="001109B5">
      <w:pPr>
        <w:spacing w:line="240" w:lineRule="auto"/>
      </w:pPr>
      <w:r>
        <w:separator/>
      </w:r>
    </w:p>
  </w:footnote>
  <w:footnote w:type="continuationSeparator" w:id="0">
    <w:p w:rsidR="001109B5" w:rsidRDefault="00110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C" w:rsidRDefault="00867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C" w:rsidRDefault="0086700C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0C" w:rsidRDefault="0086700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035"/>
    <w:multiLevelType w:val="multilevel"/>
    <w:tmpl w:val="0ED6A28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C111BF3"/>
    <w:multiLevelType w:val="multilevel"/>
    <w:tmpl w:val="32DCA0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0233AA1"/>
    <w:multiLevelType w:val="multilevel"/>
    <w:tmpl w:val="83A27CE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2E1E7EB0"/>
    <w:multiLevelType w:val="multilevel"/>
    <w:tmpl w:val="0E808778"/>
    <w:lvl w:ilvl="0">
      <w:start w:val="1"/>
      <w:numFmt w:val="decimal"/>
      <w:lvlText w:val="%1."/>
      <w:lvlJc w:val="left"/>
      <w:pPr>
        <w:tabs>
          <w:tab w:val="num" w:pos="0"/>
        </w:tabs>
        <w:ind w:left="-1055" w:hanging="360"/>
      </w:pPr>
      <w:rPr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-1415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2EF77D12"/>
    <w:multiLevelType w:val="multilevel"/>
    <w:tmpl w:val="9E5E25A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39FD5315"/>
    <w:multiLevelType w:val="multilevel"/>
    <w:tmpl w:val="3AD2DE9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3A981DF4"/>
    <w:multiLevelType w:val="multilevel"/>
    <w:tmpl w:val="A15AA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465E5344"/>
    <w:multiLevelType w:val="multilevel"/>
    <w:tmpl w:val="CCE85A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6737B13"/>
    <w:multiLevelType w:val="multilevel"/>
    <w:tmpl w:val="A60CC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F23483"/>
    <w:multiLevelType w:val="multilevel"/>
    <w:tmpl w:val="FEAA50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53E1376F"/>
    <w:multiLevelType w:val="multilevel"/>
    <w:tmpl w:val="D562A9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58352242"/>
    <w:multiLevelType w:val="multilevel"/>
    <w:tmpl w:val="D556D7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598F12E1"/>
    <w:multiLevelType w:val="multilevel"/>
    <w:tmpl w:val="52643F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3" w15:restartNumberingAfterBreak="0">
    <w:nsid w:val="60FD170B"/>
    <w:multiLevelType w:val="multilevel"/>
    <w:tmpl w:val="A3E4E5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78B0414D"/>
    <w:multiLevelType w:val="multilevel"/>
    <w:tmpl w:val="7ED09A18"/>
    <w:lvl w:ilvl="0">
      <w:start w:val="1"/>
      <w:numFmt w:val="decimal"/>
      <w:pStyle w:val="Nadpis1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position w:val="0"/>
        <w:sz w:val="24"/>
        <w:vertAlign w:val="baseline"/>
      </w:rPr>
    </w:lvl>
    <w:lvl w:ilvl="1">
      <w:start w:val="1"/>
      <w:numFmt w:val="bullet"/>
      <w:pStyle w:val="Nadpis2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pStyle w:val="Nadpis4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C"/>
    <w:rsid w:val="001109B5"/>
    <w:rsid w:val="005F0F9C"/>
    <w:rsid w:val="006A245B"/>
    <w:rsid w:val="007B3960"/>
    <w:rsid w:val="0086700C"/>
    <w:rsid w:val="00951E0F"/>
    <w:rsid w:val="009D07FA"/>
    <w:rsid w:val="00D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70E3"/>
  <w15:docId w15:val="{27BB91B7-FF2E-419A-9C45-48C8627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720"/>
      </w:tabs>
      <w:ind w:firstLine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pBdr>
        <w:bottom w:val="single" w:sz="4" w:space="1" w:color="000000"/>
      </w:pBdr>
      <w:ind w:left="-1" w:hanging="1"/>
      <w:jc w:val="both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b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b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b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Pr>
      <w:b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6z0">
    <w:name w:val="WW8Num16z0"/>
    <w:qFormat/>
    <w:rPr>
      <w:b w:val="0"/>
      <w:w w:val="100"/>
      <w:position w:val="0"/>
      <w:sz w:val="20"/>
      <w:effect w:val="none"/>
      <w:vertAlign w:val="baseline"/>
      <w:em w:val="none"/>
    </w:rPr>
  </w:style>
  <w:style w:type="character" w:customStyle="1" w:styleId="Standardnpsmoodstavce1">
    <w:name w:val="Standardní písmo odstavce1"/>
    <w:qFormat/>
    <w:rPr>
      <w:w w:val="100"/>
      <w:position w:val="0"/>
      <w:sz w:val="20"/>
      <w:effect w:val="none"/>
      <w:vertAlign w:val="baseline"/>
      <w:em w:val="none"/>
    </w:rPr>
  </w:style>
  <w:style w:type="character" w:styleId="slostrnky">
    <w:name w:val="page number"/>
    <w:basedOn w:val="Standardnpsmoodstavce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dpis2Char">
    <w:name w:val="Nadpis 2 Char"/>
    <w:qFormat/>
    <w:rPr>
      <w:b/>
      <w:bCs/>
      <w:w w:val="100"/>
      <w:position w:val="0"/>
      <w:sz w:val="22"/>
      <w:szCs w:val="24"/>
      <w:effect w:val="none"/>
      <w:vertAlign w:val="baseline"/>
      <w:em w:val="none"/>
    </w:rPr>
  </w:style>
  <w:style w:type="character" w:customStyle="1" w:styleId="st">
    <w:name w:val="s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bublinyChar">
    <w:name w:val="Text bubliny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02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0232E"/>
    <w:rPr>
      <w:vertAlign w:val="subscript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0232E"/>
    <w:rPr>
      <w:b/>
      <w:bCs/>
      <w:vertAlign w:val="subscript"/>
      <w:lang w:eastAsia="zh-CN"/>
    </w:rPr>
  </w:style>
  <w:style w:type="character" w:customStyle="1" w:styleId="OdstavecseseznamemChar">
    <w:name w:val="Odstavec se seznamem Char"/>
    <w:link w:val="Odstavecseseznamem"/>
    <w:uiPriority w:val="34"/>
    <w:qFormat/>
    <w:rsid w:val="00D91A8A"/>
    <w:rPr>
      <w:rFonts w:ascii="Calibri" w:eastAsia="Calibri" w:hAnsi="Calibri"/>
      <w:sz w:val="22"/>
      <w:szCs w:val="22"/>
      <w:vertAlign w:val="subscript"/>
      <w:lang w:eastAsia="zh-CN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widowControl w:val="0"/>
      <w:jc w:val="center"/>
    </w:pPr>
    <w:rPr>
      <w:b/>
      <w:bCs/>
      <w:spacing w:val="24"/>
      <w:sz w:val="36"/>
    </w:rPr>
  </w:style>
  <w:style w:type="paragraph" w:styleId="Zkladntext">
    <w:name w:val="Body Text"/>
    <w:basedOn w:val="Normln"/>
    <w:pPr>
      <w:widowControl w:val="0"/>
      <w:jc w:val="both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kladntext31">
    <w:name w:val="Základní text 31"/>
    <w:basedOn w:val="Normln"/>
    <w:qFormat/>
    <w:pPr>
      <w:widowControl w:val="0"/>
      <w:tabs>
        <w:tab w:val="left" w:pos="5954"/>
      </w:tabs>
    </w:pPr>
    <w:rPr>
      <w:b/>
      <w:b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qFormat/>
    <w:pPr>
      <w:widowControl w:val="0"/>
      <w:tabs>
        <w:tab w:val="left" w:pos="284"/>
      </w:tabs>
      <w:ind w:left="284" w:hanging="284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qFormat/>
    <w:rPr>
      <w:sz w:val="22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Obsahrmce">
    <w:name w:val="Obsah rámce"/>
    <w:basedOn w:val="Normln"/>
    <w:qFormat/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0232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0232E"/>
    <w:rPr>
      <w:b/>
      <w:bCs/>
    </w:rPr>
  </w:style>
  <w:style w:type="paragraph" w:customStyle="1" w:styleId="Koment">
    <w:name w:val="Komentář"/>
    <w:basedOn w:val="Normln"/>
    <w:qFormat/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R9eNh5OezC0qwsnZtEQYpGgo0A==">CgMxLjA4AHIhMUlsa1RRenM0aGJkWmtWbk4zTlNmRWRFYS1PbVRoXzg0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C96BF0-ED7D-4CC4-B34D-9DD4B4C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Abazid</dc:creator>
  <dc:description/>
  <cp:lastModifiedBy>Filjo Jana</cp:lastModifiedBy>
  <cp:revision>2</cp:revision>
  <dcterms:created xsi:type="dcterms:W3CDTF">2024-04-29T09:58:00Z</dcterms:created>
  <dcterms:modified xsi:type="dcterms:W3CDTF">2024-04-29T09:58:00Z</dcterms:modified>
  <dc:language>cs-CZ</dc:language>
</cp:coreProperties>
</file>