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94" w:rsidRPr="00E3046D" w:rsidRDefault="00822494" w:rsidP="003E68FA">
      <w:pPr>
        <w:jc w:val="center"/>
        <w:rPr>
          <w:b/>
          <w:sz w:val="28"/>
          <w:szCs w:val="28"/>
        </w:rPr>
      </w:pPr>
      <w:r w:rsidRPr="00E3046D">
        <w:rPr>
          <w:b/>
          <w:sz w:val="28"/>
          <w:szCs w:val="28"/>
        </w:rPr>
        <w:t>Smlouva o poskytnutí dotace</w:t>
      </w:r>
    </w:p>
    <w:p w:rsidR="00822494" w:rsidRPr="00E3046D" w:rsidRDefault="00822494" w:rsidP="003E68FA">
      <w:pPr>
        <w:jc w:val="center"/>
        <w:rPr>
          <w:b/>
          <w:sz w:val="28"/>
          <w:szCs w:val="28"/>
        </w:rPr>
      </w:pPr>
      <w:r w:rsidRPr="00E3046D">
        <w:rPr>
          <w:b/>
          <w:sz w:val="28"/>
          <w:szCs w:val="28"/>
        </w:rPr>
        <w:t>č.</w:t>
      </w:r>
      <w:r w:rsidR="00721684">
        <w:rPr>
          <w:b/>
          <w:sz w:val="28"/>
          <w:szCs w:val="28"/>
        </w:rPr>
        <w:t xml:space="preserve"> </w:t>
      </w:r>
      <w:r w:rsidR="00833770">
        <w:rPr>
          <w:b/>
          <w:sz w:val="28"/>
          <w:szCs w:val="28"/>
        </w:rPr>
        <w:t>27</w:t>
      </w:r>
      <w:r w:rsidR="00721684">
        <w:rPr>
          <w:b/>
          <w:sz w:val="28"/>
          <w:szCs w:val="28"/>
        </w:rPr>
        <w:t>/20</w:t>
      </w:r>
      <w:r w:rsidR="001A5DF5">
        <w:rPr>
          <w:b/>
          <w:sz w:val="28"/>
          <w:szCs w:val="28"/>
        </w:rPr>
        <w:t>2</w:t>
      </w:r>
      <w:r w:rsidR="00833770">
        <w:rPr>
          <w:b/>
          <w:sz w:val="28"/>
          <w:szCs w:val="28"/>
        </w:rPr>
        <w:t>4</w:t>
      </w:r>
    </w:p>
    <w:p w:rsidR="00822494" w:rsidRDefault="00822494" w:rsidP="004C2A26">
      <w:pPr>
        <w:jc w:val="both"/>
      </w:pPr>
      <w:r>
        <w:t xml:space="preserve">uzavřená v souladu s § 159 a násl. </w:t>
      </w:r>
      <w:r w:rsidR="00E3046D">
        <w:t>z</w:t>
      </w:r>
      <w:r>
        <w:t>ákona č. 500/2004</w:t>
      </w:r>
      <w:r w:rsidR="00D04CEE">
        <w:t xml:space="preserve"> Sb.</w:t>
      </w:r>
      <w:r>
        <w:t>, správní řád, ve znění pozdějších právních předpisů, a se zákonem č. 250/2000 Sb., o rozpočtových pravidle</w:t>
      </w:r>
      <w:r w:rsidR="00E3046D">
        <w:t>ch</w:t>
      </w:r>
      <w:r>
        <w:t xml:space="preserve"> územních rozpočtů, ve znění pozdějších právních předpisů</w:t>
      </w:r>
    </w:p>
    <w:p w:rsidR="00822494" w:rsidRPr="00E3046D" w:rsidRDefault="00822494" w:rsidP="004C2A26">
      <w:pPr>
        <w:spacing w:after="0" w:line="240" w:lineRule="auto"/>
        <w:jc w:val="both"/>
        <w:rPr>
          <w:b/>
        </w:rPr>
      </w:pPr>
      <w:r w:rsidRPr="00E3046D">
        <w:rPr>
          <w:b/>
        </w:rPr>
        <w:t>Město Javorník</w:t>
      </w:r>
    </w:p>
    <w:p w:rsidR="00822494" w:rsidRDefault="00B30998" w:rsidP="004C2A26">
      <w:pPr>
        <w:spacing w:after="0" w:line="240" w:lineRule="auto"/>
        <w:jc w:val="both"/>
      </w:pPr>
      <w:r>
        <w:t>Sídlo: n</w:t>
      </w:r>
      <w:r w:rsidR="00822494">
        <w:t>ám. Svobody 134, 790 70 Javorník</w:t>
      </w:r>
    </w:p>
    <w:p w:rsidR="00822494" w:rsidRDefault="00822494" w:rsidP="004C2A26">
      <w:pPr>
        <w:spacing w:after="0" w:line="240" w:lineRule="auto"/>
        <w:jc w:val="both"/>
      </w:pPr>
      <w:r>
        <w:t>IČ: 00302708</w:t>
      </w:r>
    </w:p>
    <w:p w:rsidR="00822494" w:rsidRDefault="00822494" w:rsidP="004C2A26">
      <w:pPr>
        <w:spacing w:after="0" w:line="240" w:lineRule="auto"/>
        <w:jc w:val="both"/>
      </w:pPr>
      <w:r>
        <w:t>DIČ: CZ00302708</w:t>
      </w:r>
    </w:p>
    <w:p w:rsidR="00822494" w:rsidRDefault="00822494" w:rsidP="004C2A26">
      <w:pPr>
        <w:spacing w:after="0" w:line="240" w:lineRule="auto"/>
        <w:jc w:val="both"/>
      </w:pPr>
      <w:r>
        <w:t xml:space="preserve">Zastoupené: </w:t>
      </w:r>
      <w:r w:rsidR="00C965B3">
        <w:t>xxxxxxxxx</w:t>
      </w:r>
    </w:p>
    <w:p w:rsidR="00822494" w:rsidRDefault="00822494" w:rsidP="004C2A26">
      <w:pPr>
        <w:spacing w:after="0" w:line="240" w:lineRule="auto"/>
        <w:jc w:val="both"/>
      </w:pPr>
      <w:r>
        <w:t xml:space="preserve">Bankovní spojení: </w:t>
      </w:r>
      <w:r w:rsidR="00C965B3">
        <w:t>xxxxxxxxxxxxxxxx</w:t>
      </w:r>
    </w:p>
    <w:p w:rsidR="00822494" w:rsidRDefault="00822494" w:rsidP="004C2A26">
      <w:pPr>
        <w:spacing w:after="0" w:line="240" w:lineRule="auto"/>
        <w:jc w:val="both"/>
      </w:pPr>
      <w:r>
        <w:t xml:space="preserve">(dále jen </w:t>
      </w:r>
      <w:r w:rsidR="00E3046D">
        <w:t>„</w:t>
      </w:r>
      <w:r w:rsidRPr="00E3046D">
        <w:rPr>
          <w:b/>
        </w:rPr>
        <w:t>poskytovatel</w:t>
      </w:r>
      <w:r w:rsidR="00E3046D">
        <w:t>“</w:t>
      </w:r>
      <w:r>
        <w:t>)</w:t>
      </w:r>
    </w:p>
    <w:p w:rsidR="00822494" w:rsidRDefault="00822494" w:rsidP="004C2A26">
      <w:pPr>
        <w:spacing w:after="0" w:line="240" w:lineRule="auto"/>
        <w:jc w:val="both"/>
      </w:pPr>
    </w:p>
    <w:p w:rsidR="00822494" w:rsidRDefault="00822494" w:rsidP="004C2A26">
      <w:pPr>
        <w:spacing w:after="0" w:line="240" w:lineRule="auto"/>
        <w:jc w:val="both"/>
      </w:pPr>
      <w:r>
        <w:t>a</w:t>
      </w:r>
    </w:p>
    <w:p w:rsidR="00822494" w:rsidRDefault="00822494" w:rsidP="004C2A26">
      <w:pPr>
        <w:spacing w:after="0" w:line="240" w:lineRule="auto"/>
        <w:jc w:val="both"/>
      </w:pPr>
    </w:p>
    <w:p w:rsidR="00AE1A73" w:rsidRPr="00AE1A73" w:rsidRDefault="00E677DA" w:rsidP="00E677DA">
      <w:pPr>
        <w:spacing w:after="0" w:line="240" w:lineRule="auto"/>
        <w:rPr>
          <w:rFonts w:ascii="Calibri" w:hAnsi="Calibri" w:cs="Arial"/>
          <w:bCs/>
        </w:rPr>
      </w:pPr>
      <w:r>
        <w:rPr>
          <w:rStyle w:val="Siln"/>
          <w:rFonts w:ascii="Calibri" w:hAnsi="Calibri"/>
        </w:rPr>
        <w:t>Národní památkový ústav, státní příspěvková organizace</w:t>
      </w:r>
      <w:r>
        <w:rPr>
          <w:rFonts w:ascii="Calibri" w:hAnsi="Calibri"/>
          <w:b/>
          <w:bCs/>
        </w:rPr>
        <w:br/>
      </w:r>
      <w:r w:rsidR="00AE1A73">
        <w:rPr>
          <w:rFonts w:ascii="Calibri" w:hAnsi="Calibri" w:cs="Arial"/>
          <w:bCs/>
        </w:rPr>
        <w:t>Valdštejnské nám. 162/3, 118 01 Praha 1 – Malá Strana</w:t>
      </w:r>
    </w:p>
    <w:p w:rsidR="00AE1A73" w:rsidRDefault="00AE1A73" w:rsidP="00E677DA">
      <w:pPr>
        <w:spacing w:after="0"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IČ: 75032333, DIČ CZ75032333,</w:t>
      </w:r>
    </w:p>
    <w:p w:rsidR="00AE1A73" w:rsidRDefault="00AE1A73" w:rsidP="00E677DA">
      <w:pPr>
        <w:spacing w:after="0"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jednající generální ředitelkou Ing. arch. Naděždou Goryczkovou,</w:t>
      </w:r>
    </w:p>
    <w:p w:rsidR="00E677DA" w:rsidRPr="00AE1A73" w:rsidRDefault="00AE1A73" w:rsidP="00E677DA">
      <w:pPr>
        <w:spacing w:after="0"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kterou zastupuje:</w:t>
      </w:r>
      <w:r>
        <w:rPr>
          <w:rFonts w:ascii="Calibri" w:hAnsi="Calibri" w:cs="Arial"/>
          <w:bCs/>
        </w:rPr>
        <w:br/>
      </w:r>
      <w:r>
        <w:rPr>
          <w:rFonts w:ascii="Calibri" w:hAnsi="Calibri" w:cs="Arial"/>
          <w:b/>
          <w:bCs/>
        </w:rPr>
        <w:t xml:space="preserve">Územní památková správa </w:t>
      </w:r>
      <w:r w:rsidR="00E677DA">
        <w:rPr>
          <w:rFonts w:ascii="Calibri" w:hAnsi="Calibri" w:cs="Arial"/>
          <w:b/>
          <w:bCs/>
        </w:rPr>
        <w:t>NPÚ</w:t>
      </w:r>
      <w:r>
        <w:rPr>
          <w:rFonts w:ascii="Calibri" w:hAnsi="Calibri" w:cs="Arial"/>
          <w:b/>
          <w:bCs/>
        </w:rPr>
        <w:t xml:space="preserve"> </w:t>
      </w:r>
      <w:r w:rsidR="00E677DA">
        <w:rPr>
          <w:rFonts w:ascii="Calibri" w:hAnsi="Calibri" w:cs="Arial"/>
          <w:b/>
          <w:bCs/>
        </w:rPr>
        <w:t>v Kroměříži</w:t>
      </w:r>
      <w:r w:rsidR="00E677DA">
        <w:rPr>
          <w:rFonts w:ascii="Calibri" w:hAnsi="Calibri" w:cs="Arial"/>
          <w:b/>
          <w:bCs/>
        </w:rPr>
        <w:br/>
      </w:r>
      <w:r w:rsidR="00E677DA" w:rsidRPr="00AE1A73">
        <w:rPr>
          <w:rFonts w:ascii="Calibri" w:hAnsi="Calibri" w:cs="Arial"/>
          <w:b/>
          <w:bCs/>
        </w:rPr>
        <w:t>se sídlem Sněmovní nám. 1, 767 01  Kroměříž,</w:t>
      </w:r>
    </w:p>
    <w:p w:rsidR="00E677DA" w:rsidRDefault="00AE1A73" w:rsidP="00E677DA">
      <w:pPr>
        <w:spacing w:after="0" w:line="240" w:lineRule="auto"/>
        <w:rPr>
          <w:rFonts w:ascii="Calibri" w:hAnsi="Calibri"/>
          <w:b/>
        </w:rPr>
      </w:pPr>
      <w:r w:rsidRPr="00AE1A73">
        <w:rPr>
          <w:rFonts w:ascii="Calibri" w:hAnsi="Calibri" w:cs="Arial"/>
          <w:b/>
          <w:bCs/>
        </w:rPr>
        <w:t>j</w:t>
      </w:r>
      <w:r w:rsidR="00E677DA" w:rsidRPr="00AE1A73">
        <w:rPr>
          <w:rFonts w:ascii="Calibri" w:hAnsi="Calibri" w:cs="Arial"/>
          <w:b/>
          <w:bCs/>
        </w:rPr>
        <w:t>ednající</w:t>
      </w:r>
      <w:r w:rsidRPr="00AE1A73">
        <w:rPr>
          <w:rFonts w:ascii="Calibri" w:hAnsi="Calibri" w:cs="Arial"/>
          <w:b/>
          <w:bCs/>
        </w:rPr>
        <w:t xml:space="preserve"> </w:t>
      </w:r>
      <w:r w:rsidR="00E677DA" w:rsidRPr="00AE1A73">
        <w:rPr>
          <w:rFonts w:ascii="Calibri" w:hAnsi="Calibri" w:cs="Arial"/>
          <w:b/>
          <w:bCs/>
        </w:rPr>
        <w:t xml:space="preserve"> Ing.  Petrem Šubíkem, </w:t>
      </w:r>
      <w:r>
        <w:rPr>
          <w:rFonts w:ascii="Calibri" w:hAnsi="Calibri" w:cs="Arial"/>
          <w:b/>
          <w:bCs/>
        </w:rPr>
        <w:t xml:space="preserve"> </w:t>
      </w:r>
      <w:r w:rsidR="00E677DA" w:rsidRPr="00AE1A73">
        <w:rPr>
          <w:rFonts w:ascii="Calibri" w:hAnsi="Calibri" w:cs="Arial"/>
          <w:b/>
          <w:bCs/>
        </w:rPr>
        <w:t>ředitelem</w:t>
      </w:r>
      <w:r w:rsidR="00E677DA" w:rsidRPr="00AE1A73">
        <w:rPr>
          <w:rFonts w:ascii="Calibri" w:hAnsi="Calibri" w:cs="Arial"/>
          <w:b/>
          <w:bCs/>
        </w:rPr>
        <w:br/>
      </w:r>
      <w:r w:rsidRPr="00AE1A73">
        <w:rPr>
          <w:rFonts w:ascii="Calibri" w:hAnsi="Calibri" w:cs="Arial"/>
          <w:bCs/>
        </w:rPr>
        <w:t xml:space="preserve">zástupce pro věcná jednání: </w:t>
      </w:r>
      <w:r w:rsidR="00C965B3">
        <w:rPr>
          <w:rFonts w:ascii="Calibri" w:hAnsi="Calibri" w:cs="Arial"/>
          <w:bCs/>
        </w:rPr>
        <w:t xml:space="preserve">xxxxxxxxxxxx </w:t>
      </w:r>
      <w:r w:rsidR="00E677DA" w:rsidRPr="00AE1A73">
        <w:rPr>
          <w:rFonts w:ascii="Calibri" w:hAnsi="Calibri" w:cs="Arial"/>
          <w:bCs/>
        </w:rPr>
        <w:t>Státního zámku Jánský Vrch</w:t>
      </w:r>
      <w:r w:rsidR="00E677DA" w:rsidRPr="00AE1A73">
        <w:br/>
      </w:r>
      <w:r w:rsidR="00E677DA">
        <w:t>Bankovní spojení: Česká národní banka Praha, č. ú.: 500005-60039011/0710</w:t>
      </w:r>
    </w:p>
    <w:p w:rsidR="00E677DA" w:rsidRDefault="00E677DA" w:rsidP="00E677DA">
      <w:pPr>
        <w:spacing w:after="0" w:line="240" w:lineRule="auto"/>
        <w:jc w:val="both"/>
      </w:pPr>
      <w:r>
        <w:t>(dále jen „</w:t>
      </w:r>
      <w:r>
        <w:rPr>
          <w:b/>
        </w:rPr>
        <w:t>příjemce</w:t>
      </w:r>
      <w:r>
        <w:t>“)</w:t>
      </w:r>
    </w:p>
    <w:p w:rsidR="00E677DA" w:rsidRDefault="00E677DA" w:rsidP="00E677DA">
      <w:pPr>
        <w:spacing w:after="0" w:line="240" w:lineRule="auto"/>
        <w:jc w:val="both"/>
      </w:pPr>
    </w:p>
    <w:p w:rsidR="00E677DA" w:rsidRDefault="00E677DA" w:rsidP="00E677DA">
      <w:pPr>
        <w:spacing w:after="0" w:line="240" w:lineRule="auto"/>
        <w:jc w:val="both"/>
      </w:pPr>
      <w:r>
        <w:t>uzavírají níže uvedeného dne, měsíce a roku tuto smlouvu o poskytnutí dotace:</w:t>
      </w:r>
    </w:p>
    <w:p w:rsidR="00E677DA" w:rsidRDefault="00E677DA" w:rsidP="00E677DA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E677DA" w:rsidRDefault="00E677DA" w:rsidP="00E677D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Poskytovatel se na základě této smlouvy zavazuje poskytnout příjemci dotaci ve výši</w:t>
      </w:r>
    </w:p>
    <w:p w:rsidR="00E677DA" w:rsidRDefault="00833770" w:rsidP="00E677DA">
      <w:pPr>
        <w:pStyle w:val="Odstavecseseznamem"/>
        <w:spacing w:after="0" w:line="240" w:lineRule="auto"/>
        <w:ind w:left="2844" w:firstLine="696"/>
        <w:jc w:val="both"/>
      </w:pPr>
      <w:r>
        <w:t>100</w:t>
      </w:r>
      <w:r w:rsidR="00E677DA">
        <w:t xml:space="preserve"> 000,-- Kč</w:t>
      </w:r>
    </w:p>
    <w:p w:rsidR="00E677DA" w:rsidRDefault="00E677DA" w:rsidP="00E677DA">
      <w:pPr>
        <w:pStyle w:val="Odstavecseseznamem"/>
        <w:spacing w:after="0" w:line="240" w:lineRule="auto"/>
        <w:ind w:left="2136" w:firstLine="696"/>
        <w:jc w:val="both"/>
      </w:pPr>
      <w:r>
        <w:t xml:space="preserve">Slovy: </w:t>
      </w:r>
      <w:r w:rsidR="00833770">
        <w:t xml:space="preserve">Jedno sto </w:t>
      </w:r>
      <w:r w:rsidR="00A70395">
        <w:t xml:space="preserve"> tisíc</w:t>
      </w:r>
      <w:r>
        <w:t xml:space="preserve"> korun českých.</w:t>
      </w:r>
    </w:p>
    <w:p w:rsidR="00E677DA" w:rsidRDefault="00E677DA" w:rsidP="00E677D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Účelem poskytnutí dotace je částečná úhrada nákladů na kulturní akce pořádané </w:t>
      </w:r>
      <w:r w:rsidR="00D14D3E">
        <w:t>v roce 202</w:t>
      </w:r>
      <w:r w:rsidR="00833770">
        <w:t>4</w:t>
      </w:r>
      <w:r w:rsidR="00D14D3E">
        <w:t xml:space="preserve"> </w:t>
      </w:r>
      <w:r>
        <w:t xml:space="preserve">na zámku Jánský Vrch: </w:t>
      </w:r>
      <w:r>
        <w:rPr>
          <w:b/>
        </w:rPr>
        <w:t>Zámecké kulturní léto</w:t>
      </w:r>
      <w:r w:rsidR="00A70395">
        <w:rPr>
          <w:b/>
        </w:rPr>
        <w:t>,</w:t>
      </w:r>
      <w:r w:rsidR="00D14D3E">
        <w:rPr>
          <w:b/>
        </w:rPr>
        <w:t xml:space="preserve"> Pohádkový park</w:t>
      </w:r>
      <w:r w:rsidR="00A70395">
        <w:rPr>
          <w:b/>
        </w:rPr>
        <w:t>, Děti dětem</w:t>
      </w:r>
      <w:r>
        <w:rPr>
          <w:b/>
        </w:rPr>
        <w:t xml:space="preserve"> </w:t>
      </w:r>
    </w:p>
    <w:p w:rsidR="007E4B77" w:rsidRDefault="007E4B77" w:rsidP="000E479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Dotace bude poskytnuta převodem na bankovní účet příjemce uvedený v záhlaví této smlouvy nejpozději  do 21 dnů od podpisu této smlouvy oběma stranami.</w:t>
      </w:r>
    </w:p>
    <w:p w:rsidR="007E4B77" w:rsidRDefault="007E4B77" w:rsidP="007E4B77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Dotace se poskytuje jako </w:t>
      </w:r>
      <w:r>
        <w:rPr>
          <w:b/>
        </w:rPr>
        <w:t>neinvestiční dotace</w:t>
      </w:r>
      <w:r>
        <w:t>. Pro účely této smlouvy se neinvestiční dotací rozumí dotace, která musí být použita na úhradu jiných výdajů než:</w:t>
      </w:r>
    </w:p>
    <w:p w:rsidR="007E4B77" w:rsidRDefault="007E4B77" w:rsidP="007E4B77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t>výdajů spojených s pořízením hmotného majetku dle § 26 odst. 2 zákona č. 586/1992 Sb., o daních z příjmů, ve znění pozdějších předpisů (dále jen „cit.</w:t>
      </w:r>
      <w:r w:rsidR="00EE4B8F">
        <w:t xml:space="preserve"> </w:t>
      </w:r>
      <w:r>
        <w:t>zákona“),</w:t>
      </w:r>
    </w:p>
    <w:p w:rsidR="007E4B77" w:rsidRDefault="007E4B77" w:rsidP="007E4B77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t>výdajů spojených s pořízením nehmotného majetku dle § 32 odst. 1 a 2 cit. zákona,</w:t>
      </w:r>
    </w:p>
    <w:p w:rsidR="007E4B77" w:rsidRDefault="007E4B77" w:rsidP="007E4B77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t xml:space="preserve">výdajů spojených s technickým zhodnocením, rekonstrukcí a modernizací ve smyslu § 33 cit. zákona. </w:t>
      </w:r>
    </w:p>
    <w:p w:rsidR="007E4B77" w:rsidRDefault="007E4B77" w:rsidP="007E4B77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Příjemce je oprávněn použít dotaci také na úhradu nákladů vynaložených příjemcem v roce 20</w:t>
      </w:r>
      <w:r w:rsidR="001A5DF5">
        <w:t>2</w:t>
      </w:r>
      <w:r w:rsidR="00833770">
        <w:t>4</w:t>
      </w:r>
      <w:r>
        <w:t xml:space="preserve"> před uzavřením této smlouvy, za podmínky, že tyto náklady jsou v souladu s účelem poskytnutí dotace dle čl. I. odst. 2 a 4 této smlouvy.</w:t>
      </w:r>
    </w:p>
    <w:p w:rsidR="007E4B77" w:rsidRDefault="007E4B77" w:rsidP="007E4B77">
      <w:pPr>
        <w:pStyle w:val="Odstavecseseznamem"/>
        <w:spacing w:after="0" w:line="240" w:lineRule="auto"/>
        <w:jc w:val="both"/>
        <w:rPr>
          <w:b/>
        </w:rPr>
      </w:pPr>
      <w:r>
        <w:t xml:space="preserve"> </w:t>
      </w:r>
    </w:p>
    <w:p w:rsidR="00AE1A73" w:rsidRDefault="00AE1A73">
      <w:pPr>
        <w:rPr>
          <w:b/>
        </w:rPr>
      </w:pPr>
      <w:r>
        <w:rPr>
          <w:b/>
        </w:rPr>
        <w:br w:type="page"/>
      </w:r>
    </w:p>
    <w:p w:rsidR="007E4B77" w:rsidRDefault="007E4B77" w:rsidP="007E4B77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II.</w:t>
      </w:r>
    </w:p>
    <w:p w:rsidR="007E4B77" w:rsidRDefault="007E4B77" w:rsidP="007E4B7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Příjemce dotaci přijímá a zavazuje se ji použít výlučně v souladu s účelem poskytnutí dotace dle čl. I. této smlouvy a dalšími podmínkami stanovenými v této smlouvě.  Dotace musí být použita hospodárně.  </w:t>
      </w:r>
    </w:p>
    <w:p w:rsidR="007E4B77" w:rsidRDefault="007E4B77" w:rsidP="007E4B7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Je-li příjemce plátce daně z přidané hodnoty (dále jen DPH), nelze z dotace uhradit DPH ve výši odpočtu, pokud na něj příjemci vznikl nárok. V takovém případě příjemce uvádí na veškerých vyúčtovacích dokladech finanční částky bez DPH, kterou má nárok uplatnit  v odpočtu daně. Příjemce – neplátce DPH - uvádí na veškerých vyúčtovacích dokladech finanční částky včetně DPH. V případě, že dojde k registraci příjemce k DPH a příjemce je oprávněn až po vyúčtování dotace uplatnit nárok na odpočet DPH, jež byla uhrazena z dotace, je příjemce povinen vrátit poskytovateli částku ve výši budoucího nároku odpočtu DPH, který byl čerpán jako uznatelný výdaj. Tuto vratku je povinen provést  do 15 dnů ode dne registrace příjemce k DPH převodem na účet poskytovatele uvedený v záhlaví této smlouvy. Dotaci nelze rovněž použít na úhradu ostatních daní.</w:t>
      </w:r>
    </w:p>
    <w:p w:rsidR="007E4B77" w:rsidRDefault="007E4B77" w:rsidP="007E4B7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Bez předchozího písemného souhlasu poskytovatele nesmí příjemce dotaci nebo její část poskytnout třetí osobě.</w:t>
      </w:r>
    </w:p>
    <w:p w:rsidR="007E4B77" w:rsidRDefault="007E4B77" w:rsidP="007E4B7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Příjemce je povinen vést dotaci ve svém účetnictví odděleně.</w:t>
      </w:r>
    </w:p>
    <w:p w:rsidR="007E4B77" w:rsidRDefault="007E4B77" w:rsidP="007E4B7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7E4B77" w:rsidRDefault="007E4B77" w:rsidP="007E4B7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Příjemce je povinen informovat poskytovatele o změnách zakladatelské listiny, adresy sídla, bankovního spojení, statutárního zástupce a o jiných změnách, které mohou podstatně ovlivnit způsob finančního hospodaření příjemce a náplň jeho aktivit ve vztahu k dotaci, a to nejpozději do 30 dnů od vzniku takových skutečností.</w:t>
      </w:r>
    </w:p>
    <w:p w:rsidR="007E4B77" w:rsidRDefault="007E4B77" w:rsidP="007E4B7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Příjemce je povinen dotaci použít nejpozději do 31.12.20</w:t>
      </w:r>
      <w:r w:rsidR="001A5DF5">
        <w:t>2</w:t>
      </w:r>
      <w:r w:rsidR="00833770">
        <w:t>4</w:t>
      </w:r>
      <w:r>
        <w:t xml:space="preserve"> a nejpozději do 15 dnů po tomto datu provést finanční vypořádání poskytnuté dotace, to je  předložit poskytovateli vyúčtování poskytnuté dotace (dále jen „vyúčtování“) a nevyčerpanou část dotace vrátit na účet poskytovatele uvedený v záhlaví této smlouvy. </w:t>
      </w:r>
    </w:p>
    <w:p w:rsidR="007E4B77" w:rsidRDefault="007E4B77" w:rsidP="007E4B77">
      <w:pPr>
        <w:pStyle w:val="Odstavecseseznamem"/>
        <w:spacing w:after="0" w:line="240" w:lineRule="auto"/>
        <w:jc w:val="both"/>
      </w:pPr>
      <w:r>
        <w:t>Vyúčtování musí obsahovat</w:t>
      </w:r>
    </w:p>
    <w:p w:rsidR="007E4B77" w:rsidRDefault="007E4B77" w:rsidP="007E4B77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 xml:space="preserve">Vyplněnou přílohu číslo 1 této smlouvy „Vyúčtování dotace poskytnuté z rozpočtu města Javorník“, která je také k dispozici v elektronické podobě na </w:t>
      </w:r>
      <w:hyperlink r:id="rId7" w:history="1">
        <w:r>
          <w:rPr>
            <w:rStyle w:val="Hypertextovodkaz"/>
          </w:rPr>
          <w:t>www.mestojavornik.cz</w:t>
        </w:r>
      </w:hyperlink>
      <w:r>
        <w:t xml:space="preserve"> – úřední deska – dotace z rozpočtu města. Výdaje, na které byla dotace použita, musí být okomentovány tak, aby bylo možné posoudit účel a uznatelnost uskutečněného výdaje. </w:t>
      </w:r>
    </w:p>
    <w:p w:rsidR="007E4B77" w:rsidRDefault="007E4B77" w:rsidP="007E4B77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>Fotokopie prvotních dokladů o uskutečněných nákupech zboží, služeb, pracovních výkonů (faktury, obchodní stvrzenky, dodací listy, mzdové listy, cestovní příkazy atd.). Všichni příjemci dotace – v případě bezhotovostních plateb - doloží fotokopie výpisů z bankovního účtu s vyznačením dotčených plateb. Příjemci – právnické osoby a fyzické osoby podnikající - v případě hotovostních plateb doloží fotokopie výdajových pokladních dokladů ze svého účetnictví.</w:t>
      </w:r>
    </w:p>
    <w:p w:rsidR="007E4B77" w:rsidRDefault="007E4B77" w:rsidP="007E4B77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>Při použití dotace na nákup pohonných hmot použitých k jízdním účelům musí příjemci dotace vyplnit také přílohu číslo 2 této smlouvy „Vyúčtování nákupu pohonných hmot použitých k jízdním účelům“</w:t>
      </w:r>
      <w:r w:rsidR="001A5DF5">
        <w:t>,</w:t>
      </w:r>
      <w:r>
        <w:t xml:space="preserve">  která je také k dispozici v elektronické podobě na </w:t>
      </w:r>
      <w:hyperlink r:id="rId8" w:history="1">
        <w:r>
          <w:rPr>
            <w:rStyle w:val="Hypertextovodkaz"/>
          </w:rPr>
          <w:t>www.mestojavornik.cz</w:t>
        </w:r>
      </w:hyperlink>
      <w:r>
        <w:t xml:space="preserve"> – úřední deska – dotace z rozpočtu města. </w:t>
      </w:r>
    </w:p>
    <w:p w:rsidR="007E4B77" w:rsidRDefault="007E4B77" w:rsidP="007E4B77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>Všichni příjemci doloží Čestné prohlášení, že fotokopie předaných dokladů jsou shodné s originály.  Příjemci – právnické osoby a fyzické osoby podnikající  v Čestném prohlášení navíc uvedou, že všechny údaje jsou shodné se záznamy v účetnictví příjemce.</w:t>
      </w:r>
    </w:p>
    <w:p w:rsidR="007E4B77" w:rsidRDefault="007E4B77" w:rsidP="007E4B7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 případě, že příjemce:</w:t>
      </w:r>
    </w:p>
    <w:p w:rsidR="007E4B77" w:rsidRDefault="007E4B77" w:rsidP="007E4B77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 xml:space="preserve"> nevrátí nevyčerpanou část dotace ve stanovené lhůtě, </w:t>
      </w:r>
    </w:p>
    <w:p w:rsidR="007E4B77" w:rsidRDefault="007E4B77" w:rsidP="007E4B77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 xml:space="preserve"> použije dotaci nebo její část na jiný účel než sjednaný touto smlouvou, </w:t>
      </w:r>
    </w:p>
    <w:p w:rsidR="001A5DF5" w:rsidRDefault="007E4B77" w:rsidP="007E4B77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>poruší některou z jiných podmínek  nebo povin</w:t>
      </w:r>
      <w:r w:rsidR="001A5DF5">
        <w:t>ností uvedených v této smlouvě,</w:t>
      </w:r>
    </w:p>
    <w:p w:rsidR="007E4B77" w:rsidRDefault="007E4B77" w:rsidP="001A5DF5">
      <w:pPr>
        <w:spacing w:after="0" w:line="240" w:lineRule="auto"/>
        <w:ind w:left="1080"/>
        <w:jc w:val="both"/>
      </w:pPr>
      <w:r>
        <w:lastRenderedPageBreak/>
        <w:t xml:space="preserve">dopustí se porušení rozpočtové kázně ve smyslu ust. § 22 zákona č. 250/2000 Sb., o rozpočtových pravidlech územních rozpočtů, ve znění pozdějších předpisů. </w:t>
      </w:r>
    </w:p>
    <w:p w:rsidR="007E4B77" w:rsidRDefault="007E4B77" w:rsidP="007E4B7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Za porušení rozpočtové kázně uloží poskytovatel příjemci odvod ve výši stanovené platnými právními předpisy.  </w:t>
      </w:r>
    </w:p>
    <w:p w:rsidR="007E4B77" w:rsidRDefault="001A5DF5" w:rsidP="007E4B77">
      <w:pPr>
        <w:spacing w:after="0" w:line="240" w:lineRule="auto"/>
        <w:ind w:left="720"/>
        <w:jc w:val="both"/>
      </w:pPr>
      <w:r>
        <w:t>Snížený od</w:t>
      </w:r>
      <w:r w:rsidR="007E4B77">
        <w:t>vod ve výši 5 % z celkově poskytnuté dotace uloží poskytovatel příjemci v těchto případech porušení rozpočtové kázně:</w:t>
      </w:r>
    </w:p>
    <w:p w:rsidR="007E4B77" w:rsidRDefault="007E4B77" w:rsidP="007E4B77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 xml:space="preserve">Nedodržení povinnosti vést dotaci v účetnictví odděleně. </w:t>
      </w:r>
    </w:p>
    <w:p w:rsidR="007E4B77" w:rsidRDefault="007E4B77" w:rsidP="007E4B77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>Předložení vyúčtování s prodlením do 30 kalendářních dnů od data uvedeného ve smlouvě.</w:t>
      </w:r>
    </w:p>
    <w:p w:rsidR="007E4B77" w:rsidRDefault="007E4B77" w:rsidP="007E4B77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>Předložení doplněného vyúčtování s prodlením do 15 kalendářních dnů od marného uplynutí náhradní lhůty, uvedené ve výzvě k doplnění vyúčtování.</w:t>
      </w:r>
    </w:p>
    <w:p w:rsidR="007E4B77" w:rsidRDefault="007E4B77" w:rsidP="007E4B77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dotaci.</w:t>
      </w:r>
    </w:p>
    <w:p w:rsidR="007E4B77" w:rsidRDefault="007E4B77" w:rsidP="007E4B77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>Porušení povinností spojených s propagací poskytovatele uvedených v odst. 10 tohoto článku této smlouvy.</w:t>
      </w:r>
    </w:p>
    <w:p w:rsidR="007E4B77" w:rsidRDefault="007E4B77" w:rsidP="007E4B77">
      <w:pPr>
        <w:pStyle w:val="Odstavecseseznamem"/>
        <w:numPr>
          <w:ilvl w:val="0"/>
          <w:numId w:val="6"/>
        </w:numPr>
        <w:spacing w:line="240" w:lineRule="auto"/>
        <w:jc w:val="both"/>
        <w:rPr>
          <w:u w:val="single"/>
        </w:rPr>
      </w:pPr>
      <w:r>
        <w:t xml:space="preserve">Příjemce je povinen po dobu 1 roku od uzavření této smlouvy propagovat při své činnosti poskytovatele dotace na svých případných propagačních materiálech, pozvánkách, webových stránkách apod., kde umístí informaci o tom, že město Javorník na jeho činnost nebo konkrétní akci finančně přispělo.  Dále se zavazuje v dostatečném předstihu zajistit zveřejnění informace o konání poskytovatelem dotované akce na webových stránkách poskytovatele tak, že dispozice o místě a čase konání zašle na e-mail </w:t>
      </w:r>
      <w:hyperlink r:id="rId9" w:history="1">
        <w:r w:rsidR="00C965B3">
          <w:rPr>
            <w:rStyle w:val="Hypertextovodkaz"/>
          </w:rPr>
          <w:t>xxxxxxxxxx</w:t>
        </w:r>
      </w:hyperlink>
      <w:r>
        <w:t xml:space="preserve"> nebo předá v písemné podobě na odbor finanční Městského úřadu Javorník. Příjemce navíc může k propagaci akce využít také Javornický zpravodaj a dispozice zaslat na e-mail </w:t>
      </w:r>
      <w:hyperlink r:id="rId10" w:history="1">
        <w:r w:rsidR="00C965B3">
          <w:rPr>
            <w:rStyle w:val="Hypertextovodkaz"/>
          </w:rPr>
          <w:t>xxxxxxxxxxxxxxx</w:t>
        </w:r>
      </w:hyperlink>
      <w:r>
        <w:t>.</w:t>
      </w:r>
    </w:p>
    <w:p w:rsidR="007E4B77" w:rsidRDefault="007E4B77" w:rsidP="007E4B77">
      <w:pPr>
        <w:pStyle w:val="Odstavecseseznamem"/>
        <w:numPr>
          <w:ilvl w:val="0"/>
          <w:numId w:val="6"/>
        </w:numPr>
        <w:spacing w:line="240" w:lineRule="auto"/>
        <w:jc w:val="both"/>
        <w:rPr>
          <w:u w:val="single"/>
        </w:rPr>
      </w:pPr>
      <w:r>
        <w:t>Příjemce se zavazuje po dobu 1 roku od uzavření této smlouvy na vyzvání poskytovatele se v rámci svých možností účastnit veřejných akcí konaných ve městě Javorník.</w:t>
      </w:r>
    </w:p>
    <w:p w:rsidR="007E4B77" w:rsidRDefault="007E4B77" w:rsidP="007E4B77">
      <w:pPr>
        <w:pStyle w:val="Odstavecseseznamem"/>
        <w:spacing w:after="0" w:line="240" w:lineRule="auto"/>
        <w:ind w:left="1440"/>
        <w:jc w:val="both"/>
      </w:pPr>
    </w:p>
    <w:p w:rsidR="007E4B77" w:rsidRDefault="007E4B77" w:rsidP="007E4B77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7E4B77" w:rsidRDefault="007E4B77" w:rsidP="007E4B7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Příjemce prohlašuje, že nemá vůči poskytovateli a jeho příspěvkovým organizacím žádné nesplacené závazky po lhůtě splatnosti a že není s poskytovatelem nebo s jeho příspěvkovými organizacemi v soudním sporu.</w:t>
      </w:r>
    </w:p>
    <w:p w:rsidR="007E4B77" w:rsidRDefault="007E4B77" w:rsidP="007E4B7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Případné změny a doplňky této smlouvy je možné činit pouze písemnými chronologicky číslovanými dodatky.</w:t>
      </w:r>
    </w:p>
    <w:p w:rsidR="007C47B2" w:rsidRDefault="007E4B77" w:rsidP="007E4B7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Poskytnutí této dotace </w:t>
      </w:r>
      <w:r w:rsidR="007C47B2">
        <w:t>schválilo Zastupitelstvo</w:t>
      </w:r>
      <w:r>
        <w:t xml:space="preserve"> města Javorník na svém </w:t>
      </w:r>
      <w:r w:rsidR="00833770">
        <w:t>9</w:t>
      </w:r>
      <w:r>
        <w:t xml:space="preserve">. zasedání dne </w:t>
      </w:r>
    </w:p>
    <w:p w:rsidR="007E4B77" w:rsidRDefault="00833770" w:rsidP="007C47B2">
      <w:pPr>
        <w:spacing w:after="0" w:line="240" w:lineRule="auto"/>
        <w:ind w:left="720"/>
        <w:jc w:val="both"/>
      </w:pPr>
      <w:r>
        <w:t>13</w:t>
      </w:r>
      <w:r w:rsidR="007C47B2">
        <w:t>.</w:t>
      </w:r>
      <w:r w:rsidR="004319E0">
        <w:t xml:space="preserve"> </w:t>
      </w:r>
      <w:r>
        <w:t>3</w:t>
      </w:r>
      <w:r w:rsidR="007C47B2">
        <w:t>.</w:t>
      </w:r>
      <w:r w:rsidR="007E4B77">
        <w:t xml:space="preserve"> 20</w:t>
      </w:r>
      <w:r w:rsidR="001A5DF5">
        <w:t>2</w:t>
      </w:r>
      <w:r>
        <w:t>4</w:t>
      </w:r>
      <w:r w:rsidR="007E4B77">
        <w:t>.</w:t>
      </w:r>
    </w:p>
    <w:p w:rsidR="007E4B77" w:rsidRDefault="007E4B77" w:rsidP="007E4B7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Smluvní strany shodně prohlašují, že smlouvu uzavírají z vážné a svobodné vůle a souhlasí s jejím zveřejněním.</w:t>
      </w:r>
    </w:p>
    <w:p w:rsidR="007E4B77" w:rsidRDefault="007E4B77" w:rsidP="007E4B7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Tato smlouva je sepsána ve dvou vyhotoveních, z nichž každá ze stran obdrží po jednom.</w:t>
      </w:r>
    </w:p>
    <w:p w:rsidR="007E4B77" w:rsidRDefault="007E4B77" w:rsidP="007E4B7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Tato smlouva nabývá platnosti a účinnosti dnem podpisu oběma smluvními stranami.</w:t>
      </w:r>
    </w:p>
    <w:p w:rsidR="007E4B77" w:rsidRDefault="007E4B77" w:rsidP="007E4B77">
      <w:pPr>
        <w:spacing w:after="0" w:line="240" w:lineRule="auto"/>
        <w:jc w:val="both"/>
      </w:pPr>
    </w:p>
    <w:p w:rsidR="007E4B77" w:rsidRDefault="007E4B77" w:rsidP="007E4B77">
      <w:pPr>
        <w:spacing w:after="0" w:line="240" w:lineRule="auto"/>
        <w:jc w:val="both"/>
      </w:pPr>
    </w:p>
    <w:p w:rsidR="007E4B77" w:rsidRDefault="007E4B77" w:rsidP="007E4B77">
      <w:pPr>
        <w:spacing w:after="0" w:line="240" w:lineRule="auto"/>
        <w:jc w:val="both"/>
      </w:pPr>
      <w:r>
        <w:t xml:space="preserve">V Javorníku dne </w:t>
      </w:r>
      <w:r w:rsidR="0009427F">
        <w:t xml:space="preserve">   </w:t>
      </w:r>
      <w:r w:rsidR="00C965B3">
        <w:t>22. 4. 2024</w:t>
      </w:r>
      <w:bookmarkStart w:id="0" w:name="_GoBack"/>
      <w:bookmarkEnd w:id="0"/>
      <w:r w:rsidR="0009427F">
        <w:t xml:space="preserve">              </w:t>
      </w:r>
      <w:r w:rsidR="00A70395">
        <w:t xml:space="preserve">              </w:t>
      </w:r>
      <w:r>
        <w:t xml:space="preserve">                        </w:t>
      </w:r>
      <w:r w:rsidR="00031E47">
        <w:t xml:space="preserve">           </w:t>
      </w:r>
      <w:r>
        <w:t xml:space="preserve">        </w:t>
      </w:r>
      <w:r w:rsidR="004A1836">
        <w:t xml:space="preserve"> </w:t>
      </w:r>
      <w:r>
        <w:t xml:space="preserve"> V</w:t>
      </w:r>
      <w:r w:rsidR="000F0E2F">
        <w:t xml:space="preserve"> Kroměříži </w:t>
      </w:r>
      <w:r w:rsidR="00795DB3">
        <w:t>d</w:t>
      </w:r>
      <w:r>
        <w:t>ne</w:t>
      </w:r>
      <w:r w:rsidR="000F0E2F">
        <w:t xml:space="preserve"> 4. 4. 2024</w:t>
      </w:r>
    </w:p>
    <w:p w:rsidR="007E4B77" w:rsidRDefault="007E4B77" w:rsidP="007E4B77">
      <w:pPr>
        <w:spacing w:after="0" w:line="240" w:lineRule="auto"/>
        <w:jc w:val="both"/>
      </w:pPr>
    </w:p>
    <w:p w:rsidR="007E4B77" w:rsidRDefault="007E4B77" w:rsidP="007E4B77">
      <w:pPr>
        <w:spacing w:after="0" w:line="240" w:lineRule="auto"/>
        <w:jc w:val="both"/>
      </w:pPr>
    </w:p>
    <w:p w:rsidR="007E4B77" w:rsidRDefault="007E4B77" w:rsidP="007E4B77">
      <w:pPr>
        <w:spacing w:after="0" w:line="240" w:lineRule="auto"/>
        <w:jc w:val="both"/>
      </w:pPr>
    </w:p>
    <w:p w:rsidR="007E4B77" w:rsidRDefault="007E4B77" w:rsidP="007E4B77">
      <w:pPr>
        <w:spacing w:after="0" w:line="240" w:lineRule="auto"/>
        <w:jc w:val="both"/>
      </w:pPr>
    </w:p>
    <w:p w:rsidR="007E4B77" w:rsidRDefault="007E4B77" w:rsidP="007E4B77">
      <w:pPr>
        <w:spacing w:after="0" w:line="240" w:lineRule="auto"/>
        <w:jc w:val="both"/>
      </w:pPr>
    </w:p>
    <w:p w:rsidR="007E4B77" w:rsidRDefault="007E4B77" w:rsidP="007E4B77">
      <w:pPr>
        <w:spacing w:after="0" w:line="240" w:lineRule="auto"/>
        <w:jc w:val="both"/>
      </w:pPr>
      <w:r>
        <w:t xml:space="preserve">-------------------------------------------------------                               -------------------------------------------------------- </w:t>
      </w:r>
    </w:p>
    <w:p w:rsidR="00E3046D" w:rsidRDefault="007E4B77" w:rsidP="001A5DF5">
      <w:pPr>
        <w:spacing w:after="0" w:line="240" w:lineRule="auto"/>
        <w:jc w:val="both"/>
      </w:pPr>
      <w:r>
        <w:t xml:space="preserve">                    Poskytovatel                                                                                        Příjemce</w:t>
      </w:r>
    </w:p>
    <w:sectPr w:rsidR="00E3046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97" w:rsidRDefault="00B64F97" w:rsidP="007E4B77">
      <w:pPr>
        <w:spacing w:after="0" w:line="240" w:lineRule="auto"/>
      </w:pPr>
      <w:r>
        <w:separator/>
      </w:r>
    </w:p>
  </w:endnote>
  <w:endnote w:type="continuationSeparator" w:id="0">
    <w:p w:rsidR="00B64F97" w:rsidRDefault="00B64F97" w:rsidP="007E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9572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4B77" w:rsidRDefault="007E4B7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5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5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4B77" w:rsidRDefault="007E4B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97" w:rsidRDefault="00B64F97" w:rsidP="007E4B77">
      <w:pPr>
        <w:spacing w:after="0" w:line="240" w:lineRule="auto"/>
      </w:pPr>
      <w:r>
        <w:separator/>
      </w:r>
    </w:p>
  </w:footnote>
  <w:footnote w:type="continuationSeparator" w:id="0">
    <w:p w:rsidR="00B64F97" w:rsidRDefault="00B64F97" w:rsidP="007E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2F" w:rsidRDefault="000F0E2F" w:rsidP="000F0E2F">
    <w:pPr>
      <w:pStyle w:val="Zhlav"/>
      <w:jc w:val="right"/>
    </w:pPr>
    <w:r>
      <w:t>NPU-450/30690/2024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01FE"/>
    <w:multiLevelType w:val="hybridMultilevel"/>
    <w:tmpl w:val="77440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D41C6"/>
    <w:multiLevelType w:val="hybridMultilevel"/>
    <w:tmpl w:val="A5F08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960EC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94207"/>
    <w:multiLevelType w:val="hybridMultilevel"/>
    <w:tmpl w:val="74E27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42B74"/>
    <w:multiLevelType w:val="hybridMultilevel"/>
    <w:tmpl w:val="50D67E22"/>
    <w:lvl w:ilvl="0" w:tplc="436ABB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E925C7F"/>
    <w:multiLevelType w:val="hybridMultilevel"/>
    <w:tmpl w:val="6FF44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4D"/>
    <w:rsid w:val="00003C1C"/>
    <w:rsid w:val="000249D2"/>
    <w:rsid w:val="00031E47"/>
    <w:rsid w:val="000811DF"/>
    <w:rsid w:val="00091323"/>
    <w:rsid w:val="0009427F"/>
    <w:rsid w:val="000A1D85"/>
    <w:rsid w:val="000E479E"/>
    <w:rsid w:val="000E4FA5"/>
    <w:rsid w:val="000E782C"/>
    <w:rsid w:val="000F0C98"/>
    <w:rsid w:val="000F0E2F"/>
    <w:rsid w:val="000F3AD9"/>
    <w:rsid w:val="0010481D"/>
    <w:rsid w:val="001075B2"/>
    <w:rsid w:val="00117106"/>
    <w:rsid w:val="00132226"/>
    <w:rsid w:val="0015481E"/>
    <w:rsid w:val="0017361A"/>
    <w:rsid w:val="001817FB"/>
    <w:rsid w:val="001902D7"/>
    <w:rsid w:val="001A4127"/>
    <w:rsid w:val="001A5DF5"/>
    <w:rsid w:val="001B69BC"/>
    <w:rsid w:val="002033F4"/>
    <w:rsid w:val="002152C6"/>
    <w:rsid w:val="00226141"/>
    <w:rsid w:val="00233FD1"/>
    <w:rsid w:val="00261C36"/>
    <w:rsid w:val="0028241F"/>
    <w:rsid w:val="00282619"/>
    <w:rsid w:val="0028561A"/>
    <w:rsid w:val="002A3979"/>
    <w:rsid w:val="002A5051"/>
    <w:rsid w:val="002E3419"/>
    <w:rsid w:val="00303487"/>
    <w:rsid w:val="003074C4"/>
    <w:rsid w:val="00307BDC"/>
    <w:rsid w:val="00317542"/>
    <w:rsid w:val="00324BB3"/>
    <w:rsid w:val="00335062"/>
    <w:rsid w:val="00347DC2"/>
    <w:rsid w:val="00350551"/>
    <w:rsid w:val="003543DF"/>
    <w:rsid w:val="003608B1"/>
    <w:rsid w:val="003E68FA"/>
    <w:rsid w:val="003E73E4"/>
    <w:rsid w:val="00402631"/>
    <w:rsid w:val="00404859"/>
    <w:rsid w:val="00416C41"/>
    <w:rsid w:val="004214FF"/>
    <w:rsid w:val="00422587"/>
    <w:rsid w:val="004319E0"/>
    <w:rsid w:val="00434A27"/>
    <w:rsid w:val="004469D6"/>
    <w:rsid w:val="00483ABD"/>
    <w:rsid w:val="004870AC"/>
    <w:rsid w:val="00491A2A"/>
    <w:rsid w:val="004A1836"/>
    <w:rsid w:val="004C2A26"/>
    <w:rsid w:val="004C7312"/>
    <w:rsid w:val="004D56BB"/>
    <w:rsid w:val="004D7D56"/>
    <w:rsid w:val="004F1179"/>
    <w:rsid w:val="004F3679"/>
    <w:rsid w:val="004F54F7"/>
    <w:rsid w:val="004F694C"/>
    <w:rsid w:val="00544DE7"/>
    <w:rsid w:val="00584806"/>
    <w:rsid w:val="00592241"/>
    <w:rsid w:val="005C7F7B"/>
    <w:rsid w:val="006077B8"/>
    <w:rsid w:val="0063094D"/>
    <w:rsid w:val="00651170"/>
    <w:rsid w:val="0067406C"/>
    <w:rsid w:val="00675AEF"/>
    <w:rsid w:val="006B42FE"/>
    <w:rsid w:val="006C7E03"/>
    <w:rsid w:val="0071384C"/>
    <w:rsid w:val="00721684"/>
    <w:rsid w:val="00722ACA"/>
    <w:rsid w:val="0074098D"/>
    <w:rsid w:val="00756062"/>
    <w:rsid w:val="00775334"/>
    <w:rsid w:val="00795DB3"/>
    <w:rsid w:val="007C47B2"/>
    <w:rsid w:val="007E4B77"/>
    <w:rsid w:val="00802004"/>
    <w:rsid w:val="00810B3C"/>
    <w:rsid w:val="0081673C"/>
    <w:rsid w:val="00822494"/>
    <w:rsid w:val="00833770"/>
    <w:rsid w:val="008358A4"/>
    <w:rsid w:val="00841205"/>
    <w:rsid w:val="00863AE7"/>
    <w:rsid w:val="0088509F"/>
    <w:rsid w:val="008E4F30"/>
    <w:rsid w:val="008F1824"/>
    <w:rsid w:val="00916922"/>
    <w:rsid w:val="00926BFA"/>
    <w:rsid w:val="00926E17"/>
    <w:rsid w:val="00936910"/>
    <w:rsid w:val="00960E27"/>
    <w:rsid w:val="009938E3"/>
    <w:rsid w:val="00995F3A"/>
    <w:rsid w:val="009A5D74"/>
    <w:rsid w:val="009B35BD"/>
    <w:rsid w:val="009B65B1"/>
    <w:rsid w:val="009C7F2A"/>
    <w:rsid w:val="00A13C77"/>
    <w:rsid w:val="00A21C68"/>
    <w:rsid w:val="00A51D08"/>
    <w:rsid w:val="00A70395"/>
    <w:rsid w:val="00A72774"/>
    <w:rsid w:val="00AB002F"/>
    <w:rsid w:val="00AD1FE4"/>
    <w:rsid w:val="00AD289B"/>
    <w:rsid w:val="00AD3C40"/>
    <w:rsid w:val="00AE1A73"/>
    <w:rsid w:val="00AE1DE0"/>
    <w:rsid w:val="00AE286F"/>
    <w:rsid w:val="00AE61B9"/>
    <w:rsid w:val="00AF5DDB"/>
    <w:rsid w:val="00B30998"/>
    <w:rsid w:val="00B43315"/>
    <w:rsid w:val="00B64F97"/>
    <w:rsid w:val="00B8698F"/>
    <w:rsid w:val="00B87A7C"/>
    <w:rsid w:val="00BD191A"/>
    <w:rsid w:val="00C009FF"/>
    <w:rsid w:val="00C035AF"/>
    <w:rsid w:val="00C057D2"/>
    <w:rsid w:val="00C2690C"/>
    <w:rsid w:val="00C700EA"/>
    <w:rsid w:val="00C87A38"/>
    <w:rsid w:val="00C965B3"/>
    <w:rsid w:val="00D04CEE"/>
    <w:rsid w:val="00D108CA"/>
    <w:rsid w:val="00D14D3E"/>
    <w:rsid w:val="00D15A9C"/>
    <w:rsid w:val="00D21F4D"/>
    <w:rsid w:val="00D309DE"/>
    <w:rsid w:val="00D31B3C"/>
    <w:rsid w:val="00D405A5"/>
    <w:rsid w:val="00D64434"/>
    <w:rsid w:val="00D74886"/>
    <w:rsid w:val="00D84C2B"/>
    <w:rsid w:val="00DB20FE"/>
    <w:rsid w:val="00DC3ED1"/>
    <w:rsid w:val="00DD055E"/>
    <w:rsid w:val="00DD6BA8"/>
    <w:rsid w:val="00E3046D"/>
    <w:rsid w:val="00E34BDA"/>
    <w:rsid w:val="00E45485"/>
    <w:rsid w:val="00E51C83"/>
    <w:rsid w:val="00E529B1"/>
    <w:rsid w:val="00E57306"/>
    <w:rsid w:val="00E677DA"/>
    <w:rsid w:val="00E9408B"/>
    <w:rsid w:val="00E9740C"/>
    <w:rsid w:val="00EA251A"/>
    <w:rsid w:val="00ED076D"/>
    <w:rsid w:val="00ED2659"/>
    <w:rsid w:val="00EE24F1"/>
    <w:rsid w:val="00EE4B8F"/>
    <w:rsid w:val="00EF4C4C"/>
    <w:rsid w:val="00EF6ABE"/>
    <w:rsid w:val="00F80965"/>
    <w:rsid w:val="00F86315"/>
    <w:rsid w:val="00FD13CE"/>
    <w:rsid w:val="00FE7A4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8A6B"/>
  <w15:docId w15:val="{AA7BD6D6-A955-4C4A-BC85-0745FA0B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FE4"/>
    <w:pPr>
      <w:ind w:left="720"/>
      <w:contextualSpacing/>
    </w:pPr>
  </w:style>
  <w:style w:type="character" w:styleId="Hypertextovodkaz">
    <w:name w:val="Hyperlink"/>
    <w:unhideWhenUsed/>
    <w:rsid w:val="00D31B3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E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B77"/>
  </w:style>
  <w:style w:type="paragraph" w:styleId="Zpat">
    <w:name w:val="footer"/>
    <w:basedOn w:val="Normln"/>
    <w:link w:val="ZpatChar"/>
    <w:uiPriority w:val="99"/>
    <w:unhideWhenUsed/>
    <w:rsid w:val="007E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B77"/>
  </w:style>
  <w:style w:type="paragraph" w:styleId="Textbubliny">
    <w:name w:val="Balloon Text"/>
    <w:basedOn w:val="Normln"/>
    <w:link w:val="TextbublinyChar"/>
    <w:uiPriority w:val="99"/>
    <w:semiHidden/>
    <w:unhideWhenUsed/>
    <w:rsid w:val="00DB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0F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67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javorni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tojavornik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vornickyzpravodaj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.ved@mestojavorni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1321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-</cp:lastModifiedBy>
  <cp:revision>2</cp:revision>
  <cp:lastPrinted>2024-03-20T15:13:00Z</cp:lastPrinted>
  <dcterms:created xsi:type="dcterms:W3CDTF">2024-04-29T08:55:00Z</dcterms:created>
  <dcterms:modified xsi:type="dcterms:W3CDTF">2024-04-29T08:55:00Z</dcterms:modified>
</cp:coreProperties>
</file>