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AC6FF1" w14:textId="77777777" w:rsidR="00FE349C" w:rsidRDefault="00FE349C" w:rsidP="000D39A4">
      <w:pPr>
        <w:jc w:val="both"/>
        <w:rPr>
          <w:sz w:val="2"/>
          <w:szCs w:val="2"/>
        </w:rPr>
      </w:pPr>
    </w:p>
    <w:tbl>
      <w:tblPr>
        <w:tblW w:w="9639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709"/>
        <w:gridCol w:w="28"/>
        <w:gridCol w:w="8902"/>
      </w:tblGrid>
      <w:tr w:rsidR="007E1016" w:rsidRPr="00E2035C" w14:paraId="7FEEFDA6" w14:textId="77777777" w:rsidTr="00E03713">
        <w:tc>
          <w:tcPr>
            <w:tcW w:w="9639" w:type="dxa"/>
            <w:gridSpan w:val="3"/>
            <w:noWrap/>
            <w:tcMar>
              <w:left w:w="0" w:type="dxa"/>
              <w:right w:w="0" w:type="dxa"/>
            </w:tcMar>
          </w:tcPr>
          <w:p w14:paraId="334F2FF1" w14:textId="77777777" w:rsidR="007E1016" w:rsidRPr="00E2035C" w:rsidRDefault="007E1016" w:rsidP="00E03713">
            <w:pPr>
              <w:jc w:val="both"/>
            </w:pPr>
            <w:bookmarkStart w:id="0" w:name="ceska"/>
            <w:r w:rsidRPr="00E2035C">
              <w:rPr>
                <w:rFonts w:eastAsia="ArialMT"/>
              </w:rPr>
              <w:t>Tyto podmínky obsahují bližší úpravu práv a povinností vyplývajících z uzavřené smlouvy o</w:t>
            </w:r>
            <w:r>
              <w:rPr>
                <w:rFonts w:eastAsia="ArialMT"/>
              </w:rPr>
              <w:t xml:space="preserve"> příslušném vkladovém Ú</w:t>
            </w:r>
            <w:r w:rsidRPr="00E2035C">
              <w:rPr>
                <w:rFonts w:eastAsia="ArialMT"/>
              </w:rPr>
              <w:t>čtu. Seznamte se, prosím, důkladně s tímto dokumentem. Vaše případné dotazy rádi zodpovíme.</w:t>
            </w:r>
          </w:p>
        </w:tc>
      </w:tr>
      <w:tr w:rsidR="007E1016" w:rsidRPr="00D97F87" w14:paraId="3D0937FA" w14:textId="77777777" w:rsidTr="00E037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170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tcFitText/>
          </w:tcPr>
          <w:p w14:paraId="0E85C5FD" w14:textId="77777777" w:rsidR="007E1016" w:rsidRDefault="007E1016" w:rsidP="00B204B6"/>
        </w:tc>
      </w:tr>
      <w:tr w:rsidR="007E1016" w:rsidRPr="00E2035C" w14:paraId="375B019C" w14:textId="77777777" w:rsidTr="00E03713">
        <w:tblPrEx>
          <w:shd w:val="clear" w:color="auto" w:fill="EF6D63"/>
          <w:tblLook w:val="0680" w:firstRow="0" w:lastRow="0" w:firstColumn="1" w:lastColumn="0" w:noHBand="1" w:noVBand="1"/>
        </w:tblPrEx>
        <w:trPr>
          <w:trHeight w:hRule="exact" w:val="369"/>
        </w:trPr>
        <w:tc>
          <w:tcPr>
            <w:tcW w:w="9639" w:type="dxa"/>
            <w:gridSpan w:val="3"/>
            <w:shd w:val="clear" w:color="auto" w:fill="ED6B61"/>
            <w:vAlign w:val="center"/>
          </w:tcPr>
          <w:p w14:paraId="25B54D16" w14:textId="77777777" w:rsidR="007E1016" w:rsidRPr="00E2035C" w:rsidRDefault="007E1016" w:rsidP="00E03713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FFFFFF"/>
                <w:sz w:val="22"/>
                <w:szCs w:val="22"/>
              </w:rPr>
            </w:pPr>
            <w:r w:rsidRPr="00E2035C">
              <w:rPr>
                <w:rFonts w:eastAsia="Times New Roman"/>
                <w:b/>
                <w:bCs/>
                <w:color w:val="FFFFFF"/>
                <w:sz w:val="22"/>
                <w:szCs w:val="22"/>
              </w:rPr>
              <w:t xml:space="preserve">Článek 1. Společné podmínky zřízení a vedení vkladových účtů </w:t>
            </w:r>
          </w:p>
        </w:tc>
      </w:tr>
      <w:tr w:rsidR="007E1016" w:rsidRPr="00D97F87" w14:paraId="3CC8B1C1" w14:textId="77777777" w:rsidTr="00E037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170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tcFitText/>
          </w:tcPr>
          <w:p w14:paraId="3959957D" w14:textId="77777777" w:rsidR="007E1016" w:rsidRDefault="007E1016" w:rsidP="00B204B6"/>
        </w:tc>
      </w:tr>
      <w:tr w:rsidR="007E1016" w:rsidRPr="00E2035C" w14:paraId="4557FEC2" w14:textId="77777777" w:rsidTr="00E03713">
        <w:tc>
          <w:tcPr>
            <w:tcW w:w="709" w:type="dxa"/>
            <w:tcBorders>
              <w:right w:val="single" w:sz="6" w:space="0" w:color="DCDADA"/>
            </w:tcBorders>
            <w:noWrap/>
            <w:tcMar>
              <w:left w:w="170" w:type="dxa"/>
            </w:tcMar>
          </w:tcPr>
          <w:p w14:paraId="7A580EAE" w14:textId="77777777" w:rsidR="007E1016" w:rsidRDefault="007E1016" w:rsidP="00E03713">
            <w:pPr>
              <w:spacing w:before="40" w:after="40"/>
              <w:jc w:val="right"/>
              <w:rPr>
                <w:b/>
              </w:rPr>
            </w:pPr>
            <w:r w:rsidRPr="00E2035C">
              <w:rPr>
                <w:b/>
              </w:rPr>
              <w:t>1.1</w:t>
            </w:r>
          </w:p>
        </w:tc>
        <w:tc>
          <w:tcPr>
            <w:tcW w:w="8930" w:type="dxa"/>
            <w:gridSpan w:val="2"/>
            <w:tcBorders>
              <w:left w:val="single" w:sz="6" w:space="0" w:color="DCDADA"/>
            </w:tcBorders>
            <w:noWrap/>
          </w:tcPr>
          <w:p w14:paraId="1F3813B0" w14:textId="77777777" w:rsidR="007E1016" w:rsidRDefault="007E1016" w:rsidP="00E03713">
            <w:pPr>
              <w:tabs>
                <w:tab w:val="num" w:pos="425"/>
              </w:tabs>
              <w:spacing w:before="40" w:after="40"/>
              <w:jc w:val="both"/>
            </w:pPr>
            <w:r w:rsidRPr="00E2035C">
              <w:rPr>
                <w:b/>
              </w:rPr>
              <w:t xml:space="preserve">Podmínka účinnosti smlouvy. </w:t>
            </w:r>
            <w:r w:rsidRPr="00E2035C">
              <w:t>Podmínkou účinnosti Smlouvy</w:t>
            </w:r>
            <w:r>
              <w:t xml:space="preserve">, na </w:t>
            </w:r>
            <w:proofErr w:type="gramStart"/>
            <w:r>
              <w:t>základě</w:t>
            </w:r>
            <w:proofErr w:type="gramEnd"/>
            <w:r>
              <w:t xml:space="preserve"> které vám zřizujeme vkladový Účet,</w:t>
            </w:r>
            <w:r w:rsidRPr="00E2035C">
              <w:t xml:space="preserve"> je vložení prostředků (vkladu) na Účet v minimální výši 5000 Kč</w:t>
            </w:r>
            <w:r>
              <w:t xml:space="preserve">, </w:t>
            </w:r>
            <w:r w:rsidRPr="00010B5D">
              <w:t>1000 USD, 1000 EUR.</w:t>
            </w:r>
            <w:r w:rsidRPr="00E2035C">
              <w:t xml:space="preserve"> </w:t>
            </w:r>
            <w:r>
              <w:t>Tuto</w:t>
            </w:r>
            <w:r w:rsidRPr="00E2035C">
              <w:t xml:space="preserve"> částku zároveň stanovujeme jako minimální zůstatek na Účtu, který je podmínkou pro automatické obnovování Doby vkladu.</w:t>
            </w:r>
          </w:p>
        </w:tc>
      </w:tr>
      <w:tr w:rsidR="007E1016" w:rsidRPr="00E2035C" w14:paraId="09301B6F" w14:textId="77777777" w:rsidTr="00E03713">
        <w:tc>
          <w:tcPr>
            <w:tcW w:w="709" w:type="dxa"/>
            <w:tcBorders>
              <w:right w:val="single" w:sz="6" w:space="0" w:color="DCDADA"/>
            </w:tcBorders>
            <w:noWrap/>
            <w:tcMar>
              <w:left w:w="170" w:type="dxa"/>
            </w:tcMar>
          </w:tcPr>
          <w:p w14:paraId="5BD53EAD" w14:textId="77777777" w:rsidR="007E1016" w:rsidRDefault="007E1016" w:rsidP="00E03713">
            <w:pPr>
              <w:spacing w:before="40" w:after="40"/>
              <w:jc w:val="right"/>
              <w:rPr>
                <w:b/>
              </w:rPr>
            </w:pPr>
            <w:r w:rsidRPr="00E2035C">
              <w:rPr>
                <w:b/>
              </w:rPr>
              <w:t>1.2</w:t>
            </w:r>
          </w:p>
        </w:tc>
        <w:tc>
          <w:tcPr>
            <w:tcW w:w="8930" w:type="dxa"/>
            <w:gridSpan w:val="2"/>
            <w:tcBorders>
              <w:left w:val="single" w:sz="6" w:space="0" w:color="DCDADA"/>
            </w:tcBorders>
            <w:noWrap/>
          </w:tcPr>
          <w:p w14:paraId="1ED269C3" w14:textId="77777777" w:rsidR="007E1016" w:rsidRDefault="007E1016" w:rsidP="00E03713">
            <w:pPr>
              <w:tabs>
                <w:tab w:val="num" w:pos="426"/>
              </w:tabs>
              <w:overflowPunct w:val="0"/>
              <w:autoSpaceDE w:val="0"/>
              <w:autoSpaceDN w:val="0"/>
              <w:spacing w:before="40" w:after="40"/>
              <w:jc w:val="both"/>
            </w:pPr>
            <w:r w:rsidRPr="00E2035C">
              <w:rPr>
                <w:b/>
              </w:rPr>
              <w:t>Doba trvání smlouvy.</w:t>
            </w:r>
            <w:r w:rsidRPr="00E2035C">
              <w:t xml:space="preserve"> Smlouvu můžete uzavřít na dobu určitou, jejíž délka se v případě Účtu s jednorázovou splatností vkladu rovná sjednané délce Doby vkladu a v případě Účtu s automatickým obnovováním vkladu se rovná délce 5 let od data první splatnosti vkladu. Ve Smlouvě si můžete sjednat jednorázový vklad nebo automatické obnovení vkladu na další dobu stejné délky, není-li dále uvedeno jinak. </w:t>
            </w:r>
          </w:p>
        </w:tc>
      </w:tr>
      <w:tr w:rsidR="007E1016" w:rsidRPr="00E2035C" w14:paraId="71082F12" w14:textId="77777777" w:rsidTr="00E03713">
        <w:tc>
          <w:tcPr>
            <w:tcW w:w="709" w:type="dxa"/>
            <w:tcBorders>
              <w:right w:val="single" w:sz="6" w:space="0" w:color="DCDADA"/>
            </w:tcBorders>
            <w:noWrap/>
            <w:tcMar>
              <w:left w:w="170" w:type="dxa"/>
            </w:tcMar>
          </w:tcPr>
          <w:p w14:paraId="159930A4" w14:textId="77777777" w:rsidR="007E1016" w:rsidRDefault="007E1016" w:rsidP="00E03713">
            <w:pPr>
              <w:spacing w:before="40" w:after="40"/>
              <w:jc w:val="right"/>
              <w:rPr>
                <w:b/>
              </w:rPr>
            </w:pPr>
            <w:r w:rsidRPr="00E2035C">
              <w:rPr>
                <w:b/>
              </w:rPr>
              <w:t>1.3</w:t>
            </w:r>
          </w:p>
        </w:tc>
        <w:tc>
          <w:tcPr>
            <w:tcW w:w="8930" w:type="dxa"/>
            <w:gridSpan w:val="2"/>
            <w:tcBorders>
              <w:left w:val="single" w:sz="6" w:space="0" w:color="DCDADA"/>
            </w:tcBorders>
            <w:noWrap/>
          </w:tcPr>
          <w:p w14:paraId="30EBC9B6" w14:textId="77777777" w:rsidR="007E1016" w:rsidRDefault="007E1016" w:rsidP="006F48D9">
            <w:pPr>
              <w:tabs>
                <w:tab w:val="num" w:pos="426"/>
              </w:tabs>
              <w:overflowPunct w:val="0"/>
              <w:autoSpaceDE w:val="0"/>
              <w:autoSpaceDN w:val="0"/>
              <w:spacing w:before="40"/>
              <w:jc w:val="both"/>
            </w:pPr>
            <w:r w:rsidRPr="00E2035C">
              <w:rPr>
                <w:b/>
              </w:rPr>
              <w:t xml:space="preserve">Automatické obnovování vkladu. </w:t>
            </w:r>
            <w:r w:rsidRPr="00E2035C">
              <w:t>Dohodnete-li se s námi ve Smlouvě na automatickém obnovování vkladu, obnovuje se daný Vklad dokud:</w:t>
            </w:r>
          </w:p>
          <w:p w14:paraId="60A6258E" w14:textId="77777777" w:rsidR="007E1016" w:rsidRDefault="007E1016" w:rsidP="00787CEE">
            <w:pPr>
              <w:pStyle w:val="Odstavecseseznamem"/>
              <w:numPr>
                <w:ilvl w:val="0"/>
                <w:numId w:val="16"/>
              </w:numPr>
              <w:overflowPunct w:val="0"/>
              <w:autoSpaceDE w:val="0"/>
              <w:autoSpaceDN w:val="0"/>
              <w:ind w:left="227" w:hanging="227"/>
              <w:jc w:val="both"/>
            </w:pPr>
            <w:r w:rsidRPr="00E2035C">
              <w:t>zůstatek vkladu na Účtu v souladu se Smlouvou nevyberete v hotovosti nebo bezhotovostně nepřevedete na jiný účet</w:t>
            </w:r>
            <w:r>
              <w:t>;</w:t>
            </w:r>
          </w:p>
          <w:p w14:paraId="60FB9BA4" w14:textId="77777777" w:rsidR="007E1016" w:rsidRDefault="007E1016" w:rsidP="00787CEE">
            <w:pPr>
              <w:pStyle w:val="Odstavecseseznamem"/>
              <w:numPr>
                <w:ilvl w:val="0"/>
                <w:numId w:val="16"/>
              </w:numPr>
              <w:overflowPunct w:val="0"/>
              <w:autoSpaceDE w:val="0"/>
              <w:autoSpaceDN w:val="0"/>
              <w:ind w:left="227" w:hanging="227"/>
              <w:jc w:val="both"/>
            </w:pPr>
            <w:r w:rsidRPr="00E2035C">
              <w:t>zůstatek na Účtu neklesne pod výši minimálního zůstatku</w:t>
            </w:r>
            <w:r>
              <w:t>;</w:t>
            </w:r>
          </w:p>
          <w:p w14:paraId="2F8EC15D" w14:textId="77777777" w:rsidR="007E1016" w:rsidRDefault="007E1016" w:rsidP="00787CEE">
            <w:pPr>
              <w:pStyle w:val="Odstavecseseznamem"/>
              <w:numPr>
                <w:ilvl w:val="0"/>
                <w:numId w:val="16"/>
              </w:numPr>
              <w:overflowPunct w:val="0"/>
              <w:autoSpaceDE w:val="0"/>
              <w:autoSpaceDN w:val="0"/>
              <w:ind w:left="227" w:hanging="227"/>
              <w:jc w:val="both"/>
            </w:pPr>
            <w:r w:rsidRPr="00E2035C">
              <w:t>nedoručíte nám oznámení o tom, že rušíte automatické obnovování vkladu (oznámení o zrušení automatického obnovování vkladu nám můžete doručit nejpozději poslední den Doby vkladu)</w:t>
            </w:r>
            <w:r>
              <w:t>;</w:t>
            </w:r>
          </w:p>
          <w:p w14:paraId="129CDE03" w14:textId="77777777" w:rsidR="007E1016" w:rsidRDefault="007E1016" w:rsidP="00787CEE">
            <w:pPr>
              <w:pStyle w:val="Odstavecseseznamem"/>
              <w:numPr>
                <w:ilvl w:val="0"/>
                <w:numId w:val="16"/>
              </w:numPr>
              <w:overflowPunct w:val="0"/>
              <w:autoSpaceDE w:val="0"/>
              <w:autoSpaceDN w:val="0"/>
              <w:ind w:left="227" w:hanging="227"/>
              <w:jc w:val="both"/>
            </w:pPr>
            <w:r>
              <w:t>automatické obnovení v</w:t>
            </w:r>
            <w:r w:rsidRPr="00E2035C">
              <w:t xml:space="preserve">kladu nezrušíme </w:t>
            </w:r>
            <w:r>
              <w:t>(</w:t>
            </w:r>
            <w:r w:rsidRPr="00E2035C">
              <w:t>sdělíme vám to písemně způsobem stanoveným ve Smlouvě a</w:t>
            </w:r>
            <w:r>
              <w:t> </w:t>
            </w:r>
            <w:r w:rsidRPr="00E2035C">
              <w:t xml:space="preserve">obnovování vkladu ukončíme nejdříve ke dni splatnosti vkladu následujícím po odeslání tohoto </w:t>
            </w:r>
            <w:r>
              <w:t>sdělení)</w:t>
            </w:r>
            <w:r w:rsidRPr="00E2035C">
              <w:t xml:space="preserve"> nebo</w:t>
            </w:r>
          </w:p>
          <w:p w14:paraId="26FDC8AC" w14:textId="77777777" w:rsidR="007E1016" w:rsidRDefault="007E1016" w:rsidP="00787CEE">
            <w:pPr>
              <w:pStyle w:val="Odstavecseseznamem"/>
              <w:numPr>
                <w:ilvl w:val="0"/>
                <w:numId w:val="16"/>
              </w:numPr>
              <w:overflowPunct w:val="0"/>
              <w:autoSpaceDE w:val="0"/>
              <w:autoSpaceDN w:val="0"/>
              <w:spacing w:after="40"/>
              <w:ind w:left="227" w:hanging="227"/>
              <w:jc w:val="both"/>
            </w:pPr>
            <w:r w:rsidRPr="00E2035C">
              <w:t>neuběhne doba 5 let ode dne ukončení první Doby vkladu.</w:t>
            </w:r>
          </w:p>
        </w:tc>
      </w:tr>
      <w:tr w:rsidR="007E1016" w:rsidRPr="00E2035C" w14:paraId="2CCDC8C3" w14:textId="77777777" w:rsidTr="00E03713">
        <w:tc>
          <w:tcPr>
            <w:tcW w:w="709" w:type="dxa"/>
            <w:tcBorders>
              <w:right w:val="single" w:sz="6" w:space="0" w:color="DCDADA"/>
            </w:tcBorders>
            <w:noWrap/>
            <w:tcMar>
              <w:left w:w="170" w:type="dxa"/>
            </w:tcMar>
          </w:tcPr>
          <w:p w14:paraId="6202B568" w14:textId="77777777" w:rsidR="007E1016" w:rsidRDefault="007E1016" w:rsidP="00E03713">
            <w:pPr>
              <w:spacing w:before="40" w:after="40"/>
              <w:jc w:val="right"/>
              <w:rPr>
                <w:b/>
              </w:rPr>
            </w:pPr>
            <w:r>
              <w:rPr>
                <w:b/>
              </w:rPr>
              <w:t>1.4</w:t>
            </w:r>
          </w:p>
        </w:tc>
        <w:tc>
          <w:tcPr>
            <w:tcW w:w="8930" w:type="dxa"/>
            <w:gridSpan w:val="2"/>
            <w:tcBorders>
              <w:left w:val="single" w:sz="6" w:space="0" w:color="DCDADA"/>
            </w:tcBorders>
            <w:noWrap/>
          </w:tcPr>
          <w:p w14:paraId="1CF637F7" w14:textId="77777777" w:rsidR="007E1016" w:rsidRDefault="007E1016" w:rsidP="00E03713">
            <w:pPr>
              <w:tabs>
                <w:tab w:val="num" w:pos="426"/>
              </w:tabs>
              <w:overflowPunct w:val="0"/>
              <w:autoSpaceDE w:val="0"/>
              <w:autoSpaceDN w:val="0"/>
              <w:spacing w:before="40" w:after="40"/>
              <w:jc w:val="both"/>
              <w:rPr>
                <w:b/>
              </w:rPr>
            </w:pPr>
            <w:r>
              <w:rPr>
                <w:b/>
              </w:rPr>
              <w:t xml:space="preserve">Konečná </w:t>
            </w:r>
            <w:r w:rsidRPr="0041355A">
              <w:rPr>
                <w:b/>
              </w:rPr>
              <w:t>splatnost vkladu.</w:t>
            </w:r>
            <w:r>
              <w:t xml:space="preserve"> </w:t>
            </w:r>
            <w:r w:rsidRPr="00E2035C">
              <w:t>Poslední den obnovované splatnosti vkladu před dosažením uvedeného pětiletého období je dnem konečné jednorázové splatnosti vkladu. Další automatické obnovování vkladu můžete sjednat nejpozději poslední den uvedeného pětiletého období, a to formou dodatku ke Smlouvě.</w:t>
            </w:r>
          </w:p>
        </w:tc>
      </w:tr>
      <w:tr w:rsidR="007E1016" w:rsidRPr="00E2035C" w14:paraId="27D46BD2" w14:textId="77777777" w:rsidTr="00E03713">
        <w:tc>
          <w:tcPr>
            <w:tcW w:w="709" w:type="dxa"/>
            <w:tcBorders>
              <w:right w:val="single" w:sz="6" w:space="0" w:color="DCDADA"/>
            </w:tcBorders>
            <w:noWrap/>
            <w:tcMar>
              <w:left w:w="170" w:type="dxa"/>
            </w:tcMar>
          </w:tcPr>
          <w:p w14:paraId="6D9BA5FF" w14:textId="77777777" w:rsidR="007E1016" w:rsidRDefault="007E1016" w:rsidP="00E03713">
            <w:pPr>
              <w:spacing w:before="40" w:after="40"/>
              <w:jc w:val="right"/>
              <w:rPr>
                <w:b/>
              </w:rPr>
            </w:pPr>
            <w:r w:rsidRPr="00E2035C">
              <w:rPr>
                <w:b/>
              </w:rPr>
              <w:t>1.</w:t>
            </w:r>
            <w:r>
              <w:rPr>
                <w:b/>
              </w:rPr>
              <w:t>5</w:t>
            </w:r>
          </w:p>
        </w:tc>
        <w:tc>
          <w:tcPr>
            <w:tcW w:w="8930" w:type="dxa"/>
            <w:gridSpan w:val="2"/>
            <w:tcBorders>
              <w:left w:val="single" w:sz="6" w:space="0" w:color="DCDADA"/>
            </w:tcBorders>
            <w:noWrap/>
          </w:tcPr>
          <w:p w14:paraId="073C1A95" w14:textId="77777777" w:rsidR="007E1016" w:rsidRDefault="007E1016" w:rsidP="00E03713">
            <w:pPr>
              <w:tabs>
                <w:tab w:val="num" w:pos="426"/>
              </w:tabs>
              <w:overflowPunct w:val="0"/>
              <w:autoSpaceDE w:val="0"/>
              <w:autoSpaceDN w:val="0"/>
              <w:spacing w:before="40" w:after="40"/>
              <w:jc w:val="both"/>
            </w:pPr>
            <w:r w:rsidRPr="00E2035C">
              <w:rPr>
                <w:b/>
              </w:rPr>
              <w:t>Změna</w:t>
            </w:r>
            <w:r>
              <w:rPr>
                <w:b/>
              </w:rPr>
              <w:t xml:space="preserve"> jednorázového vkladu</w:t>
            </w:r>
            <w:r w:rsidRPr="00E2035C">
              <w:rPr>
                <w:b/>
              </w:rPr>
              <w:t>.</w:t>
            </w:r>
            <w:r w:rsidRPr="00E2035C">
              <w:t xml:space="preserve"> Nejpozději v den splatnosti vkladu se s námi můžete dohodnout na změně jednorázového vkladu na automatické obnovování vkladu, a to formou dodatku ke Smlouvě. Pokud tak neučiníte, je Doba vkladu sjednaná pro jednorázový vklad zároveň poslední Dobou vkladu.</w:t>
            </w:r>
          </w:p>
        </w:tc>
      </w:tr>
      <w:tr w:rsidR="007E1016" w:rsidRPr="00E2035C" w14:paraId="3C3C0E52" w14:textId="77777777" w:rsidTr="00E03713">
        <w:trPr>
          <w:trHeight w:val="705"/>
        </w:trPr>
        <w:tc>
          <w:tcPr>
            <w:tcW w:w="709" w:type="dxa"/>
            <w:tcBorders>
              <w:right w:val="single" w:sz="6" w:space="0" w:color="DCDADA"/>
            </w:tcBorders>
            <w:noWrap/>
            <w:tcMar>
              <w:left w:w="170" w:type="dxa"/>
            </w:tcMar>
          </w:tcPr>
          <w:p w14:paraId="1B3918C7" w14:textId="77777777" w:rsidR="007E1016" w:rsidRPr="00BE08DC" w:rsidRDefault="007E1016" w:rsidP="00C469E4">
            <w:pPr>
              <w:spacing w:before="40" w:after="40"/>
              <w:jc w:val="right"/>
              <w:rPr>
                <w:b/>
                <w:bCs/>
              </w:rPr>
            </w:pPr>
            <w:r w:rsidRPr="00BE08DC">
              <w:rPr>
                <w:b/>
              </w:rPr>
              <w:t>1.6</w:t>
            </w:r>
          </w:p>
        </w:tc>
        <w:tc>
          <w:tcPr>
            <w:tcW w:w="8930" w:type="dxa"/>
            <w:gridSpan w:val="2"/>
            <w:tcBorders>
              <w:left w:val="single" w:sz="6" w:space="0" w:color="DCDADA"/>
            </w:tcBorders>
            <w:noWrap/>
          </w:tcPr>
          <w:p w14:paraId="78785AB0" w14:textId="77777777" w:rsidR="007E1016" w:rsidRPr="00BE08DC" w:rsidRDefault="007E1016" w:rsidP="00E03713">
            <w:pPr>
              <w:tabs>
                <w:tab w:val="num" w:pos="426"/>
              </w:tabs>
              <w:overflowPunct w:val="0"/>
              <w:autoSpaceDE w:val="0"/>
              <w:autoSpaceDN w:val="0"/>
              <w:spacing w:before="40" w:after="40"/>
              <w:jc w:val="both"/>
            </w:pPr>
            <w:r w:rsidRPr="00BE08DC">
              <w:rPr>
                <w:b/>
              </w:rPr>
              <w:t xml:space="preserve">Zvýšení vkladu. </w:t>
            </w:r>
            <w:r w:rsidRPr="00BE08DC">
              <w:t xml:space="preserve">Vklad na Účtu můžete zvýšit pouze v den obnovení vkladu a při zvýšení vkladu v hotovosti pouze o částku v minimální výši 1000 Kč, případně protihodnoty v cizí měně. Přepočet mezi různými měnami provedeme příslušným Kurzem platným v den uskutečnění dané operace. Pokud však budou prostředky na Účet připsány v průběhu Doby vkladu, budeme je úročit až od prvního dne následující Doby vkladu. </w:t>
            </w:r>
          </w:p>
        </w:tc>
      </w:tr>
      <w:tr w:rsidR="007E1016" w:rsidRPr="00E2035C" w14:paraId="6CFDBBF6" w14:textId="77777777" w:rsidTr="00E03713">
        <w:tc>
          <w:tcPr>
            <w:tcW w:w="709" w:type="dxa"/>
            <w:tcBorders>
              <w:right w:val="single" w:sz="6" w:space="0" w:color="DCDADA"/>
            </w:tcBorders>
            <w:noWrap/>
            <w:tcMar>
              <w:left w:w="170" w:type="dxa"/>
            </w:tcMar>
          </w:tcPr>
          <w:p w14:paraId="66FE2758" w14:textId="77777777" w:rsidR="007E1016" w:rsidRDefault="007E1016" w:rsidP="00E03713">
            <w:pPr>
              <w:spacing w:before="40" w:after="40"/>
              <w:jc w:val="right"/>
              <w:rPr>
                <w:b/>
              </w:rPr>
            </w:pPr>
            <w:r w:rsidRPr="00E2035C">
              <w:rPr>
                <w:b/>
              </w:rPr>
              <w:t>1.</w:t>
            </w:r>
            <w:r>
              <w:rPr>
                <w:b/>
              </w:rPr>
              <w:t>7</w:t>
            </w:r>
          </w:p>
        </w:tc>
        <w:tc>
          <w:tcPr>
            <w:tcW w:w="8930" w:type="dxa"/>
            <w:gridSpan w:val="2"/>
            <w:tcBorders>
              <w:left w:val="single" w:sz="6" w:space="0" w:color="DCDADA"/>
            </w:tcBorders>
            <w:noWrap/>
          </w:tcPr>
          <w:p w14:paraId="3F3846B7" w14:textId="77777777" w:rsidR="007E1016" w:rsidRDefault="00C469E4" w:rsidP="00E03713">
            <w:pPr>
              <w:tabs>
                <w:tab w:val="num" w:pos="426"/>
              </w:tabs>
              <w:overflowPunct w:val="0"/>
              <w:autoSpaceDE w:val="0"/>
              <w:autoSpaceDN w:val="0"/>
              <w:spacing w:before="40" w:after="40"/>
              <w:jc w:val="both"/>
            </w:pPr>
            <w:r w:rsidRPr="00E2035C">
              <w:rPr>
                <w:b/>
              </w:rPr>
              <w:t>Úročení.</w:t>
            </w:r>
            <w:r w:rsidRPr="00E2035C">
              <w:t xml:space="preserve"> Účty jsou zřizovány s pevnou roční úrokovou sazbou sjednanou ve Smlouvě, která je neměnná v průběhu trvání Doby vkladu. Nedohodneme-li se s vámi jinak, v den obnovení vkladu úrokovou sazbu aktualizujeme na úrokovou sazbu stanovenou v Oznámení o úrokových sazbách pro odpovídající měnu a</w:t>
            </w:r>
            <w:r>
              <w:t> </w:t>
            </w:r>
            <w:r w:rsidRPr="00E2035C">
              <w:t>délku vkladu.</w:t>
            </w:r>
            <w:r>
              <w:t xml:space="preserve"> Ode dne (konečné) </w:t>
            </w:r>
            <w:r w:rsidRPr="00E2035C">
              <w:t xml:space="preserve">jednorázové splatnosti vkladu se vklad dále </w:t>
            </w:r>
            <w:proofErr w:type="gramStart"/>
            <w:r w:rsidRPr="00E2035C">
              <w:t>neúročí</w:t>
            </w:r>
            <w:proofErr w:type="gramEnd"/>
            <w:r w:rsidR="007E1016" w:rsidRPr="00E2035C">
              <w:t>.</w:t>
            </w:r>
          </w:p>
        </w:tc>
      </w:tr>
      <w:tr w:rsidR="007E1016" w:rsidRPr="00E2035C" w14:paraId="73FFC5E2" w14:textId="77777777" w:rsidTr="00E03713">
        <w:tc>
          <w:tcPr>
            <w:tcW w:w="709" w:type="dxa"/>
            <w:tcBorders>
              <w:right w:val="single" w:sz="6" w:space="0" w:color="DCDADA"/>
            </w:tcBorders>
            <w:noWrap/>
            <w:tcMar>
              <w:left w:w="170" w:type="dxa"/>
            </w:tcMar>
          </w:tcPr>
          <w:p w14:paraId="5D20B245" w14:textId="77777777" w:rsidR="007E1016" w:rsidRDefault="007E1016" w:rsidP="00E03713">
            <w:pPr>
              <w:spacing w:before="40" w:after="40"/>
              <w:jc w:val="right"/>
              <w:rPr>
                <w:b/>
              </w:rPr>
            </w:pPr>
            <w:r w:rsidRPr="00E2035C">
              <w:rPr>
                <w:b/>
              </w:rPr>
              <w:t>1.</w:t>
            </w:r>
            <w:r>
              <w:rPr>
                <w:b/>
              </w:rPr>
              <w:t>8</w:t>
            </w:r>
          </w:p>
        </w:tc>
        <w:tc>
          <w:tcPr>
            <w:tcW w:w="8930" w:type="dxa"/>
            <w:gridSpan w:val="2"/>
            <w:tcBorders>
              <w:left w:val="single" w:sz="6" w:space="0" w:color="DCDADA"/>
            </w:tcBorders>
            <w:noWrap/>
          </w:tcPr>
          <w:p w14:paraId="4A63DC1B" w14:textId="77777777" w:rsidR="007E1016" w:rsidRDefault="007E1016" w:rsidP="00E03713">
            <w:pPr>
              <w:tabs>
                <w:tab w:val="num" w:pos="426"/>
              </w:tabs>
              <w:overflowPunct w:val="0"/>
              <w:autoSpaceDE w:val="0"/>
              <w:autoSpaceDN w:val="0"/>
              <w:spacing w:before="40" w:after="40"/>
              <w:jc w:val="both"/>
            </w:pPr>
            <w:r w:rsidRPr="00E2035C">
              <w:rPr>
                <w:b/>
              </w:rPr>
              <w:t>Nakládání</w:t>
            </w:r>
            <w:r>
              <w:rPr>
                <w:b/>
              </w:rPr>
              <w:t xml:space="preserve"> </w:t>
            </w:r>
            <w:r w:rsidRPr="00E2035C">
              <w:rPr>
                <w:b/>
              </w:rPr>
              <w:t>s vkladem.</w:t>
            </w:r>
            <w:r w:rsidRPr="00E2035C">
              <w:t xml:space="preserve"> Prostředky z Účtu můžete vybírat pouze v den splatnosti vkladu. Na Účtu však provedeme pouze jeden jednorázový Příkaz k úhradě denně. Pokud obdržíme více Příkazů, provedeme pouze jeden z nich podle vlastní volby a ostatní odmítneme, nedohodne-li se s vámi jinak. Neodpovídáme za nesprávně provedenou transakci u Příkazů, které jsme takto odmítli, ani za případné škody vzniklé v důsledku takového našeho postupu nebo v souvislosti s ním. Výběr z Účtu můžete provést hotovostně nebo bezhotovostním převodem na jiný účet. Příkazy k nakládání s prostředky na Účtu nám nelze předávat prostřednictvím samoobslužného boxu Banky.</w:t>
            </w:r>
            <w:r>
              <w:t xml:space="preserve"> </w:t>
            </w:r>
            <w:r w:rsidRPr="00E2035C">
              <w:t>V případě, že den splatnosti vkladu připadne na den, který není Obchodním dnem, můžete výběr vkladu (včetně k němu připsaných úroků) v hotovosti provést v</w:t>
            </w:r>
            <w:r>
              <w:t> </w:t>
            </w:r>
            <w:r w:rsidRPr="00E2035C">
              <w:t>nejbližší následující Obchodní den.</w:t>
            </w:r>
          </w:p>
        </w:tc>
      </w:tr>
      <w:tr w:rsidR="007E1016" w:rsidRPr="00E2035C" w14:paraId="03FDB3E2" w14:textId="77777777" w:rsidTr="00E03713">
        <w:tc>
          <w:tcPr>
            <w:tcW w:w="709" w:type="dxa"/>
            <w:tcBorders>
              <w:right w:val="single" w:sz="6" w:space="0" w:color="DCDADA"/>
            </w:tcBorders>
            <w:noWrap/>
            <w:tcMar>
              <w:left w:w="170" w:type="dxa"/>
            </w:tcMar>
          </w:tcPr>
          <w:p w14:paraId="36575348" w14:textId="77777777" w:rsidR="007E1016" w:rsidRDefault="007E1016" w:rsidP="00E03713">
            <w:pPr>
              <w:spacing w:before="40" w:after="40"/>
              <w:jc w:val="right"/>
              <w:rPr>
                <w:b/>
              </w:rPr>
            </w:pPr>
            <w:r w:rsidRPr="00E2035C">
              <w:rPr>
                <w:b/>
              </w:rPr>
              <w:t>1.</w:t>
            </w:r>
            <w:r>
              <w:rPr>
                <w:b/>
              </w:rPr>
              <w:t>9</w:t>
            </w:r>
          </w:p>
        </w:tc>
        <w:tc>
          <w:tcPr>
            <w:tcW w:w="8930" w:type="dxa"/>
            <w:gridSpan w:val="2"/>
            <w:tcBorders>
              <w:left w:val="single" w:sz="6" w:space="0" w:color="DCDADA"/>
            </w:tcBorders>
            <w:noWrap/>
          </w:tcPr>
          <w:p w14:paraId="4F22C573" w14:textId="77777777" w:rsidR="007E1016" w:rsidRDefault="007E1016" w:rsidP="00E03713">
            <w:pPr>
              <w:tabs>
                <w:tab w:val="num" w:pos="426"/>
              </w:tabs>
              <w:overflowPunct w:val="0"/>
              <w:autoSpaceDE w:val="0"/>
              <w:autoSpaceDN w:val="0"/>
              <w:spacing w:before="40" w:after="40"/>
              <w:jc w:val="both"/>
            </w:pPr>
            <w:r w:rsidRPr="00E2035C">
              <w:rPr>
                <w:b/>
              </w:rPr>
              <w:t>Den splatnosti vkladu.</w:t>
            </w:r>
            <w:r w:rsidRPr="00E2035C">
              <w:t xml:space="preserve"> Den splatnosti vkladu nastává poslední den Doby vkladu, který je v případě vkladů s automatickým obnovováním dnem obnovení vkladu.</w:t>
            </w:r>
          </w:p>
        </w:tc>
      </w:tr>
      <w:tr w:rsidR="007E1016" w:rsidRPr="00E2035C" w14:paraId="770309A0" w14:textId="77777777" w:rsidTr="00E03713">
        <w:tc>
          <w:tcPr>
            <w:tcW w:w="709" w:type="dxa"/>
            <w:tcBorders>
              <w:right w:val="single" w:sz="6" w:space="0" w:color="DCDADA"/>
            </w:tcBorders>
            <w:noWrap/>
            <w:tcMar>
              <w:left w:w="170" w:type="dxa"/>
            </w:tcMar>
          </w:tcPr>
          <w:p w14:paraId="36EA962E" w14:textId="77777777" w:rsidR="007E1016" w:rsidRDefault="007E1016" w:rsidP="00E03713">
            <w:pPr>
              <w:spacing w:before="40" w:after="40"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Pr="00E2035C">
              <w:rPr>
                <w:b/>
              </w:rPr>
              <w:t>.</w:t>
            </w:r>
            <w:r>
              <w:rPr>
                <w:b/>
              </w:rPr>
              <w:t>10</w:t>
            </w:r>
          </w:p>
        </w:tc>
        <w:tc>
          <w:tcPr>
            <w:tcW w:w="8930" w:type="dxa"/>
            <w:gridSpan w:val="2"/>
            <w:tcBorders>
              <w:left w:val="single" w:sz="6" w:space="0" w:color="DCDADA"/>
            </w:tcBorders>
            <w:noWrap/>
          </w:tcPr>
          <w:p w14:paraId="60903B93" w14:textId="77777777" w:rsidR="007E1016" w:rsidRDefault="007E1016" w:rsidP="006F48D9">
            <w:pPr>
              <w:tabs>
                <w:tab w:val="num" w:pos="426"/>
              </w:tabs>
              <w:overflowPunct w:val="0"/>
              <w:autoSpaceDE w:val="0"/>
              <w:autoSpaceDN w:val="0"/>
              <w:spacing w:before="40"/>
              <w:jc w:val="both"/>
            </w:pPr>
            <w:r w:rsidRPr="00E2035C">
              <w:rPr>
                <w:b/>
              </w:rPr>
              <w:t xml:space="preserve">Zánik smluvního vztahu. </w:t>
            </w:r>
            <w:r w:rsidRPr="00E2035C">
              <w:t>Smlouva vždy zanikne</w:t>
            </w:r>
          </w:p>
          <w:p w14:paraId="184A6094" w14:textId="77777777" w:rsidR="007E1016" w:rsidRDefault="007E1016" w:rsidP="00787CEE">
            <w:pPr>
              <w:pStyle w:val="Odstavecseseznamem"/>
              <w:numPr>
                <w:ilvl w:val="0"/>
                <w:numId w:val="18"/>
              </w:numPr>
              <w:overflowPunct w:val="0"/>
              <w:autoSpaceDE w:val="0"/>
              <w:autoSpaceDN w:val="0"/>
              <w:ind w:left="227" w:hanging="227"/>
              <w:jc w:val="both"/>
            </w:pPr>
            <w:r w:rsidRPr="00E2035C">
              <w:t>uplynutím Doby vkladu (u Účtů s automatickým obnovováním vkladu Smlouva zanikne v okamžiku, kdy nastane jednorázová splatnost vkladu, nebo v okamžiku nejbližší splatnosti vkladu v případě, že jedna ze smluvních stran automatické obnovování vkladu v souladu s těmito Podmínkami a Smlouvou zrušila)</w:t>
            </w:r>
            <w:r>
              <w:t>;</w:t>
            </w:r>
          </w:p>
          <w:p w14:paraId="7867D000" w14:textId="77777777" w:rsidR="007E1016" w:rsidRDefault="007E1016" w:rsidP="00787CEE">
            <w:pPr>
              <w:pStyle w:val="Odstavecseseznamem"/>
              <w:numPr>
                <w:ilvl w:val="0"/>
                <w:numId w:val="18"/>
              </w:numPr>
              <w:overflowPunct w:val="0"/>
              <w:autoSpaceDE w:val="0"/>
              <w:autoSpaceDN w:val="0"/>
              <w:ind w:left="227" w:hanging="227"/>
              <w:jc w:val="both"/>
            </w:pPr>
            <w:r w:rsidRPr="00E2035C">
              <w:t>v den splatnosti vkladu, jestliže zůstatek na Účtu poklesne pod minimální zůstatek</w:t>
            </w:r>
            <w:r>
              <w:t>;</w:t>
            </w:r>
          </w:p>
          <w:p w14:paraId="41A37FB8" w14:textId="77777777" w:rsidR="007E1016" w:rsidRDefault="007E1016" w:rsidP="00787CEE">
            <w:pPr>
              <w:pStyle w:val="Odstavecseseznamem"/>
              <w:numPr>
                <w:ilvl w:val="0"/>
                <w:numId w:val="18"/>
              </w:numPr>
              <w:overflowPunct w:val="0"/>
              <w:autoSpaceDE w:val="0"/>
              <w:autoSpaceDN w:val="0"/>
              <w:ind w:left="227" w:hanging="227"/>
              <w:jc w:val="both"/>
            </w:pPr>
            <w:r w:rsidRPr="00E2035C">
              <w:t>provedením výběru celého zůstatku vkladu v den splatnosti nebo jako Předčasného výběru</w:t>
            </w:r>
            <w:r>
              <w:t xml:space="preserve"> nebo</w:t>
            </w:r>
          </w:p>
          <w:p w14:paraId="38678917" w14:textId="77777777" w:rsidR="007E1016" w:rsidRDefault="007E1016" w:rsidP="00787CEE">
            <w:pPr>
              <w:pStyle w:val="Odstavecseseznamem"/>
              <w:numPr>
                <w:ilvl w:val="0"/>
                <w:numId w:val="18"/>
              </w:numPr>
              <w:overflowPunct w:val="0"/>
              <w:autoSpaceDE w:val="0"/>
              <w:autoSpaceDN w:val="0"/>
              <w:spacing w:after="40"/>
              <w:ind w:left="227" w:hanging="227"/>
              <w:jc w:val="both"/>
              <w:rPr>
                <w:b/>
              </w:rPr>
            </w:pPr>
            <w:r w:rsidRPr="00E2035C">
              <w:t>naší výpovědí s okamžitou účinností.</w:t>
            </w:r>
          </w:p>
        </w:tc>
      </w:tr>
      <w:tr w:rsidR="007E1016" w:rsidRPr="00E2035C" w14:paraId="45C8DCF8" w14:textId="77777777" w:rsidTr="00E03713">
        <w:tc>
          <w:tcPr>
            <w:tcW w:w="709" w:type="dxa"/>
            <w:tcBorders>
              <w:right w:val="single" w:sz="6" w:space="0" w:color="DCDADA"/>
            </w:tcBorders>
            <w:noWrap/>
            <w:tcMar>
              <w:left w:w="170" w:type="dxa"/>
            </w:tcMar>
          </w:tcPr>
          <w:p w14:paraId="4A9529E6" w14:textId="77777777" w:rsidR="007E1016" w:rsidRDefault="007E1016" w:rsidP="00E03713">
            <w:pPr>
              <w:spacing w:before="40" w:after="40"/>
              <w:jc w:val="right"/>
              <w:rPr>
                <w:b/>
              </w:rPr>
            </w:pPr>
            <w:r>
              <w:rPr>
                <w:b/>
              </w:rPr>
              <w:t>1.11</w:t>
            </w:r>
          </w:p>
        </w:tc>
        <w:tc>
          <w:tcPr>
            <w:tcW w:w="8930" w:type="dxa"/>
            <w:gridSpan w:val="2"/>
            <w:tcBorders>
              <w:left w:val="single" w:sz="6" w:space="0" w:color="DCDADA"/>
            </w:tcBorders>
            <w:noWrap/>
          </w:tcPr>
          <w:p w14:paraId="57753040" w14:textId="77777777" w:rsidR="007E1016" w:rsidRDefault="007E1016" w:rsidP="00E03713">
            <w:pPr>
              <w:tabs>
                <w:tab w:val="num" w:pos="426"/>
              </w:tabs>
              <w:overflowPunct w:val="0"/>
              <w:autoSpaceDE w:val="0"/>
              <w:autoSpaceDN w:val="0"/>
              <w:spacing w:before="40" w:after="40"/>
              <w:jc w:val="both"/>
            </w:pPr>
            <w:r w:rsidRPr="002C3BD6">
              <w:t>Dále v těchto Podmínkách jsou stanoven</w:t>
            </w:r>
            <w:r>
              <w:t>y další speciální podmínky vedení jednotlivých typů vkladových účtů.</w:t>
            </w:r>
          </w:p>
        </w:tc>
      </w:tr>
      <w:tr w:rsidR="007E1016" w:rsidRPr="00D97F87" w14:paraId="20C382F3" w14:textId="77777777" w:rsidTr="00E037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170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tcFitText/>
          </w:tcPr>
          <w:p w14:paraId="45D1E824" w14:textId="77777777" w:rsidR="007E1016" w:rsidRDefault="007E1016" w:rsidP="00B204B6"/>
        </w:tc>
      </w:tr>
      <w:tr w:rsidR="007E1016" w:rsidRPr="00E2035C" w14:paraId="55B60E2E" w14:textId="77777777" w:rsidTr="00E03713">
        <w:tblPrEx>
          <w:shd w:val="clear" w:color="auto" w:fill="EF6D63"/>
          <w:tblLook w:val="0680" w:firstRow="0" w:lastRow="0" w:firstColumn="1" w:lastColumn="0" w:noHBand="1" w:noVBand="1"/>
        </w:tblPrEx>
        <w:trPr>
          <w:trHeight w:hRule="exact" w:val="369"/>
        </w:trPr>
        <w:tc>
          <w:tcPr>
            <w:tcW w:w="9639" w:type="dxa"/>
            <w:gridSpan w:val="3"/>
            <w:shd w:val="clear" w:color="auto" w:fill="ED6B61"/>
            <w:vAlign w:val="center"/>
          </w:tcPr>
          <w:p w14:paraId="07835DE7" w14:textId="77777777" w:rsidR="007E1016" w:rsidRPr="00E2035C" w:rsidRDefault="007E1016" w:rsidP="00E03713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b/>
                <w:bCs/>
                <w:color w:val="FFFFFF"/>
                <w:sz w:val="22"/>
                <w:szCs w:val="22"/>
              </w:rPr>
            </w:pPr>
            <w:r w:rsidRPr="00E2035C">
              <w:rPr>
                <w:rFonts w:eastAsia="Times New Roman"/>
                <w:b/>
                <w:bCs/>
                <w:color w:val="FFFFFF"/>
                <w:sz w:val="22"/>
                <w:szCs w:val="22"/>
              </w:rPr>
              <w:t>Článek 2. Další podmínky pro termínované účty</w:t>
            </w:r>
          </w:p>
        </w:tc>
      </w:tr>
      <w:tr w:rsidR="007E1016" w:rsidRPr="00D97F87" w14:paraId="06D16B00" w14:textId="77777777" w:rsidTr="00E037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170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4ADB72" w14:textId="77777777" w:rsidR="007E1016" w:rsidRDefault="007E1016" w:rsidP="00B204B6">
            <w:pPr>
              <w:keepNext/>
              <w:keepLines/>
            </w:pPr>
          </w:p>
        </w:tc>
      </w:tr>
      <w:tr w:rsidR="007E1016" w:rsidRPr="00E2035C" w14:paraId="288A6860" w14:textId="77777777" w:rsidTr="00E03713">
        <w:tc>
          <w:tcPr>
            <w:tcW w:w="737" w:type="dxa"/>
            <w:gridSpan w:val="2"/>
            <w:tcBorders>
              <w:right w:val="single" w:sz="6" w:space="0" w:color="DCDADA"/>
            </w:tcBorders>
            <w:noWrap/>
            <w:tcMar>
              <w:left w:w="170" w:type="dxa"/>
              <w:right w:w="170" w:type="dxa"/>
            </w:tcMar>
          </w:tcPr>
          <w:p w14:paraId="2B029686" w14:textId="77777777" w:rsidR="007E1016" w:rsidRDefault="007E1016" w:rsidP="00E03713">
            <w:pPr>
              <w:spacing w:before="40" w:after="40"/>
              <w:jc w:val="right"/>
              <w:rPr>
                <w:b/>
              </w:rPr>
            </w:pPr>
            <w:r w:rsidRPr="00E2035C">
              <w:rPr>
                <w:b/>
              </w:rPr>
              <w:t>2.1</w:t>
            </w:r>
          </w:p>
        </w:tc>
        <w:tc>
          <w:tcPr>
            <w:tcW w:w="8902" w:type="dxa"/>
            <w:tcBorders>
              <w:left w:val="single" w:sz="6" w:space="0" w:color="DCDADA"/>
            </w:tcBorders>
            <w:noWrap/>
          </w:tcPr>
          <w:p w14:paraId="1D555D03" w14:textId="77777777" w:rsidR="007E1016" w:rsidRDefault="007E1016" w:rsidP="006F48D9">
            <w:pPr>
              <w:tabs>
                <w:tab w:val="num" w:pos="425"/>
              </w:tabs>
              <w:spacing w:before="40"/>
              <w:jc w:val="both"/>
            </w:pPr>
            <w:r w:rsidRPr="00ED21D5">
              <w:rPr>
                <w:b/>
              </w:rPr>
              <w:t>Doba vkladu</w:t>
            </w:r>
            <w:r w:rsidRPr="005105C4">
              <w:rPr>
                <w:b/>
              </w:rPr>
              <w:t>.</w:t>
            </w:r>
            <w:r w:rsidRPr="005105C4">
              <w:t xml:space="preserve"> Podle sjednané délky Doby vkladu vedeme termínovaný účet jako</w:t>
            </w:r>
          </w:p>
          <w:p w14:paraId="6EDDF6C2" w14:textId="77777777" w:rsidR="007E1016" w:rsidRDefault="007E1016" w:rsidP="00787CEE">
            <w:pPr>
              <w:pStyle w:val="Odstavecseseznamem"/>
              <w:numPr>
                <w:ilvl w:val="0"/>
                <w:numId w:val="2"/>
              </w:numPr>
              <w:ind w:left="227" w:hanging="227"/>
              <w:jc w:val="both"/>
              <w:rPr>
                <w:rFonts w:cs="Times New Roman"/>
              </w:rPr>
            </w:pPr>
            <w:r w:rsidRPr="005105C4">
              <w:rPr>
                <w:rFonts w:cs="Times New Roman"/>
                <w:b/>
              </w:rPr>
              <w:t>Krátkodobý účet</w:t>
            </w:r>
            <w:r w:rsidRPr="005105C4">
              <w:rPr>
                <w:rFonts w:cs="Times New Roman"/>
              </w:rPr>
              <w:t xml:space="preserve"> s Dobou vkladu v délce 7 nebo 14 dnů, nebo 1, 3, 6, nebo 12 měsíců nebo </w:t>
            </w:r>
          </w:p>
          <w:p w14:paraId="545052EE" w14:textId="77777777" w:rsidR="007E1016" w:rsidRDefault="007E1016" w:rsidP="00787CEE">
            <w:pPr>
              <w:pStyle w:val="Odstavecseseznamem"/>
              <w:numPr>
                <w:ilvl w:val="0"/>
                <w:numId w:val="2"/>
              </w:numPr>
              <w:spacing w:after="40"/>
              <w:ind w:left="227" w:hanging="227"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>Střednědobý účet</w:t>
            </w:r>
            <w:r>
              <w:rPr>
                <w:rFonts w:cs="Times New Roman"/>
              </w:rPr>
              <w:t xml:space="preserve"> s Dobou vkladu v délce 2, 3, 4 nebo 5 </w:t>
            </w:r>
            <w:proofErr w:type="gramStart"/>
            <w:r>
              <w:rPr>
                <w:rFonts w:cs="Times New Roman"/>
              </w:rPr>
              <w:t>let - lze</w:t>
            </w:r>
            <w:proofErr w:type="gramEnd"/>
            <w:r>
              <w:rPr>
                <w:rFonts w:cs="Times New Roman"/>
              </w:rPr>
              <w:t xml:space="preserve"> sjednat pouze jednorázovou splatnost vkladu.</w:t>
            </w:r>
          </w:p>
        </w:tc>
      </w:tr>
      <w:tr w:rsidR="007E1016" w:rsidRPr="00E2035C" w14:paraId="4F40F1AB" w14:textId="77777777" w:rsidTr="00E03713">
        <w:tc>
          <w:tcPr>
            <w:tcW w:w="737" w:type="dxa"/>
            <w:gridSpan w:val="2"/>
            <w:tcBorders>
              <w:right w:val="single" w:sz="6" w:space="0" w:color="DCDADA"/>
            </w:tcBorders>
            <w:noWrap/>
            <w:tcMar>
              <w:left w:w="170" w:type="dxa"/>
              <w:right w:w="170" w:type="dxa"/>
            </w:tcMar>
          </w:tcPr>
          <w:p w14:paraId="60D304A3" w14:textId="77777777" w:rsidR="007E1016" w:rsidRDefault="007E1016" w:rsidP="00E03713">
            <w:pPr>
              <w:spacing w:before="40" w:after="40"/>
              <w:jc w:val="right"/>
              <w:rPr>
                <w:b/>
              </w:rPr>
            </w:pPr>
            <w:r w:rsidRPr="00E2035C">
              <w:rPr>
                <w:b/>
              </w:rPr>
              <w:t>2.2</w:t>
            </w:r>
          </w:p>
        </w:tc>
        <w:tc>
          <w:tcPr>
            <w:tcW w:w="8902" w:type="dxa"/>
            <w:tcBorders>
              <w:left w:val="single" w:sz="6" w:space="0" w:color="DCDADA"/>
            </w:tcBorders>
            <w:noWrap/>
          </w:tcPr>
          <w:p w14:paraId="1A65D249" w14:textId="77777777" w:rsidR="007E1016" w:rsidRDefault="007E1016" w:rsidP="00E03713">
            <w:pPr>
              <w:tabs>
                <w:tab w:val="num" w:pos="425"/>
              </w:tabs>
              <w:spacing w:before="40" w:after="40"/>
              <w:jc w:val="both"/>
              <w:rPr>
                <w:b/>
              </w:rPr>
            </w:pPr>
            <w:r w:rsidRPr="00E2035C">
              <w:rPr>
                <w:b/>
              </w:rPr>
              <w:t>Úročící schéma.</w:t>
            </w:r>
            <w:r w:rsidRPr="00E2035C">
              <w:t xml:space="preserve"> Pro úročení vkladů na Krátkodobých účtech v Kč i cizí měně s Dobou vkladu v délce 7</w:t>
            </w:r>
            <w:r>
              <w:t> </w:t>
            </w:r>
            <w:r w:rsidRPr="00E2035C">
              <w:t>a</w:t>
            </w:r>
            <w:r>
              <w:t> </w:t>
            </w:r>
            <w:r w:rsidRPr="00E2035C">
              <w:t>14 dnů používáme úročící schéma: měsíc = skutečný počet dní, rok = 360 dní. Pro Střednědobé účty používáme úročící schéma dle</w:t>
            </w:r>
            <w:r>
              <w:t xml:space="preserve"> VOP</w:t>
            </w:r>
            <w:r w:rsidRPr="00E2035C">
              <w:t>.</w:t>
            </w:r>
          </w:p>
        </w:tc>
      </w:tr>
      <w:tr w:rsidR="007E1016" w:rsidRPr="00E2035C" w14:paraId="12FD3DB8" w14:textId="77777777" w:rsidTr="00E03713">
        <w:tc>
          <w:tcPr>
            <w:tcW w:w="737" w:type="dxa"/>
            <w:gridSpan w:val="2"/>
            <w:tcBorders>
              <w:right w:val="single" w:sz="6" w:space="0" w:color="DCDADA"/>
            </w:tcBorders>
            <w:noWrap/>
            <w:tcMar>
              <w:left w:w="170" w:type="dxa"/>
              <w:right w:w="170" w:type="dxa"/>
            </w:tcMar>
          </w:tcPr>
          <w:p w14:paraId="0983FAFA" w14:textId="77777777" w:rsidR="007E1016" w:rsidRDefault="007E1016" w:rsidP="00E03713">
            <w:pPr>
              <w:spacing w:before="40" w:after="40"/>
              <w:jc w:val="right"/>
              <w:rPr>
                <w:b/>
              </w:rPr>
            </w:pPr>
            <w:r w:rsidRPr="00E2035C">
              <w:rPr>
                <w:b/>
              </w:rPr>
              <w:t>2.3</w:t>
            </w:r>
          </w:p>
        </w:tc>
        <w:tc>
          <w:tcPr>
            <w:tcW w:w="8902" w:type="dxa"/>
            <w:tcBorders>
              <w:left w:val="single" w:sz="6" w:space="0" w:color="DCDADA"/>
            </w:tcBorders>
            <w:noWrap/>
          </w:tcPr>
          <w:p w14:paraId="273FF1BC" w14:textId="77777777" w:rsidR="007E1016" w:rsidRDefault="007E1016" w:rsidP="0046046A">
            <w:pPr>
              <w:spacing w:before="40"/>
              <w:jc w:val="both"/>
            </w:pPr>
            <w:r w:rsidRPr="00E2035C">
              <w:rPr>
                <w:b/>
              </w:rPr>
              <w:t xml:space="preserve">Připisování úroku. </w:t>
            </w:r>
            <w:r w:rsidRPr="00E2035C">
              <w:t>Úrok připisujeme</w:t>
            </w:r>
          </w:p>
          <w:p w14:paraId="5B297384" w14:textId="77777777" w:rsidR="007E1016" w:rsidRDefault="007E1016" w:rsidP="00787CEE">
            <w:pPr>
              <w:pStyle w:val="Odstavecseseznamem"/>
              <w:numPr>
                <w:ilvl w:val="0"/>
                <w:numId w:val="2"/>
              </w:numPr>
              <w:ind w:left="227" w:hanging="227"/>
              <w:jc w:val="both"/>
              <w:rPr>
                <w:rFonts w:cs="Times New Roman"/>
              </w:rPr>
            </w:pPr>
            <w:r w:rsidRPr="00E2035C">
              <w:rPr>
                <w:rFonts w:cs="Times New Roman"/>
              </w:rPr>
              <w:t>u Krátkodobého účtu v den splatnosti vkladu</w:t>
            </w:r>
            <w:r>
              <w:rPr>
                <w:rFonts w:cs="Times New Roman"/>
              </w:rPr>
              <w:t>;</w:t>
            </w:r>
          </w:p>
          <w:p w14:paraId="60416DF6" w14:textId="77777777" w:rsidR="007E1016" w:rsidRDefault="007E1016" w:rsidP="00787CEE">
            <w:pPr>
              <w:pStyle w:val="Odstavecseseznamem"/>
              <w:numPr>
                <w:ilvl w:val="0"/>
                <w:numId w:val="2"/>
              </w:numPr>
              <w:ind w:left="227" w:hanging="227"/>
              <w:jc w:val="both"/>
              <w:rPr>
                <w:rFonts w:cs="Times New Roman"/>
              </w:rPr>
            </w:pPr>
            <w:r w:rsidRPr="00E2035C">
              <w:rPr>
                <w:rFonts w:cs="Times New Roman"/>
              </w:rPr>
              <w:t>u Střednědobého účtu pravidelně každé 3 měsíce od připsání počátečního vkladu na Účet nebo</w:t>
            </w:r>
          </w:p>
          <w:p w14:paraId="49245C7F" w14:textId="77777777" w:rsidR="007E1016" w:rsidRDefault="007E1016" w:rsidP="00787CEE">
            <w:pPr>
              <w:pStyle w:val="Odstavecseseznamem"/>
              <w:numPr>
                <w:ilvl w:val="0"/>
                <w:numId w:val="2"/>
              </w:numPr>
              <w:spacing w:after="40"/>
              <w:ind w:left="227" w:hanging="227"/>
              <w:jc w:val="both"/>
              <w:rPr>
                <w:rFonts w:cs="Times New Roman"/>
              </w:rPr>
            </w:pPr>
            <w:r w:rsidRPr="00E2035C">
              <w:rPr>
                <w:rFonts w:cs="Times New Roman"/>
              </w:rPr>
              <w:t>v den Předčasného výběru celého vkladu.</w:t>
            </w:r>
          </w:p>
        </w:tc>
      </w:tr>
      <w:tr w:rsidR="007E1016" w:rsidRPr="00E2035C" w14:paraId="5F7BE1C8" w14:textId="77777777" w:rsidTr="00E03713">
        <w:tc>
          <w:tcPr>
            <w:tcW w:w="737" w:type="dxa"/>
            <w:gridSpan w:val="2"/>
            <w:tcBorders>
              <w:right w:val="single" w:sz="6" w:space="0" w:color="DCDADA"/>
            </w:tcBorders>
            <w:noWrap/>
            <w:tcMar>
              <w:left w:w="170" w:type="dxa"/>
              <w:right w:w="170" w:type="dxa"/>
            </w:tcMar>
          </w:tcPr>
          <w:p w14:paraId="18357D8F" w14:textId="77777777" w:rsidR="007E1016" w:rsidRDefault="007E1016" w:rsidP="00E03713">
            <w:pPr>
              <w:spacing w:before="40" w:after="40"/>
              <w:jc w:val="right"/>
              <w:rPr>
                <w:b/>
              </w:rPr>
            </w:pPr>
            <w:r w:rsidRPr="00E2035C">
              <w:rPr>
                <w:b/>
              </w:rPr>
              <w:t>2.4</w:t>
            </w:r>
          </w:p>
        </w:tc>
        <w:tc>
          <w:tcPr>
            <w:tcW w:w="8902" w:type="dxa"/>
            <w:tcBorders>
              <w:left w:val="single" w:sz="6" w:space="0" w:color="DCDADA"/>
            </w:tcBorders>
            <w:noWrap/>
          </w:tcPr>
          <w:p w14:paraId="571E95E3" w14:textId="77777777" w:rsidR="007E1016" w:rsidRDefault="007E1016" w:rsidP="006F48D9">
            <w:pPr>
              <w:overflowPunct w:val="0"/>
              <w:autoSpaceDE w:val="0"/>
              <w:autoSpaceDN w:val="0"/>
              <w:spacing w:before="40"/>
              <w:jc w:val="both"/>
            </w:pPr>
            <w:r w:rsidRPr="00E2035C">
              <w:rPr>
                <w:b/>
              </w:rPr>
              <w:t>Způsob nakládání s úrokem.</w:t>
            </w:r>
            <w:r w:rsidRPr="00E2035C">
              <w:rPr>
                <w:rFonts w:eastAsia="Times New Roman" w:cs="Times New Roman"/>
                <w:lang w:eastAsia="cs-CZ"/>
              </w:rPr>
              <w:t xml:space="preserve"> </w:t>
            </w:r>
            <w:r w:rsidRPr="00E2035C">
              <w:t>Můžete si sjednat jeden z následujících způsobů nakládání s úrokem:</w:t>
            </w:r>
          </w:p>
          <w:p w14:paraId="4B69157B" w14:textId="77777777" w:rsidR="007E1016" w:rsidRDefault="007E1016" w:rsidP="006F48D9">
            <w:pPr>
              <w:pStyle w:val="Odstavecseseznamem"/>
              <w:numPr>
                <w:ilvl w:val="0"/>
                <w:numId w:val="2"/>
              </w:numPr>
              <w:ind w:left="227" w:hanging="227"/>
              <w:contextualSpacing w:val="0"/>
              <w:jc w:val="both"/>
              <w:rPr>
                <w:rFonts w:cs="Times New Roman"/>
              </w:rPr>
            </w:pPr>
            <w:r w:rsidRPr="00E2035C">
              <w:rPr>
                <w:rFonts w:cs="Times New Roman"/>
              </w:rPr>
              <w:t>u Krátkodobého účtu:</w:t>
            </w:r>
          </w:p>
          <w:p w14:paraId="1969FEBB" w14:textId="77777777" w:rsidR="007E1016" w:rsidRDefault="007E1016" w:rsidP="0046046A">
            <w:pPr>
              <w:pStyle w:val="Odstavecseseznamem"/>
              <w:numPr>
                <w:ilvl w:val="0"/>
                <w:numId w:val="15"/>
              </w:numPr>
              <w:overflowPunct w:val="0"/>
              <w:autoSpaceDE w:val="0"/>
              <w:autoSpaceDN w:val="0"/>
              <w:ind w:left="454" w:hanging="227"/>
              <w:contextualSpacing w:val="0"/>
              <w:jc w:val="both"/>
            </w:pPr>
            <w:r w:rsidRPr="00E2035C">
              <w:t>bezhotovostní převod na určený účet v téže měně (mimo Banku lze sjednat převod úroků pouze v Kč a pouze na účty u bank podnikajících na území České republiky)</w:t>
            </w:r>
            <w:r>
              <w:t>;</w:t>
            </w:r>
          </w:p>
          <w:p w14:paraId="125E06C1" w14:textId="77777777" w:rsidR="007E1016" w:rsidRDefault="007E1016" w:rsidP="0046046A">
            <w:pPr>
              <w:pStyle w:val="Odstavecseseznamem"/>
              <w:numPr>
                <w:ilvl w:val="0"/>
                <w:numId w:val="15"/>
              </w:numPr>
              <w:overflowPunct w:val="0"/>
              <w:autoSpaceDE w:val="0"/>
              <w:autoSpaceDN w:val="0"/>
              <w:ind w:left="454" w:hanging="227"/>
              <w:contextualSpacing w:val="0"/>
              <w:jc w:val="both"/>
            </w:pPr>
            <w:r w:rsidRPr="00E2035C">
              <w:t>připsání úroku ke vkladu nebo</w:t>
            </w:r>
          </w:p>
          <w:p w14:paraId="3C35E425" w14:textId="77777777" w:rsidR="007E1016" w:rsidRDefault="007E1016" w:rsidP="0046046A">
            <w:pPr>
              <w:pStyle w:val="Odstavecseseznamem"/>
              <w:numPr>
                <w:ilvl w:val="0"/>
                <w:numId w:val="15"/>
              </w:numPr>
              <w:overflowPunct w:val="0"/>
              <w:autoSpaceDE w:val="0"/>
              <w:autoSpaceDN w:val="0"/>
              <w:ind w:left="454" w:hanging="227"/>
              <w:contextualSpacing w:val="0"/>
              <w:jc w:val="both"/>
            </w:pPr>
            <w:r w:rsidRPr="00E2035C">
              <w:t>výběr v hotovosti (u Účtů s automaticky obnovovanou Dobou vkladu je výběr úroku v hotovosti možný pouze v den splatnosti vkladu, po tomto dni je úrok připsán ke vkladu);</w:t>
            </w:r>
          </w:p>
          <w:p w14:paraId="7A7E2499" w14:textId="77777777" w:rsidR="007E1016" w:rsidRDefault="007E1016" w:rsidP="0046046A">
            <w:pPr>
              <w:pStyle w:val="Odstavecseseznamem"/>
              <w:numPr>
                <w:ilvl w:val="0"/>
                <w:numId w:val="2"/>
              </w:numPr>
              <w:ind w:left="227" w:hanging="227"/>
              <w:jc w:val="both"/>
              <w:rPr>
                <w:rFonts w:cs="Times New Roman"/>
              </w:rPr>
            </w:pPr>
            <w:r w:rsidRPr="00E2035C">
              <w:rPr>
                <w:rFonts w:cs="Times New Roman"/>
              </w:rPr>
              <w:t>u Střednědobého účtu:</w:t>
            </w:r>
          </w:p>
          <w:p w14:paraId="544EF485" w14:textId="77777777" w:rsidR="007E1016" w:rsidRDefault="007E1016" w:rsidP="00787CEE">
            <w:pPr>
              <w:pStyle w:val="Odstavecseseznamem"/>
              <w:numPr>
                <w:ilvl w:val="0"/>
                <w:numId w:val="15"/>
              </w:numPr>
              <w:overflowPunct w:val="0"/>
              <w:autoSpaceDE w:val="0"/>
              <w:autoSpaceDN w:val="0"/>
              <w:ind w:left="454" w:hanging="227"/>
              <w:jc w:val="both"/>
            </w:pPr>
            <w:r w:rsidRPr="00E2035C">
              <w:t>bezhotovostní převod na určený účet v téže měně (mimo Banku lze sjednat převod úroků pouze v Kč a pouze do banky podnikající na území České republiky) nebo</w:t>
            </w:r>
          </w:p>
          <w:p w14:paraId="740784BB" w14:textId="77777777" w:rsidR="007E1016" w:rsidRDefault="007E1016" w:rsidP="00787CEE">
            <w:pPr>
              <w:pStyle w:val="Odstavecseseznamem"/>
              <w:numPr>
                <w:ilvl w:val="0"/>
                <w:numId w:val="15"/>
              </w:numPr>
              <w:overflowPunct w:val="0"/>
              <w:autoSpaceDE w:val="0"/>
              <w:autoSpaceDN w:val="0"/>
              <w:spacing w:after="40"/>
              <w:ind w:left="454" w:hanging="227"/>
              <w:jc w:val="both"/>
            </w:pPr>
            <w:r w:rsidRPr="00E2035C">
              <w:t>výběr v hotovosti (v takovém případě úrok od připsání na Účet do jeho výběru neúročíme).</w:t>
            </w:r>
          </w:p>
        </w:tc>
      </w:tr>
      <w:tr w:rsidR="007E1016" w:rsidRPr="00E2035C" w14:paraId="399C74DB" w14:textId="77777777" w:rsidTr="00E03713">
        <w:tc>
          <w:tcPr>
            <w:tcW w:w="737" w:type="dxa"/>
            <w:gridSpan w:val="2"/>
            <w:tcBorders>
              <w:right w:val="single" w:sz="6" w:space="0" w:color="DCDADA"/>
            </w:tcBorders>
            <w:noWrap/>
            <w:tcMar>
              <w:left w:w="170" w:type="dxa"/>
              <w:right w:w="170" w:type="dxa"/>
            </w:tcMar>
          </w:tcPr>
          <w:p w14:paraId="2E91AC92" w14:textId="77777777" w:rsidR="007E1016" w:rsidRDefault="007E1016" w:rsidP="00E03713">
            <w:pPr>
              <w:spacing w:before="40" w:after="40"/>
              <w:jc w:val="right"/>
              <w:rPr>
                <w:b/>
              </w:rPr>
            </w:pPr>
            <w:r w:rsidRPr="00E2035C">
              <w:rPr>
                <w:b/>
              </w:rPr>
              <w:t>2.5</w:t>
            </w:r>
          </w:p>
        </w:tc>
        <w:tc>
          <w:tcPr>
            <w:tcW w:w="8902" w:type="dxa"/>
            <w:tcBorders>
              <w:left w:val="single" w:sz="6" w:space="0" w:color="DCDADA"/>
            </w:tcBorders>
            <w:noWrap/>
          </w:tcPr>
          <w:p w14:paraId="25961AA2" w14:textId="77777777" w:rsidR="007E1016" w:rsidRDefault="007E1016" w:rsidP="0046046A">
            <w:pPr>
              <w:overflowPunct w:val="0"/>
              <w:autoSpaceDE w:val="0"/>
              <w:autoSpaceDN w:val="0"/>
              <w:spacing w:before="40"/>
              <w:jc w:val="both"/>
            </w:pPr>
            <w:r w:rsidRPr="00E2035C">
              <w:rPr>
                <w:b/>
              </w:rPr>
              <w:t xml:space="preserve">Předčasný výběr. </w:t>
            </w:r>
            <w:r w:rsidRPr="00E2035C">
              <w:t>Jsme oprávněni vám účtovat úhradu za Předčasný výběr části nebo celého vkladu.</w:t>
            </w:r>
            <w:r w:rsidR="00C469E4">
              <w:t xml:space="preserve"> </w:t>
            </w:r>
            <w:r w:rsidRPr="00E2035C">
              <w:t>Výše úhrady je stanovena zlomkem (podílem čitatele a jmenovatele):</w:t>
            </w:r>
          </w:p>
          <w:p w14:paraId="0A88782B" w14:textId="77777777" w:rsidR="007E1016" w:rsidRDefault="007E1016" w:rsidP="0046046A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ind w:left="227" w:hanging="227"/>
              <w:jc w:val="both"/>
            </w:pPr>
            <w:r w:rsidRPr="00E2035C">
              <w:t>čitatel je součinem počtu dní zbývajících do konce doby splatnosti, předčasně vybírané částky a</w:t>
            </w:r>
            <w:r>
              <w:t> </w:t>
            </w:r>
            <w:r w:rsidRPr="00E2035C">
              <w:t>stanoveného koeficientu. Stanovený koeficient činí u Krátkodobých účtů 50 %, u Střednědobých účtů 60 % z roční úrokové sazby, kterou je Účet úročen, zaokrouhleno na jedno desetinné místo směrem dolů</w:t>
            </w:r>
            <w:r>
              <w:t>;</w:t>
            </w:r>
            <w:r w:rsidRPr="00E2035C">
              <w:t xml:space="preserve"> </w:t>
            </w:r>
          </w:p>
          <w:p w14:paraId="3076CFC1" w14:textId="77777777" w:rsidR="007E1016" w:rsidRDefault="007E1016" w:rsidP="0046046A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ind w:left="227" w:hanging="227"/>
              <w:jc w:val="both"/>
            </w:pPr>
            <w:r w:rsidRPr="00E2035C">
              <w:t>jmenovatel je u Krátkodobých účtů součinem počtu dní v roce a čísla 100 a u Střednědobých účtů součinem počtu dní v roce, počtu let trvání vkladu a čísla 100</w:t>
            </w:r>
            <w:r>
              <w:t>.</w:t>
            </w:r>
            <w:r w:rsidRPr="00E2035C">
              <w:t xml:space="preserve"> </w:t>
            </w:r>
          </w:p>
          <w:p w14:paraId="590CF98D" w14:textId="77777777" w:rsidR="007E1016" w:rsidRDefault="007E1016" w:rsidP="00E03713">
            <w:pPr>
              <w:overflowPunct w:val="0"/>
              <w:autoSpaceDE w:val="0"/>
              <w:autoSpaceDN w:val="0"/>
              <w:spacing w:before="40" w:after="40"/>
              <w:jc w:val="both"/>
            </w:pPr>
            <w:r w:rsidRPr="00E2035C">
              <w:t>Pro výpočet úhrady za Předčasný výběr se pro jednotlivé Účty použijí úročící schémata uvedená shora v</w:t>
            </w:r>
            <w:r>
              <w:t> </w:t>
            </w:r>
            <w:r w:rsidRPr="00E2035C">
              <w:t>těchto Podmínkách a ve V</w:t>
            </w:r>
            <w:r>
              <w:t>OP</w:t>
            </w:r>
            <w:r w:rsidRPr="00E2035C">
              <w:t xml:space="preserve">, pokud nestanovíme jinak. </w:t>
            </w:r>
          </w:p>
          <w:p w14:paraId="61CE7947" w14:textId="77777777" w:rsidR="007E1016" w:rsidRDefault="007E1016" w:rsidP="00E03713">
            <w:pPr>
              <w:overflowPunct w:val="0"/>
              <w:autoSpaceDE w:val="0"/>
              <w:autoSpaceDN w:val="0"/>
              <w:spacing w:before="40" w:after="40"/>
              <w:jc w:val="both"/>
            </w:pPr>
            <w:r w:rsidRPr="00E2035C">
              <w:t>Vedle úhrady za Předčasný výběr nám zaplatíte při Předčasném výběru další poplatky stanovené v Sazebníku.</w:t>
            </w:r>
          </w:p>
          <w:p w14:paraId="490F7794" w14:textId="77777777" w:rsidR="007E1016" w:rsidRDefault="007E1016" w:rsidP="00E03713">
            <w:pPr>
              <w:overflowPunct w:val="0"/>
              <w:autoSpaceDE w:val="0"/>
              <w:autoSpaceDN w:val="0"/>
              <w:spacing w:before="40" w:after="40"/>
              <w:jc w:val="both"/>
            </w:pPr>
            <w:r w:rsidRPr="00E2035C">
              <w:t>V okamžiku Předčasného výběru jsme oprávněni odečíst úhradu za Předčasný výběr a další poplatky související s Předčasným výběrem od vybírané částky, pokud dochází k výběru celého vkladu nebo v</w:t>
            </w:r>
            <w:r>
              <w:t> </w:t>
            </w:r>
            <w:r w:rsidRPr="00E2035C">
              <w:t xml:space="preserve">případě částečného výběru, jestliže zůstatek vkladu na Účtu nepokryje úhradu za Předčasný výběr, popř. další poplatky související s Předčasným výběrem. </w:t>
            </w:r>
          </w:p>
          <w:p w14:paraId="716B39FC" w14:textId="77777777" w:rsidR="007E1016" w:rsidRDefault="007E1016" w:rsidP="00E03713">
            <w:pPr>
              <w:overflowPunct w:val="0"/>
              <w:autoSpaceDE w:val="0"/>
              <w:autoSpaceDN w:val="0"/>
              <w:spacing w:before="40" w:after="40"/>
              <w:jc w:val="both"/>
            </w:pPr>
            <w:r w:rsidRPr="00E2035C">
              <w:t>Předčasný výběr není možné uskutečnit u Krátkodobých účtů se splatností 7 dní a 14 dní a dále v případě Předčasného výběru části vkladu na Účtu, pokud by zůstatek po odečtení úhrady za Předčasný výběr, popř. dalších poplatků souvisejících s Předčasným výběrem, klesl pod minimální zůstatek na účtu. V takovém případě můžete vybrat pouze celý zůstatek vkladu</w:t>
            </w:r>
            <w:r>
              <w:t>.</w:t>
            </w:r>
          </w:p>
        </w:tc>
      </w:tr>
      <w:tr w:rsidR="007E1016" w:rsidRPr="00D97F87" w14:paraId="07CA792F" w14:textId="77777777" w:rsidTr="00E037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170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tcFitText/>
          </w:tcPr>
          <w:p w14:paraId="423BB639" w14:textId="77777777" w:rsidR="007E1016" w:rsidRDefault="007E1016" w:rsidP="00B204B6"/>
        </w:tc>
      </w:tr>
      <w:tr w:rsidR="007E1016" w:rsidRPr="00E2035C" w14:paraId="4048B477" w14:textId="77777777" w:rsidTr="00E03713">
        <w:tblPrEx>
          <w:shd w:val="clear" w:color="auto" w:fill="EF6D63"/>
          <w:tblLook w:val="0680" w:firstRow="0" w:lastRow="0" w:firstColumn="1" w:lastColumn="0" w:noHBand="1" w:noVBand="1"/>
        </w:tblPrEx>
        <w:trPr>
          <w:trHeight w:hRule="exact" w:val="369"/>
        </w:trPr>
        <w:tc>
          <w:tcPr>
            <w:tcW w:w="9639" w:type="dxa"/>
            <w:gridSpan w:val="3"/>
            <w:shd w:val="clear" w:color="auto" w:fill="ED6B61"/>
            <w:vAlign w:val="center"/>
          </w:tcPr>
          <w:p w14:paraId="7D97B6B2" w14:textId="77777777" w:rsidR="007E1016" w:rsidRPr="00E2035C" w:rsidRDefault="007E1016" w:rsidP="00E03713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FFFFFF"/>
                <w:sz w:val="22"/>
                <w:szCs w:val="22"/>
              </w:rPr>
            </w:pPr>
            <w:r w:rsidRPr="00E2035C">
              <w:rPr>
                <w:rFonts w:eastAsia="Times New Roman"/>
                <w:b/>
                <w:bCs/>
                <w:color w:val="FFFFFF"/>
                <w:sz w:val="22"/>
                <w:szCs w:val="22"/>
              </w:rPr>
              <w:t>Článek 3. Další podmínky pro KB Garantovaný vklad</w:t>
            </w:r>
          </w:p>
        </w:tc>
      </w:tr>
      <w:tr w:rsidR="007E1016" w:rsidRPr="00D97F87" w14:paraId="72260DDE" w14:textId="77777777" w:rsidTr="00E037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170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tcFitText/>
          </w:tcPr>
          <w:p w14:paraId="403FFEFD" w14:textId="77777777" w:rsidR="007E1016" w:rsidRDefault="007E1016" w:rsidP="00B204B6"/>
        </w:tc>
      </w:tr>
      <w:tr w:rsidR="007E1016" w:rsidRPr="00764F85" w14:paraId="07318760" w14:textId="77777777" w:rsidTr="00E03713">
        <w:tc>
          <w:tcPr>
            <w:tcW w:w="737" w:type="dxa"/>
            <w:gridSpan w:val="2"/>
            <w:tcBorders>
              <w:right w:val="single" w:sz="6" w:space="0" w:color="DCDADA"/>
            </w:tcBorders>
            <w:noWrap/>
            <w:tcMar>
              <w:left w:w="170" w:type="dxa"/>
              <w:right w:w="170" w:type="dxa"/>
            </w:tcMar>
          </w:tcPr>
          <w:p w14:paraId="38EEF54F" w14:textId="77777777" w:rsidR="007E1016" w:rsidRDefault="007E1016" w:rsidP="00E03713">
            <w:pPr>
              <w:spacing w:before="40" w:after="40"/>
              <w:jc w:val="right"/>
              <w:rPr>
                <w:b/>
              </w:rPr>
            </w:pPr>
            <w:r w:rsidRPr="005105C4">
              <w:rPr>
                <w:b/>
              </w:rPr>
              <w:t>3.1</w:t>
            </w:r>
          </w:p>
        </w:tc>
        <w:tc>
          <w:tcPr>
            <w:tcW w:w="8902" w:type="dxa"/>
            <w:tcBorders>
              <w:left w:val="single" w:sz="6" w:space="0" w:color="DCDADA"/>
            </w:tcBorders>
            <w:noWrap/>
          </w:tcPr>
          <w:p w14:paraId="4245B4AF" w14:textId="77777777" w:rsidR="007E1016" w:rsidRDefault="007E1016" w:rsidP="00E03713">
            <w:pPr>
              <w:spacing w:before="40" w:after="40"/>
              <w:jc w:val="both"/>
              <w:rPr>
                <w:rFonts w:eastAsia="ArialMT"/>
                <w:b/>
              </w:rPr>
            </w:pPr>
            <w:r w:rsidRPr="00ED21D5">
              <w:rPr>
                <w:b/>
              </w:rPr>
              <w:t>Doba vkladu.</w:t>
            </w:r>
            <w:r w:rsidRPr="00ED21D5">
              <w:t xml:space="preserve"> KB Garantovaný vklad</w:t>
            </w:r>
            <w:r w:rsidRPr="00ED21D5">
              <w:rPr>
                <w:rFonts w:cs="Times New Roman"/>
              </w:rPr>
              <w:t xml:space="preserve"> vedeme s Dobou vkladu v délce 3, 6, nebo 12 měsíců.</w:t>
            </w:r>
          </w:p>
        </w:tc>
      </w:tr>
      <w:tr w:rsidR="007E1016" w:rsidRPr="00764F85" w14:paraId="424C1BDC" w14:textId="77777777" w:rsidTr="00E03713">
        <w:tc>
          <w:tcPr>
            <w:tcW w:w="737" w:type="dxa"/>
            <w:gridSpan w:val="2"/>
            <w:tcBorders>
              <w:right w:val="single" w:sz="6" w:space="0" w:color="DCDADA"/>
            </w:tcBorders>
            <w:noWrap/>
            <w:tcMar>
              <w:left w:w="170" w:type="dxa"/>
              <w:right w:w="170" w:type="dxa"/>
            </w:tcMar>
          </w:tcPr>
          <w:p w14:paraId="122333A3" w14:textId="77777777" w:rsidR="007E1016" w:rsidRDefault="007E1016" w:rsidP="00E03713">
            <w:pPr>
              <w:spacing w:before="40" w:after="40"/>
              <w:jc w:val="right"/>
              <w:rPr>
                <w:b/>
              </w:rPr>
            </w:pPr>
            <w:r w:rsidRPr="00E2035C">
              <w:rPr>
                <w:b/>
              </w:rPr>
              <w:t>3.</w:t>
            </w:r>
            <w:r>
              <w:rPr>
                <w:b/>
              </w:rPr>
              <w:t>2</w:t>
            </w:r>
          </w:p>
        </w:tc>
        <w:tc>
          <w:tcPr>
            <w:tcW w:w="8902" w:type="dxa"/>
            <w:tcBorders>
              <w:left w:val="single" w:sz="6" w:space="0" w:color="DCDADA"/>
            </w:tcBorders>
            <w:noWrap/>
          </w:tcPr>
          <w:p w14:paraId="6B80ABCF" w14:textId="77777777" w:rsidR="007E1016" w:rsidRDefault="007E1016" w:rsidP="00E03713">
            <w:pPr>
              <w:spacing w:before="40" w:after="40"/>
              <w:jc w:val="both"/>
              <w:rPr>
                <w:rFonts w:eastAsia="ArialMT"/>
              </w:rPr>
            </w:pPr>
            <w:r w:rsidRPr="00E2035C">
              <w:rPr>
                <w:rFonts w:eastAsia="ArialMT"/>
                <w:b/>
              </w:rPr>
              <w:t>Úročící schéma.</w:t>
            </w:r>
            <w:r w:rsidRPr="00E2035C">
              <w:rPr>
                <w:rFonts w:eastAsia="ArialMT"/>
              </w:rPr>
              <w:t xml:space="preserve"> Používáme úročící schéma: měsíc = skutečný počet dní, rok = 365 (příp. 366) dnů.</w:t>
            </w:r>
          </w:p>
        </w:tc>
      </w:tr>
      <w:tr w:rsidR="007E1016" w:rsidRPr="00764F85" w14:paraId="694A1C63" w14:textId="77777777" w:rsidTr="00E03713">
        <w:tc>
          <w:tcPr>
            <w:tcW w:w="737" w:type="dxa"/>
            <w:gridSpan w:val="2"/>
            <w:tcBorders>
              <w:right w:val="single" w:sz="6" w:space="0" w:color="DCDADA"/>
            </w:tcBorders>
            <w:noWrap/>
            <w:tcMar>
              <w:left w:w="170" w:type="dxa"/>
              <w:right w:w="170" w:type="dxa"/>
            </w:tcMar>
          </w:tcPr>
          <w:p w14:paraId="7CD5A3E8" w14:textId="77777777" w:rsidR="007E1016" w:rsidRDefault="007E1016" w:rsidP="00E03713">
            <w:pPr>
              <w:spacing w:before="40" w:after="40"/>
              <w:jc w:val="right"/>
              <w:rPr>
                <w:b/>
              </w:rPr>
            </w:pPr>
            <w:r w:rsidRPr="00E2035C">
              <w:rPr>
                <w:b/>
              </w:rPr>
              <w:t>3.</w:t>
            </w:r>
            <w:r>
              <w:rPr>
                <w:b/>
              </w:rPr>
              <w:t>3</w:t>
            </w:r>
          </w:p>
        </w:tc>
        <w:tc>
          <w:tcPr>
            <w:tcW w:w="8902" w:type="dxa"/>
            <w:tcBorders>
              <w:left w:val="single" w:sz="6" w:space="0" w:color="DCDADA"/>
            </w:tcBorders>
            <w:noWrap/>
          </w:tcPr>
          <w:p w14:paraId="2AFDE515" w14:textId="77777777" w:rsidR="007E1016" w:rsidRDefault="007E1016" w:rsidP="00E03713">
            <w:pPr>
              <w:spacing w:before="40" w:after="40"/>
              <w:jc w:val="both"/>
              <w:rPr>
                <w:rFonts w:eastAsia="ArialMT"/>
              </w:rPr>
            </w:pPr>
            <w:r w:rsidRPr="00E2035C">
              <w:rPr>
                <w:b/>
              </w:rPr>
              <w:t xml:space="preserve">Připisování úroku. </w:t>
            </w:r>
            <w:r w:rsidRPr="00E2035C">
              <w:rPr>
                <w:rFonts w:eastAsia="ArialMT"/>
              </w:rPr>
              <w:t>Úrok připisujeme v den splatnosti vkladu.</w:t>
            </w:r>
          </w:p>
        </w:tc>
      </w:tr>
      <w:tr w:rsidR="007E1016" w:rsidRPr="00764F85" w14:paraId="3014FA71" w14:textId="77777777" w:rsidTr="00A621E2">
        <w:trPr>
          <w:cantSplit/>
        </w:trPr>
        <w:tc>
          <w:tcPr>
            <w:tcW w:w="737" w:type="dxa"/>
            <w:gridSpan w:val="2"/>
            <w:tcBorders>
              <w:right w:val="single" w:sz="6" w:space="0" w:color="DCDADA"/>
            </w:tcBorders>
            <w:noWrap/>
            <w:tcMar>
              <w:left w:w="170" w:type="dxa"/>
              <w:right w:w="170" w:type="dxa"/>
            </w:tcMar>
          </w:tcPr>
          <w:p w14:paraId="5B2FDFEC" w14:textId="77777777" w:rsidR="007E1016" w:rsidRPr="00BE08DC" w:rsidRDefault="007E1016" w:rsidP="00E03713">
            <w:pPr>
              <w:spacing w:before="40" w:after="40"/>
              <w:jc w:val="right"/>
              <w:rPr>
                <w:b/>
              </w:rPr>
            </w:pPr>
            <w:r w:rsidRPr="00BE08DC">
              <w:rPr>
                <w:b/>
              </w:rPr>
              <w:t>3.4</w:t>
            </w:r>
          </w:p>
        </w:tc>
        <w:tc>
          <w:tcPr>
            <w:tcW w:w="8902" w:type="dxa"/>
            <w:tcBorders>
              <w:left w:val="single" w:sz="6" w:space="0" w:color="DCDADA"/>
            </w:tcBorders>
            <w:noWrap/>
          </w:tcPr>
          <w:p w14:paraId="56AE5865" w14:textId="77777777" w:rsidR="007E1016" w:rsidRPr="00BE08DC" w:rsidRDefault="007E1016" w:rsidP="00B204B6">
            <w:pPr>
              <w:overflowPunct w:val="0"/>
              <w:autoSpaceDE w:val="0"/>
              <w:autoSpaceDN w:val="0"/>
              <w:spacing w:before="40"/>
              <w:jc w:val="both"/>
            </w:pPr>
            <w:r w:rsidRPr="00BE08DC">
              <w:rPr>
                <w:rFonts w:eastAsia="ArialMT"/>
                <w:b/>
              </w:rPr>
              <w:t>Způsob nakládání s úrokem.</w:t>
            </w:r>
            <w:r w:rsidRPr="00BE08DC">
              <w:rPr>
                <w:rFonts w:eastAsia="ArialMT"/>
              </w:rPr>
              <w:t xml:space="preserve"> </w:t>
            </w:r>
            <w:r w:rsidRPr="00BE08DC">
              <w:t>Můžete si sjednat jeden z následujících způsobů nakládání s úrokem:</w:t>
            </w:r>
          </w:p>
          <w:p w14:paraId="7981F799" w14:textId="77777777" w:rsidR="007E1016" w:rsidRPr="00BE08DC" w:rsidRDefault="007E1016" w:rsidP="00787CEE">
            <w:pPr>
              <w:pStyle w:val="Odstavecseseznamem"/>
              <w:numPr>
                <w:ilvl w:val="0"/>
                <w:numId w:val="2"/>
              </w:numPr>
              <w:ind w:left="227" w:hanging="227"/>
              <w:jc w:val="both"/>
              <w:rPr>
                <w:rFonts w:cs="Times New Roman"/>
              </w:rPr>
            </w:pPr>
            <w:r w:rsidRPr="00BE08DC">
              <w:rPr>
                <w:rFonts w:cs="Times New Roman"/>
              </w:rPr>
              <w:t>bezhotovostní převod na určený účet v téže měně (mimo Banku lze sjednat převod úroků pouze v Kč na účty u bank podnikajících na území České republiky);</w:t>
            </w:r>
          </w:p>
          <w:p w14:paraId="0A04B1C8" w14:textId="77777777" w:rsidR="007E1016" w:rsidRPr="00BE08DC" w:rsidRDefault="007E1016" w:rsidP="00787CEE">
            <w:pPr>
              <w:pStyle w:val="Odstavecseseznamem"/>
              <w:numPr>
                <w:ilvl w:val="0"/>
                <w:numId w:val="2"/>
              </w:numPr>
              <w:ind w:left="227" w:hanging="227"/>
              <w:jc w:val="both"/>
              <w:rPr>
                <w:rFonts w:cs="Times New Roman"/>
              </w:rPr>
            </w:pPr>
            <w:r w:rsidRPr="00BE08DC">
              <w:rPr>
                <w:rFonts w:cs="Times New Roman"/>
              </w:rPr>
              <w:t>připsání úroku ke vkladu nebo</w:t>
            </w:r>
          </w:p>
          <w:p w14:paraId="7124E93F" w14:textId="77777777" w:rsidR="007E1016" w:rsidRPr="00BE08DC" w:rsidRDefault="007E1016" w:rsidP="00787CEE">
            <w:pPr>
              <w:pStyle w:val="Odstavecseseznamem"/>
              <w:numPr>
                <w:ilvl w:val="0"/>
                <w:numId w:val="2"/>
              </w:numPr>
              <w:spacing w:after="40"/>
              <w:ind w:left="227" w:hanging="227"/>
              <w:jc w:val="both"/>
              <w:rPr>
                <w:rFonts w:cs="Times New Roman"/>
                <w:b/>
                <w:bCs/>
              </w:rPr>
            </w:pPr>
            <w:r w:rsidRPr="00BE08DC">
              <w:rPr>
                <w:rFonts w:cs="Times New Roman"/>
              </w:rPr>
              <w:t>výběr v hotovosti (u Účtů s automaticky obnovovanou Dobou vkladu je výběr úroku v hotovosti možný pouze v den splatnosti vkladu, po tomto dni je úrok připsán ke vkladu).</w:t>
            </w:r>
          </w:p>
        </w:tc>
      </w:tr>
      <w:tr w:rsidR="007E1016" w:rsidRPr="00764F85" w14:paraId="245ADB03" w14:textId="77777777" w:rsidTr="00E03713">
        <w:tc>
          <w:tcPr>
            <w:tcW w:w="737" w:type="dxa"/>
            <w:gridSpan w:val="2"/>
            <w:tcBorders>
              <w:right w:val="single" w:sz="6" w:space="0" w:color="DCDADA"/>
            </w:tcBorders>
            <w:noWrap/>
            <w:tcMar>
              <w:left w:w="170" w:type="dxa"/>
              <w:right w:w="170" w:type="dxa"/>
            </w:tcMar>
          </w:tcPr>
          <w:p w14:paraId="2FD891E6" w14:textId="77777777" w:rsidR="007E1016" w:rsidRDefault="007E1016" w:rsidP="00E03713">
            <w:pPr>
              <w:spacing w:before="40" w:after="40"/>
              <w:jc w:val="right"/>
              <w:rPr>
                <w:b/>
              </w:rPr>
            </w:pPr>
            <w:r w:rsidRPr="00E2035C">
              <w:rPr>
                <w:b/>
              </w:rPr>
              <w:lastRenderedPageBreak/>
              <w:t>3.</w:t>
            </w:r>
            <w:r>
              <w:rPr>
                <w:b/>
              </w:rPr>
              <w:t>5</w:t>
            </w:r>
          </w:p>
        </w:tc>
        <w:tc>
          <w:tcPr>
            <w:tcW w:w="8902" w:type="dxa"/>
            <w:tcBorders>
              <w:left w:val="single" w:sz="6" w:space="0" w:color="DCDADA"/>
            </w:tcBorders>
            <w:noWrap/>
          </w:tcPr>
          <w:p w14:paraId="2261FE05" w14:textId="77777777" w:rsidR="007E1016" w:rsidRDefault="007E1016" w:rsidP="00E03713">
            <w:pPr>
              <w:spacing w:before="40" w:after="40"/>
              <w:jc w:val="both"/>
              <w:rPr>
                <w:rFonts w:eastAsia="ArialMT"/>
              </w:rPr>
            </w:pPr>
            <w:r w:rsidRPr="00E2035C">
              <w:rPr>
                <w:rFonts w:eastAsia="ArialMT"/>
                <w:b/>
              </w:rPr>
              <w:t xml:space="preserve">Předčasný výběr. </w:t>
            </w:r>
            <w:r w:rsidRPr="00E2035C">
              <w:rPr>
                <w:rFonts w:eastAsia="ArialMT"/>
              </w:rPr>
              <w:t>Předčasný výběr části vkladu není možné uskutečnit. Je možné uskutečnit pouze Předčasný výběr celého vkladu. V takovém případě vám nebudeme účtovat úhradu za Předčasný výběr ani další poplatky související s Předčasným výběrem. V případě Předčasného výběru vkladu vám vyplatíme celý Vklad bez úroků přirostlých k Vkladu do dne Předčasného výběru.</w:t>
            </w:r>
          </w:p>
        </w:tc>
      </w:tr>
      <w:tr w:rsidR="007E1016" w:rsidRPr="00D97F87" w14:paraId="69978A8F" w14:textId="77777777" w:rsidTr="00E037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170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tcFitText/>
          </w:tcPr>
          <w:p w14:paraId="4C90C9B9" w14:textId="77777777" w:rsidR="007E1016" w:rsidRDefault="007E1016" w:rsidP="00B204B6"/>
        </w:tc>
      </w:tr>
      <w:tr w:rsidR="007E1016" w:rsidRPr="00E2035C" w14:paraId="4C8D55FA" w14:textId="77777777" w:rsidTr="00E03713">
        <w:tblPrEx>
          <w:shd w:val="clear" w:color="auto" w:fill="EF6D63"/>
          <w:tblLook w:val="0680" w:firstRow="0" w:lastRow="0" w:firstColumn="1" w:lastColumn="0" w:noHBand="1" w:noVBand="1"/>
        </w:tblPrEx>
        <w:trPr>
          <w:trHeight w:hRule="exact" w:val="369"/>
        </w:trPr>
        <w:tc>
          <w:tcPr>
            <w:tcW w:w="9639" w:type="dxa"/>
            <w:gridSpan w:val="3"/>
            <w:shd w:val="clear" w:color="auto" w:fill="ED6B61"/>
            <w:vAlign w:val="center"/>
          </w:tcPr>
          <w:p w14:paraId="75AB6D4F" w14:textId="77777777" w:rsidR="007E1016" w:rsidRPr="00E2035C" w:rsidRDefault="007E1016" w:rsidP="00E03713">
            <w:pPr>
              <w:autoSpaceDE w:val="0"/>
              <w:autoSpaceDN w:val="0"/>
              <w:adjustRightInd w:val="0"/>
              <w:rPr>
                <w:b/>
                <w:bCs/>
                <w:color w:val="FFFFFF"/>
                <w:sz w:val="22"/>
                <w:szCs w:val="22"/>
              </w:rPr>
            </w:pPr>
            <w:r w:rsidRPr="00E2035C">
              <w:rPr>
                <w:rFonts w:eastAsia="Times New Roman"/>
                <w:b/>
                <w:bCs/>
                <w:color w:val="FFFFFF"/>
                <w:sz w:val="22"/>
                <w:szCs w:val="22"/>
              </w:rPr>
              <w:t>Článek 4. Vymezení pojmů</w:t>
            </w:r>
          </w:p>
        </w:tc>
      </w:tr>
      <w:tr w:rsidR="007E1016" w:rsidRPr="00D97F87" w14:paraId="51AFB5F2" w14:textId="77777777" w:rsidTr="00E037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170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tcFitText/>
          </w:tcPr>
          <w:p w14:paraId="65282F69" w14:textId="77777777" w:rsidR="007E1016" w:rsidRDefault="007E1016" w:rsidP="00B204B6"/>
        </w:tc>
      </w:tr>
      <w:tr w:rsidR="007E1016" w:rsidRPr="00764F85" w14:paraId="27392394" w14:textId="77777777" w:rsidTr="00E03713">
        <w:tc>
          <w:tcPr>
            <w:tcW w:w="737" w:type="dxa"/>
            <w:gridSpan w:val="2"/>
            <w:tcBorders>
              <w:right w:val="single" w:sz="6" w:space="0" w:color="DCDADA"/>
            </w:tcBorders>
            <w:noWrap/>
            <w:tcMar>
              <w:left w:w="170" w:type="dxa"/>
              <w:right w:w="170" w:type="dxa"/>
            </w:tcMar>
          </w:tcPr>
          <w:p w14:paraId="5CE3E6D8" w14:textId="77777777" w:rsidR="007E1016" w:rsidRDefault="007E1016" w:rsidP="00E03713">
            <w:pPr>
              <w:spacing w:before="40" w:after="40"/>
              <w:jc w:val="right"/>
              <w:rPr>
                <w:b/>
              </w:rPr>
            </w:pPr>
            <w:r w:rsidRPr="00E2035C">
              <w:rPr>
                <w:b/>
              </w:rPr>
              <w:t>4.1</w:t>
            </w:r>
          </w:p>
        </w:tc>
        <w:tc>
          <w:tcPr>
            <w:tcW w:w="8902" w:type="dxa"/>
            <w:tcBorders>
              <w:left w:val="single" w:sz="6" w:space="0" w:color="DCDADA"/>
            </w:tcBorders>
            <w:noWrap/>
          </w:tcPr>
          <w:p w14:paraId="2E1BD5D2" w14:textId="77777777" w:rsidR="007E1016" w:rsidRDefault="007E1016" w:rsidP="00E03713">
            <w:pPr>
              <w:spacing w:before="40" w:after="40"/>
              <w:jc w:val="both"/>
              <w:rPr>
                <w:rFonts w:eastAsia="ArialMT"/>
                <w:b/>
              </w:rPr>
            </w:pPr>
            <w:r w:rsidRPr="00E2035C">
              <w:rPr>
                <w:rFonts w:eastAsia="ArialMT"/>
              </w:rPr>
              <w:t>Pojmy s velkým počátečním písmenem</w:t>
            </w:r>
            <w:r>
              <w:rPr>
                <w:rFonts w:eastAsia="ArialMT"/>
              </w:rPr>
              <w:t xml:space="preserve"> </w:t>
            </w:r>
            <w:r w:rsidRPr="00E2035C">
              <w:rPr>
                <w:rFonts w:eastAsia="ArialMT"/>
              </w:rPr>
              <w:t xml:space="preserve">mají v Podmínkách význam </w:t>
            </w:r>
            <w:r>
              <w:rPr>
                <w:rFonts w:eastAsia="ArialMT"/>
              </w:rPr>
              <w:t xml:space="preserve">stanovený ve </w:t>
            </w:r>
            <w:r w:rsidRPr="00E2035C">
              <w:rPr>
                <w:rFonts w:eastAsia="ArialMT"/>
              </w:rPr>
              <w:t>VOP</w:t>
            </w:r>
            <w:r>
              <w:rPr>
                <w:rFonts w:eastAsia="ArialMT"/>
              </w:rPr>
              <w:t>,</w:t>
            </w:r>
            <w:r w:rsidRPr="00E2035C">
              <w:rPr>
                <w:rFonts w:eastAsia="ArialMT"/>
              </w:rPr>
              <w:t xml:space="preserve"> nebo</w:t>
            </w:r>
            <w:r>
              <w:rPr>
                <w:rFonts w:eastAsia="ArialMT"/>
              </w:rPr>
              <w:t xml:space="preserve"> následující</w:t>
            </w:r>
            <w:r w:rsidRPr="00E2035C">
              <w:rPr>
                <w:rFonts w:eastAsia="ArialMT"/>
              </w:rPr>
              <w:t>:</w:t>
            </w:r>
            <w:r w:rsidRPr="00E2035C">
              <w:rPr>
                <w:rFonts w:eastAsia="ArialMT"/>
                <w:b/>
              </w:rPr>
              <w:t xml:space="preserve"> </w:t>
            </w:r>
          </w:p>
          <w:p w14:paraId="7CE69B99" w14:textId="77777777" w:rsidR="007E1016" w:rsidRDefault="007E1016" w:rsidP="00E03713">
            <w:pPr>
              <w:spacing w:before="40" w:after="40"/>
              <w:jc w:val="both"/>
            </w:pPr>
            <w:r w:rsidRPr="00E2035C">
              <w:rPr>
                <w:rFonts w:eastAsia="ArialMT"/>
              </w:rPr>
              <w:t>„</w:t>
            </w:r>
            <w:r w:rsidRPr="00E2035C">
              <w:rPr>
                <w:rFonts w:eastAsia="ArialMT"/>
                <w:b/>
              </w:rPr>
              <w:t>Doba vkladu</w:t>
            </w:r>
            <w:r w:rsidRPr="00E2035C">
              <w:rPr>
                <w:rFonts w:eastAsia="ArialMT"/>
              </w:rPr>
              <w:t>“ je doba, na kterou se zavazujete přenechat nám vklad a jejíž délka je sjednaná</w:t>
            </w:r>
            <w:r w:rsidRPr="00E2035C">
              <w:t xml:space="preserve"> ve smlouvě.</w:t>
            </w:r>
          </w:p>
          <w:p w14:paraId="35EC3345" w14:textId="77777777" w:rsidR="007E1016" w:rsidRDefault="007E1016" w:rsidP="00E03713">
            <w:pPr>
              <w:spacing w:before="40" w:after="40"/>
              <w:jc w:val="both"/>
            </w:pPr>
            <w:r w:rsidRPr="00E2035C">
              <w:rPr>
                <w:rFonts w:eastAsia="ArialMT"/>
              </w:rPr>
              <w:t>„</w:t>
            </w:r>
            <w:r w:rsidRPr="00E2035C">
              <w:rPr>
                <w:rFonts w:eastAsia="ArialMT"/>
                <w:b/>
              </w:rPr>
              <w:t>Předčasný výběr</w:t>
            </w:r>
            <w:r w:rsidRPr="00E2035C">
              <w:rPr>
                <w:rFonts w:eastAsia="ArialMT"/>
              </w:rPr>
              <w:t>“ je</w:t>
            </w:r>
            <w:r w:rsidRPr="00E2035C">
              <w:t xml:space="preserve"> výběr části nebo celého vkladu na Účtu v hotovosti nebo bezhotovostní převod části nebo celého vkladu na Účtu přede dnem jeho splatnosti. Za Předčasný výběr se považuje také započtení naší pohledávky za vámi realizované podle příslušných ustanovení </w:t>
            </w:r>
            <w:r>
              <w:t xml:space="preserve">VOP </w:t>
            </w:r>
            <w:r w:rsidRPr="00E2035C">
              <w:t>před splatností vaší pohledávky ze Smlouvy za námi a předčasné ukončení Smlouvy podle článku 31</w:t>
            </w:r>
            <w:r>
              <w:t xml:space="preserve"> VOP</w:t>
            </w:r>
            <w:r w:rsidRPr="00E2035C">
              <w:t>.</w:t>
            </w:r>
          </w:p>
          <w:p w14:paraId="4177AD1E" w14:textId="77777777" w:rsidR="007E1016" w:rsidRDefault="007E1016" w:rsidP="00E03713">
            <w:pPr>
              <w:spacing w:before="40" w:after="40"/>
              <w:jc w:val="both"/>
              <w:rPr>
                <w:rFonts w:eastAsia="ArialMT"/>
              </w:rPr>
            </w:pPr>
            <w:r w:rsidRPr="00E2035C">
              <w:rPr>
                <w:rFonts w:eastAsia="ArialMT"/>
              </w:rPr>
              <w:t>„</w:t>
            </w:r>
            <w:r w:rsidRPr="00E2035C">
              <w:rPr>
                <w:rFonts w:eastAsia="ArialMT"/>
                <w:b/>
              </w:rPr>
              <w:t>Podmínky</w:t>
            </w:r>
            <w:r w:rsidRPr="00E2035C">
              <w:rPr>
                <w:rFonts w:eastAsia="ArialMT"/>
              </w:rPr>
              <w:t>“ jsou tyto Podmínky vkladových účtů, jež představují Produktové podmínky dle VOP.</w:t>
            </w:r>
          </w:p>
        </w:tc>
      </w:tr>
      <w:tr w:rsidR="007E1016" w:rsidRPr="00D97F87" w14:paraId="3E7BF5EF" w14:textId="77777777" w:rsidTr="00E037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170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tcFitText/>
          </w:tcPr>
          <w:p w14:paraId="5616A9C6" w14:textId="77777777" w:rsidR="007E1016" w:rsidRDefault="007E1016" w:rsidP="00B204B6"/>
        </w:tc>
      </w:tr>
      <w:tr w:rsidR="007E1016" w:rsidRPr="00E2035C" w14:paraId="1269F443" w14:textId="77777777" w:rsidTr="00E03713">
        <w:tblPrEx>
          <w:shd w:val="clear" w:color="auto" w:fill="EF6D63"/>
          <w:tblLook w:val="0680" w:firstRow="0" w:lastRow="0" w:firstColumn="1" w:lastColumn="0" w:noHBand="1" w:noVBand="1"/>
        </w:tblPrEx>
        <w:trPr>
          <w:trHeight w:hRule="exact" w:val="369"/>
        </w:trPr>
        <w:tc>
          <w:tcPr>
            <w:tcW w:w="9639" w:type="dxa"/>
            <w:gridSpan w:val="3"/>
            <w:shd w:val="clear" w:color="auto" w:fill="ED6B61"/>
            <w:vAlign w:val="center"/>
          </w:tcPr>
          <w:p w14:paraId="3496A5F8" w14:textId="77777777" w:rsidR="007E1016" w:rsidRPr="00E2035C" w:rsidRDefault="007E1016" w:rsidP="00E03713">
            <w:pPr>
              <w:keepNext/>
              <w:keepLines/>
              <w:autoSpaceDE w:val="0"/>
              <w:autoSpaceDN w:val="0"/>
              <w:adjustRightInd w:val="0"/>
              <w:rPr>
                <w:b/>
                <w:bCs/>
                <w:color w:val="FFFFFF"/>
                <w:sz w:val="22"/>
                <w:szCs w:val="22"/>
              </w:rPr>
            </w:pPr>
            <w:r w:rsidRPr="00E2035C">
              <w:rPr>
                <w:rFonts w:eastAsia="Times New Roman"/>
                <w:b/>
                <w:bCs/>
                <w:color w:val="FFFFFF"/>
                <w:sz w:val="22"/>
                <w:szCs w:val="22"/>
              </w:rPr>
              <w:t>Článek 5. Závěrečná ustanovení</w:t>
            </w:r>
          </w:p>
        </w:tc>
      </w:tr>
      <w:tr w:rsidR="007E1016" w:rsidRPr="00D97F87" w14:paraId="0DB19683" w14:textId="77777777" w:rsidTr="00E037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170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tcFitText/>
          </w:tcPr>
          <w:p w14:paraId="05CC67AA" w14:textId="77777777" w:rsidR="007E1016" w:rsidRDefault="007E1016" w:rsidP="00B204B6"/>
        </w:tc>
      </w:tr>
      <w:tr w:rsidR="007E1016" w:rsidRPr="00E2035C" w14:paraId="572CE042" w14:textId="77777777" w:rsidTr="00E03713">
        <w:tc>
          <w:tcPr>
            <w:tcW w:w="737" w:type="dxa"/>
            <w:gridSpan w:val="2"/>
            <w:tcBorders>
              <w:right w:val="single" w:sz="6" w:space="0" w:color="DCDADA"/>
            </w:tcBorders>
            <w:noWrap/>
            <w:tcMar>
              <w:left w:w="170" w:type="dxa"/>
              <w:right w:w="227" w:type="dxa"/>
            </w:tcMar>
          </w:tcPr>
          <w:p w14:paraId="70E7EA71" w14:textId="77777777" w:rsidR="007E1016" w:rsidRDefault="007E1016" w:rsidP="00E03713">
            <w:pPr>
              <w:spacing w:before="40" w:after="40"/>
              <w:jc w:val="right"/>
              <w:rPr>
                <w:b/>
              </w:rPr>
            </w:pPr>
            <w:r w:rsidRPr="00E2035C">
              <w:rPr>
                <w:b/>
              </w:rPr>
              <w:t>5.1</w:t>
            </w:r>
          </w:p>
        </w:tc>
        <w:tc>
          <w:tcPr>
            <w:tcW w:w="8902" w:type="dxa"/>
            <w:tcBorders>
              <w:left w:val="single" w:sz="6" w:space="0" w:color="DCDADA"/>
            </w:tcBorders>
            <w:noWrap/>
            <w:tcMar>
              <w:left w:w="170" w:type="dxa"/>
              <w:right w:w="170" w:type="dxa"/>
            </w:tcMar>
          </w:tcPr>
          <w:p w14:paraId="0C19DC80" w14:textId="77777777" w:rsidR="007E1016" w:rsidRDefault="007E1016" w:rsidP="00E03713">
            <w:pPr>
              <w:spacing w:before="40" w:after="40"/>
              <w:jc w:val="both"/>
            </w:pPr>
            <w:r w:rsidRPr="00E2035C">
              <w:t>Podmínky jsme oprávněni průběžně měnit způsobem uvedeným ve VOP.</w:t>
            </w:r>
          </w:p>
        </w:tc>
      </w:tr>
      <w:tr w:rsidR="007E1016" w:rsidRPr="00E2035C" w14:paraId="62C46C83" w14:textId="77777777" w:rsidTr="00E03713">
        <w:tc>
          <w:tcPr>
            <w:tcW w:w="737" w:type="dxa"/>
            <w:gridSpan w:val="2"/>
            <w:tcBorders>
              <w:right w:val="single" w:sz="6" w:space="0" w:color="DCDADA"/>
            </w:tcBorders>
            <w:noWrap/>
            <w:tcMar>
              <w:left w:w="170" w:type="dxa"/>
              <w:right w:w="227" w:type="dxa"/>
            </w:tcMar>
          </w:tcPr>
          <w:p w14:paraId="6FA421EF" w14:textId="77777777" w:rsidR="007E1016" w:rsidRDefault="007E1016" w:rsidP="00E03713">
            <w:pPr>
              <w:spacing w:before="40" w:after="40"/>
              <w:jc w:val="right"/>
              <w:rPr>
                <w:b/>
              </w:rPr>
            </w:pPr>
            <w:r w:rsidRPr="00E2035C">
              <w:rPr>
                <w:b/>
              </w:rPr>
              <w:t>5.2</w:t>
            </w:r>
          </w:p>
        </w:tc>
        <w:tc>
          <w:tcPr>
            <w:tcW w:w="8902" w:type="dxa"/>
            <w:tcBorders>
              <w:left w:val="single" w:sz="6" w:space="0" w:color="DCDADA"/>
            </w:tcBorders>
            <w:noWrap/>
            <w:tcMar>
              <w:left w:w="170" w:type="dxa"/>
              <w:right w:w="170" w:type="dxa"/>
            </w:tcMar>
          </w:tcPr>
          <w:p w14:paraId="06B6C57D" w14:textId="77777777" w:rsidR="007E1016" w:rsidRDefault="007E1016" w:rsidP="00B204B6">
            <w:pPr>
              <w:spacing w:before="40"/>
              <w:jc w:val="both"/>
            </w:pPr>
            <w:r w:rsidRPr="00E2035C">
              <w:t xml:space="preserve">Podmínky </w:t>
            </w:r>
            <w:proofErr w:type="gramStart"/>
            <w:r w:rsidRPr="00E2035C">
              <w:t>ruší</w:t>
            </w:r>
            <w:proofErr w:type="gramEnd"/>
            <w:r w:rsidRPr="00E2035C">
              <w:t xml:space="preserve"> a nahrazují následující Produktové podmínky účinné od 1.</w:t>
            </w:r>
            <w:r>
              <w:t xml:space="preserve"> </w:t>
            </w:r>
            <w:r w:rsidRPr="00E2035C">
              <w:t>1.</w:t>
            </w:r>
            <w:r>
              <w:t xml:space="preserve"> </w:t>
            </w:r>
            <w:r w:rsidRPr="00E2035C">
              <w:t>2014:</w:t>
            </w:r>
          </w:p>
          <w:p w14:paraId="2CC30309" w14:textId="77777777" w:rsidR="007E1016" w:rsidRDefault="007E1016" w:rsidP="00B204B6">
            <w:pPr>
              <w:pStyle w:val="Odstavecseseznamem"/>
              <w:numPr>
                <w:ilvl w:val="0"/>
                <w:numId w:val="2"/>
              </w:numPr>
              <w:ind w:left="227" w:hanging="227"/>
              <w:contextualSpacing w:val="0"/>
              <w:rPr>
                <w:rFonts w:cs="Times New Roman"/>
              </w:rPr>
            </w:pPr>
            <w:r w:rsidRPr="00E2035C">
              <w:rPr>
                <w:rFonts w:cs="Times New Roman"/>
              </w:rPr>
              <w:t>Podmínky termínovaných účtů,</w:t>
            </w:r>
          </w:p>
          <w:p w14:paraId="505833B4" w14:textId="77777777" w:rsidR="007E1016" w:rsidRDefault="007E1016" w:rsidP="00B204B6">
            <w:pPr>
              <w:pStyle w:val="Odstavecseseznamem"/>
              <w:numPr>
                <w:ilvl w:val="0"/>
                <w:numId w:val="2"/>
              </w:numPr>
              <w:spacing w:after="40"/>
              <w:ind w:left="227" w:hanging="227"/>
              <w:contextualSpacing w:val="0"/>
              <w:rPr>
                <w:rFonts w:cs="Times New Roman"/>
              </w:rPr>
            </w:pPr>
            <w:r w:rsidRPr="00E2035C">
              <w:rPr>
                <w:rFonts w:cs="Times New Roman"/>
              </w:rPr>
              <w:t>Podmínky ke KB Garantovanému vkladu.</w:t>
            </w:r>
          </w:p>
        </w:tc>
      </w:tr>
      <w:tr w:rsidR="007E1016" w:rsidRPr="00E2035C" w14:paraId="71DE883A" w14:textId="77777777" w:rsidTr="00E03713">
        <w:tc>
          <w:tcPr>
            <w:tcW w:w="737" w:type="dxa"/>
            <w:gridSpan w:val="2"/>
            <w:tcBorders>
              <w:right w:val="single" w:sz="6" w:space="0" w:color="DCDADA"/>
            </w:tcBorders>
            <w:noWrap/>
            <w:tcMar>
              <w:left w:w="170" w:type="dxa"/>
              <w:right w:w="227" w:type="dxa"/>
            </w:tcMar>
          </w:tcPr>
          <w:p w14:paraId="2483BB8D" w14:textId="77777777" w:rsidR="007E1016" w:rsidRDefault="007E1016" w:rsidP="00E03713">
            <w:pPr>
              <w:spacing w:before="40" w:after="40"/>
              <w:jc w:val="right"/>
              <w:rPr>
                <w:b/>
              </w:rPr>
            </w:pPr>
            <w:r w:rsidRPr="00E2035C">
              <w:rPr>
                <w:b/>
              </w:rPr>
              <w:t>5.3</w:t>
            </w:r>
          </w:p>
        </w:tc>
        <w:tc>
          <w:tcPr>
            <w:tcW w:w="8902" w:type="dxa"/>
            <w:tcBorders>
              <w:left w:val="single" w:sz="6" w:space="0" w:color="DCDADA"/>
            </w:tcBorders>
            <w:noWrap/>
            <w:tcMar>
              <w:left w:w="170" w:type="dxa"/>
              <w:right w:w="170" w:type="dxa"/>
            </w:tcMar>
          </w:tcPr>
          <w:p w14:paraId="6CBEE184" w14:textId="77777777" w:rsidR="007E1016" w:rsidRDefault="007E1016" w:rsidP="00E03713">
            <w:pPr>
              <w:spacing w:before="40" w:after="40"/>
              <w:jc w:val="both"/>
            </w:pPr>
            <w:r w:rsidRPr="00E2035C">
              <w:t xml:space="preserve">Podmínky nabývají účinnosti dne </w:t>
            </w:r>
            <w:r>
              <w:t>1. 4. 2015</w:t>
            </w:r>
            <w:r w:rsidRPr="00E2035C">
              <w:t>.</w:t>
            </w:r>
          </w:p>
        </w:tc>
      </w:tr>
      <w:bookmarkEnd w:id="0"/>
    </w:tbl>
    <w:p w14:paraId="011CFBE8" w14:textId="77777777" w:rsidR="004806EC" w:rsidRDefault="004806EC" w:rsidP="00A171A6">
      <w:pPr>
        <w:jc w:val="both"/>
      </w:pPr>
    </w:p>
    <w:p w14:paraId="4FF896DF" w14:textId="77777777" w:rsidR="00653FB0" w:rsidRDefault="00653FB0" w:rsidP="00D86FE9">
      <w:pPr>
        <w:jc w:val="both"/>
      </w:pPr>
    </w:p>
    <w:sectPr w:rsidR="00653FB0" w:rsidSect="00126E8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71" w:right="1134" w:bottom="1588" w:left="1134" w:header="102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FFB4AD" w14:textId="77777777" w:rsidR="00C7408A" w:rsidRDefault="00C7408A" w:rsidP="005D6E7E">
      <w:r>
        <w:separator/>
      </w:r>
    </w:p>
  </w:endnote>
  <w:endnote w:type="continuationSeparator" w:id="0">
    <w:p w14:paraId="7E1903D4" w14:textId="77777777" w:rsidR="00C7408A" w:rsidRDefault="00C7408A" w:rsidP="005D6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639" w:type="dxa"/>
      <w:tblBorders>
        <w:top w:val="single" w:sz="6" w:space="0" w:color="C8C8C8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20"/>
      <w:gridCol w:w="4819"/>
    </w:tblGrid>
    <w:tr w:rsidR="00653FB0" w14:paraId="03852D17" w14:textId="77777777" w:rsidTr="003F122A">
      <w:trPr>
        <w:trHeight w:hRule="exact" w:val="907"/>
      </w:trPr>
      <w:tc>
        <w:tcPr>
          <w:tcW w:w="4820" w:type="dxa"/>
          <w:shd w:val="clear" w:color="auto" w:fill="auto"/>
          <w:vAlign w:val="bottom"/>
        </w:tcPr>
        <w:p w14:paraId="40625700" w14:textId="77777777" w:rsidR="00653FB0" w:rsidRDefault="00653FB0" w:rsidP="003F122A">
          <w:pPr>
            <w:pStyle w:val="kbFixedtext"/>
            <w:spacing w:before="100"/>
          </w:pPr>
          <w:bookmarkStart w:id="2" w:name="cj_4"/>
          <w:r>
            <w:t xml:space="preserve">Komerční banka, a. s., se sídlem: </w:t>
          </w:r>
        </w:p>
        <w:p w14:paraId="17B06C00" w14:textId="77777777" w:rsidR="00653FB0" w:rsidRDefault="00653FB0" w:rsidP="003F122A">
          <w:pPr>
            <w:pStyle w:val="kbFixedtext"/>
          </w:pPr>
          <w:r>
            <w:t>Praha 1, Na Příkopě 33 čp. 969, PSČ 114 07, IČO: 45317054</w:t>
          </w:r>
        </w:p>
        <w:p w14:paraId="662BFD09" w14:textId="77777777" w:rsidR="00653FB0" w:rsidRDefault="00653FB0" w:rsidP="003F122A">
          <w:pPr>
            <w:pStyle w:val="kbRegistration"/>
          </w:pPr>
          <w:r>
            <w:t>ZAPSANÁ V OBCHODNÍM REJSTŘÍKU VEDENÉM MĚSTSKÝm SOUDEM V PRAZE, ODDÍL B, VLOŽKA 1360</w:t>
          </w:r>
        </w:p>
      </w:tc>
      <w:tc>
        <w:tcPr>
          <w:tcW w:w="4819" w:type="dxa"/>
          <w:shd w:val="clear" w:color="auto" w:fill="auto"/>
          <w:vAlign w:val="bottom"/>
        </w:tcPr>
        <w:p w14:paraId="40973596" w14:textId="77777777" w:rsidR="00653FB0" w:rsidRDefault="00653FB0" w:rsidP="003F122A">
          <w:pPr>
            <w:pStyle w:val="kbFixedtext"/>
            <w:jc w:val="right"/>
            <w:rPr>
              <w:sz w:val="8"/>
            </w:rPr>
          </w:pPr>
          <w:r>
            <w:rPr>
              <w:rStyle w:val="slostrnky"/>
              <w:rFonts w:eastAsia="Times New Roman"/>
            </w:rPr>
            <w:fldChar w:fldCharType="begin"/>
          </w:r>
          <w:r>
            <w:rPr>
              <w:rStyle w:val="slostrnky"/>
              <w:rFonts w:eastAsia="Times New Roman"/>
            </w:rPr>
            <w:instrText xml:space="preserve"> PAGE </w:instrText>
          </w:r>
          <w:r>
            <w:rPr>
              <w:rStyle w:val="slostrnky"/>
              <w:rFonts w:eastAsia="Times New Roman"/>
            </w:rPr>
            <w:fldChar w:fldCharType="separate"/>
          </w:r>
          <w:r w:rsidR="00C469E4">
            <w:rPr>
              <w:rStyle w:val="slostrnky"/>
              <w:rFonts w:eastAsia="Times New Roman"/>
              <w:noProof/>
            </w:rPr>
            <w:t>2</w:t>
          </w:r>
          <w:r>
            <w:rPr>
              <w:rStyle w:val="slostrnky"/>
              <w:rFonts w:eastAsia="Times New Roman"/>
            </w:rPr>
            <w:fldChar w:fldCharType="end"/>
          </w:r>
          <w:r>
            <w:rPr>
              <w:rStyle w:val="slostrnky"/>
              <w:rFonts w:eastAsia="Times New Roman"/>
            </w:rPr>
            <w:t>/</w:t>
          </w:r>
          <w:r>
            <w:rPr>
              <w:rStyle w:val="slostrnky"/>
              <w:rFonts w:eastAsia="Times New Roman"/>
            </w:rPr>
            <w:fldChar w:fldCharType="begin"/>
          </w:r>
          <w:r>
            <w:rPr>
              <w:rStyle w:val="slostrnky"/>
              <w:rFonts w:eastAsia="Times New Roman"/>
            </w:rPr>
            <w:instrText xml:space="preserve"> NUMPAGES </w:instrText>
          </w:r>
          <w:r>
            <w:rPr>
              <w:rStyle w:val="slostrnky"/>
              <w:rFonts w:eastAsia="Times New Roman"/>
            </w:rPr>
            <w:fldChar w:fldCharType="separate"/>
          </w:r>
          <w:r w:rsidR="00C469E4">
            <w:rPr>
              <w:rStyle w:val="slostrnky"/>
              <w:rFonts w:eastAsia="Times New Roman"/>
              <w:noProof/>
            </w:rPr>
            <w:t>7</w:t>
          </w:r>
          <w:r>
            <w:rPr>
              <w:rStyle w:val="slostrnky"/>
              <w:rFonts w:eastAsia="Times New Roman"/>
            </w:rPr>
            <w:fldChar w:fldCharType="end"/>
          </w:r>
        </w:p>
        <w:p w14:paraId="03EF83E0" w14:textId="77777777" w:rsidR="00653FB0" w:rsidRDefault="00653FB0" w:rsidP="003F122A">
          <w:pPr>
            <w:pStyle w:val="Registration"/>
            <w:jc w:val="right"/>
          </w:pPr>
          <w:r>
            <w:t>Datum účinnosti šablony 1</w:t>
          </w:r>
          <w:r w:rsidR="00C469E4">
            <w:t>1</w:t>
          </w:r>
          <w:r>
            <w:t xml:space="preserve">. </w:t>
          </w:r>
          <w:r w:rsidR="00C469E4">
            <w:t>6</w:t>
          </w:r>
          <w:r>
            <w:t>. 201</w:t>
          </w:r>
          <w:r w:rsidR="00C469E4">
            <w:t>8</w:t>
          </w:r>
        </w:p>
        <w:p w14:paraId="16A2EDB0" w14:textId="71412AE2" w:rsidR="00653FB0" w:rsidRDefault="00653FB0" w:rsidP="007E1016">
          <w:pPr>
            <w:pStyle w:val="Registration"/>
            <w:jc w:val="right"/>
          </w:pPr>
          <w:r>
            <w:t>VER F</w:t>
          </w:r>
          <w:r w:rsidR="00C469E4">
            <w:t xml:space="preserve"> </w:t>
          </w:r>
          <w:r>
            <w:t>podmtu.doT</w:t>
          </w:r>
          <w:r w:rsidRPr="001A4335">
            <w:t xml:space="preserve"> </w:t>
          </w:r>
          <w:r w:rsidRPr="001A4335">
            <w:fldChar w:fldCharType="begin"/>
          </w:r>
          <w:r w:rsidRPr="001A4335">
            <w:instrText>\DATE</w:instrText>
          </w:r>
          <w:r w:rsidRPr="001A4335">
            <w:fldChar w:fldCharType="separate"/>
          </w:r>
          <w:r w:rsidR="00D72B80">
            <w:rPr>
              <w:noProof/>
            </w:rPr>
            <w:t>29.04.2024</w:t>
          </w:r>
          <w:r w:rsidRPr="001A4335">
            <w:fldChar w:fldCharType="end"/>
          </w:r>
          <w:r w:rsidRPr="001A4335">
            <w:t xml:space="preserve"> </w:t>
          </w:r>
          <w:r w:rsidRPr="001A4335">
            <w:fldChar w:fldCharType="begin"/>
          </w:r>
          <w:r w:rsidRPr="001A4335">
            <w:instrText>\TIME</w:instrText>
          </w:r>
          <w:r w:rsidRPr="001A4335">
            <w:fldChar w:fldCharType="separate"/>
          </w:r>
          <w:r w:rsidR="00D72B80">
            <w:rPr>
              <w:noProof/>
            </w:rPr>
            <w:t>11:00 dop.</w:t>
          </w:r>
          <w:r w:rsidRPr="001A4335">
            <w:fldChar w:fldCharType="end"/>
          </w:r>
        </w:p>
      </w:tc>
    </w:tr>
  </w:tbl>
  <w:p w14:paraId="271F8F04" w14:textId="77777777" w:rsidR="00653FB0" w:rsidRPr="00B204B6" w:rsidRDefault="00653FB0">
    <w:pPr>
      <w:pStyle w:val="Zpat"/>
      <w:rPr>
        <w:vanish/>
        <w:color w:val="FF0000"/>
      </w:rPr>
    </w:pPr>
  </w:p>
  <w:bookmarkEnd w:id="2"/>
  <w:p w14:paraId="00BE671F" w14:textId="77777777" w:rsidR="00653FB0" w:rsidRPr="00126E8C" w:rsidRDefault="00653FB0">
    <w:pPr>
      <w:pStyle w:val="Zpat"/>
      <w:rPr>
        <w:vanish/>
        <w:color w:val="FF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639" w:type="dxa"/>
      <w:tblBorders>
        <w:top w:val="single" w:sz="6" w:space="0" w:color="C8C8C8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20"/>
      <w:gridCol w:w="4819"/>
    </w:tblGrid>
    <w:tr w:rsidR="00653FB0" w14:paraId="138C7006" w14:textId="77777777" w:rsidTr="003F122A">
      <w:trPr>
        <w:trHeight w:hRule="exact" w:val="907"/>
      </w:trPr>
      <w:tc>
        <w:tcPr>
          <w:tcW w:w="4820" w:type="dxa"/>
          <w:shd w:val="clear" w:color="auto" w:fill="auto"/>
          <w:vAlign w:val="bottom"/>
        </w:tcPr>
        <w:p w14:paraId="08BAA584" w14:textId="77777777" w:rsidR="00653FB0" w:rsidRDefault="00653FB0" w:rsidP="003F122A">
          <w:pPr>
            <w:pStyle w:val="kbFixedtext"/>
            <w:spacing w:before="100"/>
          </w:pPr>
          <w:bookmarkStart w:id="4" w:name="cj_3"/>
          <w:r>
            <w:t xml:space="preserve">Komerční banka, a. s., se sídlem: </w:t>
          </w:r>
        </w:p>
        <w:p w14:paraId="7B6C6CE0" w14:textId="77777777" w:rsidR="00653FB0" w:rsidRDefault="00653FB0" w:rsidP="003F122A">
          <w:pPr>
            <w:pStyle w:val="kbFixedtext"/>
          </w:pPr>
          <w:r>
            <w:t>Praha 1, Na Příkopě 33 čp. 969, PSČ 114 07, IČO: 45317054</w:t>
          </w:r>
        </w:p>
        <w:p w14:paraId="0999C8DC" w14:textId="77777777" w:rsidR="00653FB0" w:rsidRDefault="00653FB0" w:rsidP="003F122A">
          <w:pPr>
            <w:pStyle w:val="kbRegistration"/>
          </w:pPr>
          <w:r>
            <w:t>ZAPSANÁ V OBCHODNÍM REJSTŘÍKU VEDENÉM MĚSTSKÝm SOUDEM V PRAZE, ODDÍL B, VLOŽKA 1360</w:t>
          </w:r>
        </w:p>
      </w:tc>
      <w:tc>
        <w:tcPr>
          <w:tcW w:w="4819" w:type="dxa"/>
          <w:shd w:val="clear" w:color="auto" w:fill="auto"/>
          <w:vAlign w:val="bottom"/>
        </w:tcPr>
        <w:p w14:paraId="6BBB6095" w14:textId="77777777" w:rsidR="00653FB0" w:rsidRDefault="00653FB0" w:rsidP="003F122A">
          <w:pPr>
            <w:pStyle w:val="kbFixedtext"/>
            <w:jc w:val="right"/>
            <w:rPr>
              <w:sz w:val="8"/>
            </w:rPr>
          </w:pPr>
          <w:r>
            <w:rPr>
              <w:rStyle w:val="slostrnky"/>
              <w:rFonts w:eastAsia="Times New Roman"/>
            </w:rPr>
            <w:fldChar w:fldCharType="begin"/>
          </w:r>
          <w:r>
            <w:rPr>
              <w:rStyle w:val="slostrnky"/>
              <w:rFonts w:eastAsia="Times New Roman"/>
            </w:rPr>
            <w:instrText xml:space="preserve"> PAGE </w:instrText>
          </w:r>
          <w:r>
            <w:rPr>
              <w:rStyle w:val="slostrnky"/>
              <w:rFonts w:eastAsia="Times New Roman"/>
            </w:rPr>
            <w:fldChar w:fldCharType="separate"/>
          </w:r>
          <w:r w:rsidR="00C469E4">
            <w:rPr>
              <w:rStyle w:val="slostrnky"/>
              <w:rFonts w:eastAsia="Times New Roman"/>
              <w:noProof/>
            </w:rPr>
            <w:t>1</w:t>
          </w:r>
          <w:r>
            <w:rPr>
              <w:rStyle w:val="slostrnky"/>
              <w:rFonts w:eastAsia="Times New Roman"/>
            </w:rPr>
            <w:fldChar w:fldCharType="end"/>
          </w:r>
          <w:r>
            <w:rPr>
              <w:rStyle w:val="slostrnky"/>
              <w:rFonts w:eastAsia="Times New Roman"/>
            </w:rPr>
            <w:t>/</w:t>
          </w:r>
          <w:r>
            <w:rPr>
              <w:rStyle w:val="slostrnky"/>
              <w:rFonts w:eastAsia="Times New Roman"/>
            </w:rPr>
            <w:fldChar w:fldCharType="begin"/>
          </w:r>
          <w:r>
            <w:rPr>
              <w:rStyle w:val="slostrnky"/>
              <w:rFonts w:eastAsia="Times New Roman"/>
            </w:rPr>
            <w:instrText xml:space="preserve"> NUMPAGES </w:instrText>
          </w:r>
          <w:r>
            <w:rPr>
              <w:rStyle w:val="slostrnky"/>
              <w:rFonts w:eastAsia="Times New Roman"/>
            </w:rPr>
            <w:fldChar w:fldCharType="separate"/>
          </w:r>
          <w:r w:rsidR="00C469E4">
            <w:rPr>
              <w:rStyle w:val="slostrnky"/>
              <w:rFonts w:eastAsia="Times New Roman"/>
              <w:noProof/>
            </w:rPr>
            <w:t>7</w:t>
          </w:r>
          <w:r>
            <w:rPr>
              <w:rStyle w:val="slostrnky"/>
              <w:rFonts w:eastAsia="Times New Roman"/>
            </w:rPr>
            <w:fldChar w:fldCharType="end"/>
          </w:r>
        </w:p>
        <w:p w14:paraId="0E752AF8" w14:textId="77777777" w:rsidR="00653FB0" w:rsidRDefault="00653FB0" w:rsidP="003F122A">
          <w:pPr>
            <w:pStyle w:val="Registration"/>
            <w:jc w:val="right"/>
          </w:pPr>
          <w:r>
            <w:t xml:space="preserve">Datum účinnosti šablony </w:t>
          </w:r>
          <w:r w:rsidR="00C469E4">
            <w:t>1</w:t>
          </w:r>
          <w:r>
            <w:t xml:space="preserve">1. </w:t>
          </w:r>
          <w:r w:rsidR="00C469E4">
            <w:t>6</w:t>
          </w:r>
          <w:r>
            <w:t>. 201</w:t>
          </w:r>
          <w:r w:rsidR="00C469E4">
            <w:t>8</w:t>
          </w:r>
        </w:p>
        <w:p w14:paraId="3FFE22DE" w14:textId="47FD33BE" w:rsidR="00653FB0" w:rsidRDefault="00653FB0" w:rsidP="00385FCC">
          <w:pPr>
            <w:pStyle w:val="Registration"/>
            <w:jc w:val="right"/>
          </w:pPr>
          <w:r>
            <w:t>VER F</w:t>
          </w:r>
          <w:r w:rsidR="00C469E4">
            <w:t xml:space="preserve"> </w:t>
          </w:r>
          <w:r>
            <w:t>podmtu.doT</w:t>
          </w:r>
          <w:r w:rsidRPr="001A4335">
            <w:t xml:space="preserve"> </w:t>
          </w:r>
          <w:r w:rsidRPr="001A4335">
            <w:fldChar w:fldCharType="begin"/>
          </w:r>
          <w:r w:rsidRPr="001A4335">
            <w:instrText>\DATE</w:instrText>
          </w:r>
          <w:r w:rsidRPr="001A4335">
            <w:fldChar w:fldCharType="separate"/>
          </w:r>
          <w:r w:rsidR="00D72B80">
            <w:rPr>
              <w:noProof/>
            </w:rPr>
            <w:t>29.04.2024</w:t>
          </w:r>
          <w:r w:rsidRPr="001A4335">
            <w:fldChar w:fldCharType="end"/>
          </w:r>
          <w:r w:rsidRPr="001A4335">
            <w:t xml:space="preserve"> </w:t>
          </w:r>
          <w:r w:rsidRPr="001A4335">
            <w:fldChar w:fldCharType="begin"/>
          </w:r>
          <w:r w:rsidRPr="001A4335">
            <w:instrText>\TIME</w:instrText>
          </w:r>
          <w:r w:rsidRPr="001A4335">
            <w:fldChar w:fldCharType="separate"/>
          </w:r>
          <w:r w:rsidR="00D72B80">
            <w:rPr>
              <w:noProof/>
            </w:rPr>
            <w:t>11:00 dop.</w:t>
          </w:r>
          <w:r w:rsidRPr="001A4335">
            <w:fldChar w:fldCharType="end"/>
          </w:r>
        </w:p>
      </w:tc>
    </w:tr>
  </w:tbl>
  <w:p w14:paraId="0DB253B3" w14:textId="77777777" w:rsidR="00653FB0" w:rsidRPr="00B204B6" w:rsidRDefault="00653FB0">
    <w:pPr>
      <w:pStyle w:val="Zpat"/>
      <w:rPr>
        <w:vanish/>
        <w:color w:val="FF0000"/>
      </w:rPr>
    </w:pPr>
  </w:p>
  <w:bookmarkEnd w:id="4"/>
  <w:p w14:paraId="0D41B260" w14:textId="77777777" w:rsidR="00653FB0" w:rsidRPr="00B204B6" w:rsidRDefault="00653FB0">
    <w:pPr>
      <w:pStyle w:val="Zpat"/>
      <w:rPr>
        <w:vanish/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0D6D62" w14:textId="77777777" w:rsidR="00C7408A" w:rsidRDefault="00C7408A" w:rsidP="005D6E7E">
      <w:r>
        <w:separator/>
      </w:r>
    </w:p>
  </w:footnote>
  <w:footnote w:type="continuationSeparator" w:id="0">
    <w:p w14:paraId="6D30C07C" w14:textId="77777777" w:rsidR="00C7408A" w:rsidRDefault="00C7408A" w:rsidP="005D6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B67601" w14:textId="77777777" w:rsidR="00653FB0" w:rsidRPr="00DB1ABE" w:rsidRDefault="00653FB0">
    <w:pPr>
      <w:rPr>
        <w:sz w:val="10"/>
        <w:szCs w:val="10"/>
      </w:rPr>
    </w:pPr>
  </w:p>
  <w:tbl>
    <w:tblPr>
      <w:tblW w:w="9639" w:type="dxa"/>
      <w:tblBorders>
        <w:bottom w:val="single" w:sz="6" w:space="0" w:color="C8C8C8"/>
      </w:tblBorders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639"/>
    </w:tblGrid>
    <w:tr w:rsidR="00653FB0" w:rsidRPr="00C240F0" w14:paraId="5A47735B" w14:textId="77777777" w:rsidTr="00D97F87">
      <w:trPr>
        <w:trHeight w:val="425"/>
      </w:trPr>
      <w:tc>
        <w:tcPr>
          <w:tcW w:w="9639" w:type="dxa"/>
        </w:tcPr>
        <w:p w14:paraId="19D9F98E" w14:textId="77777777" w:rsidR="00653FB0" w:rsidRPr="00C240F0" w:rsidRDefault="00653FB0" w:rsidP="009D7199">
          <w:pPr>
            <w:pStyle w:val="Nadpis1"/>
            <w:jc w:val="left"/>
            <w:rPr>
              <w:b w:val="0"/>
              <w:bCs w:val="0"/>
              <w:caps w:val="0"/>
              <w:sz w:val="20"/>
              <w:szCs w:val="20"/>
            </w:rPr>
          </w:pPr>
          <w:bookmarkStart w:id="1" w:name="cj_2"/>
          <w:r w:rsidRPr="009D7199">
            <w:t>PODMÍNKY vkladových účtů</w:t>
          </w:r>
          <w:bookmarkEnd w:id="1"/>
        </w:p>
      </w:tc>
    </w:tr>
  </w:tbl>
  <w:p w14:paraId="022161CC" w14:textId="77777777" w:rsidR="00653FB0" w:rsidRPr="006E1B1F" w:rsidRDefault="00653FB0" w:rsidP="00441554">
    <w:pPr>
      <w:pStyle w:val="Zhlav"/>
    </w:pPr>
  </w:p>
  <w:p w14:paraId="55B18CA0" w14:textId="77777777" w:rsidR="00653FB0" w:rsidRDefault="00653FB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639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084"/>
      <w:gridCol w:w="786"/>
      <w:gridCol w:w="674"/>
      <w:gridCol w:w="6095"/>
    </w:tblGrid>
    <w:tr w:rsidR="00653FB0" w:rsidRPr="00C240F0" w14:paraId="6217C6B0" w14:textId="77777777" w:rsidTr="00653FB0">
      <w:trPr>
        <w:trHeight w:hRule="exact" w:val="284"/>
      </w:trPr>
      <w:tc>
        <w:tcPr>
          <w:tcW w:w="2084" w:type="dxa"/>
          <w:vMerge w:val="restart"/>
          <w:vAlign w:val="center"/>
        </w:tcPr>
        <w:p w14:paraId="02D3C990" w14:textId="5A7F218D" w:rsidR="00653FB0" w:rsidRPr="00C240F0" w:rsidRDefault="00C7408A" w:rsidP="00653FB0">
          <w:pPr>
            <w:pStyle w:val="Zhlav"/>
          </w:pPr>
          <w:bookmarkStart w:id="3" w:name="cj"/>
          <w:r w:rsidRPr="000730EA">
            <w:rPr>
              <w:noProof/>
            </w:rPr>
            <w:drawing>
              <wp:inline distT="0" distB="0" distL="0" distR="0" wp14:anchorId="6F394E59" wp14:editId="6BDB6358">
                <wp:extent cx="1104900" cy="43815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6" w:type="dxa"/>
          <w:vAlign w:val="center"/>
        </w:tcPr>
        <w:p w14:paraId="11E850CD" w14:textId="77777777" w:rsidR="00653FB0" w:rsidRPr="00C240F0" w:rsidRDefault="00653FB0" w:rsidP="00653FB0">
          <w:pPr>
            <w:pStyle w:val="Nadpis1"/>
            <w:jc w:val="left"/>
            <w:rPr>
              <w:rFonts w:eastAsia="Times New Roman"/>
              <w:b w:val="0"/>
              <w:bCs w:val="0"/>
              <w:caps w:val="0"/>
              <w:sz w:val="8"/>
              <w:szCs w:val="8"/>
            </w:rPr>
          </w:pPr>
        </w:p>
      </w:tc>
      <w:tc>
        <w:tcPr>
          <w:tcW w:w="674" w:type="dxa"/>
          <w:vMerge w:val="restart"/>
          <w:vAlign w:val="center"/>
        </w:tcPr>
        <w:p w14:paraId="18707C24" w14:textId="77777777" w:rsidR="00653FB0" w:rsidRPr="00C240F0" w:rsidRDefault="00653FB0" w:rsidP="00653FB0">
          <w:pPr>
            <w:pStyle w:val="Nadpis1"/>
            <w:jc w:val="left"/>
            <w:rPr>
              <w:rFonts w:eastAsia="Times New Roman"/>
            </w:rPr>
          </w:pPr>
        </w:p>
      </w:tc>
      <w:tc>
        <w:tcPr>
          <w:tcW w:w="6095" w:type="dxa"/>
          <w:vMerge w:val="restart"/>
          <w:vAlign w:val="center"/>
        </w:tcPr>
        <w:p w14:paraId="2E5731A1" w14:textId="77777777" w:rsidR="00653FB0" w:rsidRPr="00C240F0" w:rsidRDefault="00653FB0" w:rsidP="00653FB0">
          <w:pPr>
            <w:pStyle w:val="Nadpis1"/>
            <w:jc w:val="left"/>
            <w:rPr>
              <w:rFonts w:eastAsia="Times New Roman"/>
            </w:rPr>
          </w:pPr>
          <w:r w:rsidRPr="009F05F6">
            <w:t xml:space="preserve">PODMÍNKY </w:t>
          </w:r>
          <w:r>
            <w:t>vkladových účtů</w:t>
          </w:r>
        </w:p>
      </w:tc>
    </w:tr>
    <w:tr w:rsidR="00653FB0" w:rsidRPr="00C240F0" w14:paraId="49CDCCF7" w14:textId="77777777" w:rsidTr="00653FB0">
      <w:trPr>
        <w:trHeight w:hRule="exact" w:val="369"/>
      </w:trPr>
      <w:tc>
        <w:tcPr>
          <w:tcW w:w="2084" w:type="dxa"/>
          <w:vMerge/>
          <w:vAlign w:val="center"/>
        </w:tcPr>
        <w:p w14:paraId="452E4449" w14:textId="77777777" w:rsidR="00653FB0" w:rsidRPr="00C240F0" w:rsidRDefault="00653FB0" w:rsidP="00653FB0">
          <w:pPr>
            <w:pStyle w:val="Zhlav"/>
          </w:pPr>
        </w:p>
      </w:tc>
      <w:tc>
        <w:tcPr>
          <w:tcW w:w="786" w:type="dxa"/>
          <w:tcBorders>
            <w:right w:val="single" w:sz="18" w:space="0" w:color="000000"/>
          </w:tcBorders>
          <w:vAlign w:val="center"/>
        </w:tcPr>
        <w:p w14:paraId="1AFE8DB9" w14:textId="77777777" w:rsidR="00653FB0" w:rsidRPr="00C240F0" w:rsidRDefault="00653FB0" w:rsidP="00653FB0">
          <w:pPr>
            <w:pStyle w:val="Nadpis1"/>
            <w:jc w:val="center"/>
            <w:rPr>
              <w:rFonts w:eastAsia="Times New Roman"/>
              <w:b w:val="0"/>
              <w:bCs w:val="0"/>
              <w:caps w:val="0"/>
              <w:sz w:val="8"/>
              <w:szCs w:val="8"/>
            </w:rPr>
          </w:pPr>
        </w:p>
      </w:tc>
      <w:tc>
        <w:tcPr>
          <w:tcW w:w="674" w:type="dxa"/>
          <w:vMerge/>
          <w:tcBorders>
            <w:left w:val="single" w:sz="18" w:space="0" w:color="000000"/>
          </w:tcBorders>
        </w:tcPr>
        <w:p w14:paraId="328FA695" w14:textId="77777777" w:rsidR="00653FB0" w:rsidRPr="00C240F0" w:rsidRDefault="00653FB0" w:rsidP="00653FB0">
          <w:pPr>
            <w:pStyle w:val="Nadpis1"/>
            <w:jc w:val="left"/>
            <w:rPr>
              <w:rFonts w:eastAsia="Times New Roman"/>
            </w:rPr>
          </w:pPr>
        </w:p>
      </w:tc>
      <w:tc>
        <w:tcPr>
          <w:tcW w:w="6095" w:type="dxa"/>
          <w:vMerge/>
          <w:vAlign w:val="center"/>
        </w:tcPr>
        <w:p w14:paraId="4BF67AB2" w14:textId="77777777" w:rsidR="00653FB0" w:rsidRPr="00C240F0" w:rsidRDefault="00653FB0" w:rsidP="00653FB0">
          <w:pPr>
            <w:pStyle w:val="Nadpis1"/>
            <w:jc w:val="left"/>
            <w:rPr>
              <w:rFonts w:eastAsia="Times New Roman"/>
            </w:rPr>
          </w:pPr>
        </w:p>
      </w:tc>
    </w:tr>
    <w:tr w:rsidR="00653FB0" w:rsidRPr="00C240F0" w14:paraId="255F2A9A" w14:textId="77777777" w:rsidTr="00653FB0">
      <w:trPr>
        <w:trHeight w:hRule="exact" w:val="284"/>
      </w:trPr>
      <w:tc>
        <w:tcPr>
          <w:tcW w:w="2084" w:type="dxa"/>
          <w:vMerge/>
          <w:vAlign w:val="center"/>
        </w:tcPr>
        <w:p w14:paraId="773CF273" w14:textId="77777777" w:rsidR="00653FB0" w:rsidRPr="00C240F0" w:rsidRDefault="00653FB0" w:rsidP="00653FB0">
          <w:pPr>
            <w:pStyle w:val="Zhlav"/>
          </w:pPr>
        </w:p>
      </w:tc>
      <w:tc>
        <w:tcPr>
          <w:tcW w:w="786" w:type="dxa"/>
          <w:vAlign w:val="center"/>
        </w:tcPr>
        <w:p w14:paraId="782E13FE" w14:textId="77777777" w:rsidR="00653FB0" w:rsidRPr="00C240F0" w:rsidRDefault="00653FB0" w:rsidP="00653FB0">
          <w:pPr>
            <w:pStyle w:val="Nadpis1"/>
            <w:jc w:val="center"/>
            <w:rPr>
              <w:rFonts w:eastAsia="Times New Roman"/>
              <w:b w:val="0"/>
              <w:bCs w:val="0"/>
              <w:caps w:val="0"/>
              <w:sz w:val="8"/>
              <w:szCs w:val="8"/>
            </w:rPr>
          </w:pPr>
        </w:p>
      </w:tc>
      <w:tc>
        <w:tcPr>
          <w:tcW w:w="674" w:type="dxa"/>
          <w:vMerge/>
        </w:tcPr>
        <w:p w14:paraId="1AC1FEF9" w14:textId="77777777" w:rsidR="00653FB0" w:rsidRPr="00C240F0" w:rsidRDefault="00653FB0" w:rsidP="00653FB0">
          <w:pPr>
            <w:pStyle w:val="Nadpis1"/>
            <w:jc w:val="left"/>
            <w:rPr>
              <w:rFonts w:eastAsia="Times New Roman"/>
              <w:sz w:val="8"/>
              <w:szCs w:val="8"/>
            </w:rPr>
          </w:pPr>
        </w:p>
      </w:tc>
      <w:tc>
        <w:tcPr>
          <w:tcW w:w="6095" w:type="dxa"/>
          <w:vMerge/>
          <w:vAlign w:val="center"/>
        </w:tcPr>
        <w:p w14:paraId="1F5F4823" w14:textId="77777777" w:rsidR="00653FB0" w:rsidRPr="00C240F0" w:rsidRDefault="00653FB0" w:rsidP="00653FB0">
          <w:pPr>
            <w:pStyle w:val="Nadpis1"/>
            <w:jc w:val="left"/>
            <w:rPr>
              <w:rFonts w:eastAsia="Times New Roman"/>
            </w:rPr>
          </w:pPr>
        </w:p>
      </w:tc>
    </w:tr>
  </w:tbl>
  <w:p w14:paraId="4EF21F26" w14:textId="77777777" w:rsidR="00653FB0" w:rsidRDefault="00653FB0" w:rsidP="00883316">
    <w:pPr>
      <w:pStyle w:val="Zhlav"/>
    </w:pPr>
  </w:p>
  <w:bookmarkEnd w:id="3"/>
  <w:p w14:paraId="39A1E067" w14:textId="77777777" w:rsidR="00653FB0" w:rsidRPr="00883316" w:rsidRDefault="00653FB0" w:rsidP="00D86FE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A101BD"/>
    <w:multiLevelType w:val="hybridMultilevel"/>
    <w:tmpl w:val="98EE5B2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BB52FF"/>
    <w:multiLevelType w:val="hybridMultilevel"/>
    <w:tmpl w:val="46E649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77499"/>
    <w:multiLevelType w:val="hybridMultilevel"/>
    <w:tmpl w:val="68E6BD8C"/>
    <w:lvl w:ilvl="0" w:tplc="1DE43E6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319F9"/>
    <w:multiLevelType w:val="hybridMultilevel"/>
    <w:tmpl w:val="101EC404"/>
    <w:lvl w:ilvl="0" w:tplc="76EA72F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8120032"/>
    <w:multiLevelType w:val="hybridMultilevel"/>
    <w:tmpl w:val="46E649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A062DF"/>
    <w:multiLevelType w:val="hybridMultilevel"/>
    <w:tmpl w:val="865055DE"/>
    <w:lvl w:ilvl="0" w:tplc="FFFFFFFF">
      <w:start w:val="1"/>
      <w:numFmt w:val="bullet"/>
      <w:lvlText w:val=""/>
      <w:legacy w:legacy="1" w:legacySpace="0" w:legacyIndent="284"/>
      <w:lvlJc w:val="left"/>
      <w:pPr>
        <w:ind w:left="284" w:hanging="284"/>
      </w:pPr>
      <w:rPr>
        <w:rFonts w:ascii="Wingdings" w:hAnsi="Wingdings" w:cs="Wingdings" w:hint="default"/>
        <w:sz w:val="14"/>
        <w:szCs w:val="1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D1A4C9E"/>
    <w:multiLevelType w:val="hybridMultilevel"/>
    <w:tmpl w:val="EE62B45C"/>
    <w:lvl w:ilvl="0" w:tplc="09FA0A3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  <w:b w:val="0"/>
        <w:bCs w:val="0"/>
        <w:i w:val="0"/>
        <w:iCs w:val="0"/>
        <w:sz w:val="14"/>
        <w:szCs w:val="14"/>
      </w:rPr>
    </w:lvl>
    <w:lvl w:ilvl="1" w:tplc="1BC4B1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3EEF2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1AA19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1FE90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E0831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5DE7D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892020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44AFC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6057C37"/>
    <w:multiLevelType w:val="hybridMultilevel"/>
    <w:tmpl w:val="90A23820"/>
    <w:lvl w:ilvl="0" w:tplc="772EBFFC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2"/>
        <w:szCs w:val="22"/>
      </w:rPr>
    </w:lvl>
    <w:lvl w:ilvl="1" w:tplc="CF42AD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443A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9012A2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A52E1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4C9A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20665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EB6085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BA2F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B5C3AEA"/>
    <w:multiLevelType w:val="hybridMultilevel"/>
    <w:tmpl w:val="9B0A5928"/>
    <w:lvl w:ilvl="0" w:tplc="6EA2949C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sz w:val="22"/>
        <w:szCs w:val="22"/>
      </w:rPr>
    </w:lvl>
    <w:lvl w:ilvl="1" w:tplc="2946A5A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C43A9B3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B7A50C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F4884F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46EB7D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2644F5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10021C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B1C3BA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C2B2883"/>
    <w:multiLevelType w:val="hybridMultilevel"/>
    <w:tmpl w:val="5D98E5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084E3A"/>
    <w:multiLevelType w:val="hybridMultilevel"/>
    <w:tmpl w:val="A912BFB4"/>
    <w:lvl w:ilvl="0" w:tplc="05AC058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2"/>
        <w:szCs w:val="22"/>
      </w:rPr>
    </w:lvl>
    <w:lvl w:ilvl="1" w:tplc="6D5A90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2444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A956C7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BE1A73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12E8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A7DAFA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C136A5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A88A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ECC7914"/>
    <w:multiLevelType w:val="hybridMultilevel"/>
    <w:tmpl w:val="7CB83F2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0D7D58"/>
    <w:multiLevelType w:val="hybridMultilevel"/>
    <w:tmpl w:val="611016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DE4D7F"/>
    <w:multiLevelType w:val="hybridMultilevel"/>
    <w:tmpl w:val="CF1E48B2"/>
    <w:lvl w:ilvl="0" w:tplc="6EA2949C">
      <w:start w:val="1"/>
      <w:numFmt w:val="lowerRoman"/>
      <w:lvlText w:val="%1)"/>
      <w:lvlJc w:val="left"/>
      <w:pPr>
        <w:tabs>
          <w:tab w:val="num" w:pos="1429"/>
        </w:tabs>
        <w:ind w:left="1429" w:hanging="72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1042B6"/>
    <w:multiLevelType w:val="hybridMultilevel"/>
    <w:tmpl w:val="126616B8"/>
    <w:lvl w:ilvl="0" w:tplc="6EA294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B3117B"/>
    <w:multiLevelType w:val="hybridMultilevel"/>
    <w:tmpl w:val="9FEA41E4"/>
    <w:lvl w:ilvl="0" w:tplc="04050017">
      <w:start w:val="1"/>
      <w:numFmt w:val="lowerRoman"/>
      <w:lvlText w:val="%1)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3E73682"/>
    <w:multiLevelType w:val="hybridMultilevel"/>
    <w:tmpl w:val="B746714E"/>
    <w:lvl w:ilvl="0" w:tplc="FFFFFFFF">
      <w:start w:val="1"/>
      <w:numFmt w:val="lowerRoman"/>
      <w:lvlText w:val="%1)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3F0084"/>
    <w:multiLevelType w:val="hybridMultilevel"/>
    <w:tmpl w:val="3028FC36"/>
    <w:lvl w:ilvl="0" w:tplc="649AF0FA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AA54D25"/>
    <w:multiLevelType w:val="hybridMultilevel"/>
    <w:tmpl w:val="68E6BD8C"/>
    <w:lvl w:ilvl="0" w:tplc="1DE43E6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774964"/>
    <w:multiLevelType w:val="hybridMultilevel"/>
    <w:tmpl w:val="A9D019BA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6567167">
    <w:abstractNumId w:val="7"/>
  </w:num>
  <w:num w:numId="2" w16cid:durableId="495732407">
    <w:abstractNumId w:val="3"/>
  </w:num>
  <w:num w:numId="3" w16cid:durableId="348801141">
    <w:abstractNumId w:val="10"/>
  </w:num>
  <w:num w:numId="4" w16cid:durableId="21218752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23315969">
    <w:abstractNumId w:val="19"/>
  </w:num>
  <w:num w:numId="6" w16cid:durableId="902447909">
    <w:abstractNumId w:val="13"/>
  </w:num>
  <w:num w:numId="7" w16cid:durableId="366833535">
    <w:abstractNumId w:val="15"/>
  </w:num>
  <w:num w:numId="8" w16cid:durableId="913901136">
    <w:abstractNumId w:val="16"/>
  </w:num>
  <w:num w:numId="9" w16cid:durableId="1311396852">
    <w:abstractNumId w:val="11"/>
  </w:num>
  <w:num w:numId="10" w16cid:durableId="300159571">
    <w:abstractNumId w:val="6"/>
  </w:num>
  <w:num w:numId="11" w16cid:durableId="642005427">
    <w:abstractNumId w:val="5"/>
  </w:num>
  <w:num w:numId="12" w16cid:durableId="1169635763">
    <w:abstractNumId w:val="14"/>
  </w:num>
  <w:num w:numId="13" w16cid:durableId="1454061347">
    <w:abstractNumId w:val="0"/>
  </w:num>
  <w:num w:numId="14" w16cid:durableId="2052679715">
    <w:abstractNumId w:val="8"/>
  </w:num>
  <w:num w:numId="15" w16cid:durableId="1392339982">
    <w:abstractNumId w:val="17"/>
  </w:num>
  <w:num w:numId="16" w16cid:durableId="883754600">
    <w:abstractNumId w:val="4"/>
  </w:num>
  <w:num w:numId="17" w16cid:durableId="1981416290">
    <w:abstractNumId w:val="12"/>
  </w:num>
  <w:num w:numId="18" w16cid:durableId="21247701">
    <w:abstractNumId w:val="18"/>
  </w:num>
  <w:num w:numId="19" w16cid:durableId="1093430060">
    <w:abstractNumId w:val="9"/>
  </w:num>
  <w:num w:numId="20" w16cid:durableId="1308510166">
    <w:abstractNumId w:val="1"/>
  </w:num>
  <w:num w:numId="21" w16cid:durableId="4019550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attachedTemplate r:id="rId1"/>
  <w:revisionView w:markup="0"/>
  <w:defaultTabStop w:val="708"/>
  <w:hyphenationZone w:val="425"/>
  <w:drawingGridHorizontalSpacing w:val="9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08A"/>
    <w:rsid w:val="000022B4"/>
    <w:rsid w:val="000132C7"/>
    <w:rsid w:val="00034EC8"/>
    <w:rsid w:val="00036FE1"/>
    <w:rsid w:val="0004253C"/>
    <w:rsid w:val="0005042D"/>
    <w:rsid w:val="00057A85"/>
    <w:rsid w:val="00063762"/>
    <w:rsid w:val="000757BE"/>
    <w:rsid w:val="000761C1"/>
    <w:rsid w:val="0007693D"/>
    <w:rsid w:val="00077168"/>
    <w:rsid w:val="00085D81"/>
    <w:rsid w:val="00095797"/>
    <w:rsid w:val="00096ACF"/>
    <w:rsid w:val="000A38D3"/>
    <w:rsid w:val="000A5856"/>
    <w:rsid w:val="000A5FAE"/>
    <w:rsid w:val="000A7207"/>
    <w:rsid w:val="000C6B99"/>
    <w:rsid w:val="000D39A4"/>
    <w:rsid w:val="000E3573"/>
    <w:rsid w:val="00126E8C"/>
    <w:rsid w:val="001324B1"/>
    <w:rsid w:val="00134666"/>
    <w:rsid w:val="00134CC0"/>
    <w:rsid w:val="00147FD9"/>
    <w:rsid w:val="00152ECC"/>
    <w:rsid w:val="0015302C"/>
    <w:rsid w:val="0015385D"/>
    <w:rsid w:val="00153C88"/>
    <w:rsid w:val="0015724E"/>
    <w:rsid w:val="00167C90"/>
    <w:rsid w:val="00176C1C"/>
    <w:rsid w:val="00184ED6"/>
    <w:rsid w:val="00187CDD"/>
    <w:rsid w:val="0019696E"/>
    <w:rsid w:val="001A2663"/>
    <w:rsid w:val="001A2688"/>
    <w:rsid w:val="001B26EC"/>
    <w:rsid w:val="001C22FE"/>
    <w:rsid w:val="001C5096"/>
    <w:rsid w:val="001C5345"/>
    <w:rsid w:val="001D5292"/>
    <w:rsid w:val="001D652C"/>
    <w:rsid w:val="001E62DA"/>
    <w:rsid w:val="00205D81"/>
    <w:rsid w:val="00205ED3"/>
    <w:rsid w:val="002117D1"/>
    <w:rsid w:val="00214E0A"/>
    <w:rsid w:val="0024183A"/>
    <w:rsid w:val="0025033D"/>
    <w:rsid w:val="002603CA"/>
    <w:rsid w:val="00262325"/>
    <w:rsid w:val="00273062"/>
    <w:rsid w:val="00274739"/>
    <w:rsid w:val="002775BC"/>
    <w:rsid w:val="00297CE6"/>
    <w:rsid w:val="002A569F"/>
    <w:rsid w:val="002B35F1"/>
    <w:rsid w:val="002B40E7"/>
    <w:rsid w:val="002B6730"/>
    <w:rsid w:val="002C3BD6"/>
    <w:rsid w:val="002C6A66"/>
    <w:rsid w:val="00322BCA"/>
    <w:rsid w:val="003304EA"/>
    <w:rsid w:val="00354DEC"/>
    <w:rsid w:val="0036087A"/>
    <w:rsid w:val="0036191D"/>
    <w:rsid w:val="003624B9"/>
    <w:rsid w:val="003716F0"/>
    <w:rsid w:val="00372F86"/>
    <w:rsid w:val="00377829"/>
    <w:rsid w:val="00385FCC"/>
    <w:rsid w:val="0038734C"/>
    <w:rsid w:val="003922E8"/>
    <w:rsid w:val="003A128D"/>
    <w:rsid w:val="003B1C04"/>
    <w:rsid w:val="003D14AE"/>
    <w:rsid w:val="003D588D"/>
    <w:rsid w:val="003E59FE"/>
    <w:rsid w:val="003F122A"/>
    <w:rsid w:val="003F2067"/>
    <w:rsid w:val="004044F8"/>
    <w:rsid w:val="0041355A"/>
    <w:rsid w:val="00441554"/>
    <w:rsid w:val="004541F1"/>
    <w:rsid w:val="0046046A"/>
    <w:rsid w:val="00462338"/>
    <w:rsid w:val="0046265A"/>
    <w:rsid w:val="00465857"/>
    <w:rsid w:val="004663E6"/>
    <w:rsid w:val="00466DD7"/>
    <w:rsid w:val="004806EC"/>
    <w:rsid w:val="00481C81"/>
    <w:rsid w:val="00485C8F"/>
    <w:rsid w:val="00486001"/>
    <w:rsid w:val="004866B9"/>
    <w:rsid w:val="004906DD"/>
    <w:rsid w:val="00491A59"/>
    <w:rsid w:val="00497462"/>
    <w:rsid w:val="004D3F8B"/>
    <w:rsid w:val="004E7A09"/>
    <w:rsid w:val="004F0B96"/>
    <w:rsid w:val="00504C3F"/>
    <w:rsid w:val="005105C4"/>
    <w:rsid w:val="00516653"/>
    <w:rsid w:val="005207C2"/>
    <w:rsid w:val="00527023"/>
    <w:rsid w:val="0053640B"/>
    <w:rsid w:val="00542CBC"/>
    <w:rsid w:val="00561F7D"/>
    <w:rsid w:val="0057380D"/>
    <w:rsid w:val="00575164"/>
    <w:rsid w:val="0057646A"/>
    <w:rsid w:val="005860F9"/>
    <w:rsid w:val="00590039"/>
    <w:rsid w:val="00595E95"/>
    <w:rsid w:val="005B121D"/>
    <w:rsid w:val="005B2D47"/>
    <w:rsid w:val="005B5D1B"/>
    <w:rsid w:val="005C365F"/>
    <w:rsid w:val="005D264B"/>
    <w:rsid w:val="005D6E7E"/>
    <w:rsid w:val="005E09D3"/>
    <w:rsid w:val="005E7464"/>
    <w:rsid w:val="005F2607"/>
    <w:rsid w:val="005F72D7"/>
    <w:rsid w:val="005F7D35"/>
    <w:rsid w:val="00610210"/>
    <w:rsid w:val="00613F1E"/>
    <w:rsid w:val="00617108"/>
    <w:rsid w:val="00623A6D"/>
    <w:rsid w:val="00627B2D"/>
    <w:rsid w:val="00651597"/>
    <w:rsid w:val="00653FB0"/>
    <w:rsid w:val="00654361"/>
    <w:rsid w:val="00655E78"/>
    <w:rsid w:val="00676932"/>
    <w:rsid w:val="0068467C"/>
    <w:rsid w:val="00692DF1"/>
    <w:rsid w:val="00693E08"/>
    <w:rsid w:val="0069420D"/>
    <w:rsid w:val="006C09A7"/>
    <w:rsid w:val="006C0A8E"/>
    <w:rsid w:val="006D458B"/>
    <w:rsid w:val="006E1B1F"/>
    <w:rsid w:val="006F275E"/>
    <w:rsid w:val="006F2FCA"/>
    <w:rsid w:val="006F48D9"/>
    <w:rsid w:val="00701642"/>
    <w:rsid w:val="00710D3D"/>
    <w:rsid w:val="00711741"/>
    <w:rsid w:val="0071197B"/>
    <w:rsid w:val="00715B5E"/>
    <w:rsid w:val="0071664E"/>
    <w:rsid w:val="007166B7"/>
    <w:rsid w:val="00736079"/>
    <w:rsid w:val="0074526C"/>
    <w:rsid w:val="007479FE"/>
    <w:rsid w:val="00763EB4"/>
    <w:rsid w:val="00764F85"/>
    <w:rsid w:val="00765184"/>
    <w:rsid w:val="007669F1"/>
    <w:rsid w:val="007724CA"/>
    <w:rsid w:val="00775475"/>
    <w:rsid w:val="00781B22"/>
    <w:rsid w:val="00787CEE"/>
    <w:rsid w:val="00787E39"/>
    <w:rsid w:val="00794F42"/>
    <w:rsid w:val="007A2835"/>
    <w:rsid w:val="007A3FC7"/>
    <w:rsid w:val="007B28C7"/>
    <w:rsid w:val="007B70A3"/>
    <w:rsid w:val="007C00FC"/>
    <w:rsid w:val="007C4442"/>
    <w:rsid w:val="007D3A68"/>
    <w:rsid w:val="007E1016"/>
    <w:rsid w:val="007F1246"/>
    <w:rsid w:val="007F169C"/>
    <w:rsid w:val="008259C7"/>
    <w:rsid w:val="00837E8E"/>
    <w:rsid w:val="00840B01"/>
    <w:rsid w:val="008430C5"/>
    <w:rsid w:val="00854EB5"/>
    <w:rsid w:val="00856BF4"/>
    <w:rsid w:val="00861D00"/>
    <w:rsid w:val="0086412A"/>
    <w:rsid w:val="00872A55"/>
    <w:rsid w:val="0087491E"/>
    <w:rsid w:val="008760D0"/>
    <w:rsid w:val="008830ED"/>
    <w:rsid w:val="00883316"/>
    <w:rsid w:val="00896BAD"/>
    <w:rsid w:val="008A5645"/>
    <w:rsid w:val="008B1991"/>
    <w:rsid w:val="008C7B10"/>
    <w:rsid w:val="008D590F"/>
    <w:rsid w:val="008D76C6"/>
    <w:rsid w:val="008E5606"/>
    <w:rsid w:val="008F0018"/>
    <w:rsid w:val="008F5B05"/>
    <w:rsid w:val="009001D3"/>
    <w:rsid w:val="0092373F"/>
    <w:rsid w:val="00925ECC"/>
    <w:rsid w:val="009272B7"/>
    <w:rsid w:val="00943B98"/>
    <w:rsid w:val="00944A31"/>
    <w:rsid w:val="00947459"/>
    <w:rsid w:val="00972327"/>
    <w:rsid w:val="00973356"/>
    <w:rsid w:val="009857BD"/>
    <w:rsid w:val="00985FBF"/>
    <w:rsid w:val="00986FA7"/>
    <w:rsid w:val="00997D0C"/>
    <w:rsid w:val="009A3DB8"/>
    <w:rsid w:val="009A53A2"/>
    <w:rsid w:val="009C677B"/>
    <w:rsid w:val="009D7199"/>
    <w:rsid w:val="009D7EFD"/>
    <w:rsid w:val="009F165E"/>
    <w:rsid w:val="009F51A4"/>
    <w:rsid w:val="00A005B1"/>
    <w:rsid w:val="00A0481B"/>
    <w:rsid w:val="00A171A6"/>
    <w:rsid w:val="00A30F09"/>
    <w:rsid w:val="00A36C2B"/>
    <w:rsid w:val="00A40F97"/>
    <w:rsid w:val="00A55C96"/>
    <w:rsid w:val="00A570E1"/>
    <w:rsid w:val="00A621E2"/>
    <w:rsid w:val="00A73C08"/>
    <w:rsid w:val="00A741DF"/>
    <w:rsid w:val="00A74A4C"/>
    <w:rsid w:val="00A74DD6"/>
    <w:rsid w:val="00AA0917"/>
    <w:rsid w:val="00AA1D91"/>
    <w:rsid w:val="00AA5677"/>
    <w:rsid w:val="00AB5BE8"/>
    <w:rsid w:val="00AC703F"/>
    <w:rsid w:val="00AE2A8A"/>
    <w:rsid w:val="00AE37C5"/>
    <w:rsid w:val="00AE628E"/>
    <w:rsid w:val="00AF2E7C"/>
    <w:rsid w:val="00AF314B"/>
    <w:rsid w:val="00AF5459"/>
    <w:rsid w:val="00AF79C3"/>
    <w:rsid w:val="00B17C1D"/>
    <w:rsid w:val="00B204B6"/>
    <w:rsid w:val="00B24548"/>
    <w:rsid w:val="00B31020"/>
    <w:rsid w:val="00B4430E"/>
    <w:rsid w:val="00B4567F"/>
    <w:rsid w:val="00B459B1"/>
    <w:rsid w:val="00B46CA5"/>
    <w:rsid w:val="00B558C6"/>
    <w:rsid w:val="00B65E49"/>
    <w:rsid w:val="00B80C88"/>
    <w:rsid w:val="00B94078"/>
    <w:rsid w:val="00B97247"/>
    <w:rsid w:val="00B972BB"/>
    <w:rsid w:val="00BB6DE3"/>
    <w:rsid w:val="00BC2453"/>
    <w:rsid w:val="00BC27C3"/>
    <w:rsid w:val="00BD4AEF"/>
    <w:rsid w:val="00BD60AF"/>
    <w:rsid w:val="00BE08DC"/>
    <w:rsid w:val="00BE5CD9"/>
    <w:rsid w:val="00BF14FF"/>
    <w:rsid w:val="00BF45DC"/>
    <w:rsid w:val="00BF57BD"/>
    <w:rsid w:val="00C005E1"/>
    <w:rsid w:val="00C072F5"/>
    <w:rsid w:val="00C13FA1"/>
    <w:rsid w:val="00C163B9"/>
    <w:rsid w:val="00C240F0"/>
    <w:rsid w:val="00C317BA"/>
    <w:rsid w:val="00C469E4"/>
    <w:rsid w:val="00C53692"/>
    <w:rsid w:val="00C54228"/>
    <w:rsid w:val="00C560A4"/>
    <w:rsid w:val="00C61D23"/>
    <w:rsid w:val="00C62242"/>
    <w:rsid w:val="00C63DC5"/>
    <w:rsid w:val="00C7408A"/>
    <w:rsid w:val="00C81B91"/>
    <w:rsid w:val="00C93599"/>
    <w:rsid w:val="00C9369D"/>
    <w:rsid w:val="00CA0CED"/>
    <w:rsid w:val="00CA5118"/>
    <w:rsid w:val="00CC5781"/>
    <w:rsid w:val="00CD0B6E"/>
    <w:rsid w:val="00CD523A"/>
    <w:rsid w:val="00CE5B65"/>
    <w:rsid w:val="00CF5D32"/>
    <w:rsid w:val="00D00E04"/>
    <w:rsid w:val="00D0344D"/>
    <w:rsid w:val="00D03BFD"/>
    <w:rsid w:val="00D21D7C"/>
    <w:rsid w:val="00D433E1"/>
    <w:rsid w:val="00D534FE"/>
    <w:rsid w:val="00D57F26"/>
    <w:rsid w:val="00D66A48"/>
    <w:rsid w:val="00D6713F"/>
    <w:rsid w:val="00D70F74"/>
    <w:rsid w:val="00D72B80"/>
    <w:rsid w:val="00D7620D"/>
    <w:rsid w:val="00D8369E"/>
    <w:rsid w:val="00D84C97"/>
    <w:rsid w:val="00D865D8"/>
    <w:rsid w:val="00D86FE9"/>
    <w:rsid w:val="00D92CDD"/>
    <w:rsid w:val="00D95CE3"/>
    <w:rsid w:val="00D9629B"/>
    <w:rsid w:val="00D97F87"/>
    <w:rsid w:val="00DA17C2"/>
    <w:rsid w:val="00DB1ABE"/>
    <w:rsid w:val="00DE100E"/>
    <w:rsid w:val="00DE395A"/>
    <w:rsid w:val="00DE613E"/>
    <w:rsid w:val="00DF356F"/>
    <w:rsid w:val="00DF6511"/>
    <w:rsid w:val="00E03713"/>
    <w:rsid w:val="00E158ED"/>
    <w:rsid w:val="00E17A4F"/>
    <w:rsid w:val="00E2035C"/>
    <w:rsid w:val="00E435EE"/>
    <w:rsid w:val="00E52498"/>
    <w:rsid w:val="00E54F74"/>
    <w:rsid w:val="00E65F3C"/>
    <w:rsid w:val="00E74207"/>
    <w:rsid w:val="00E743AF"/>
    <w:rsid w:val="00E877B9"/>
    <w:rsid w:val="00E87ED1"/>
    <w:rsid w:val="00E93619"/>
    <w:rsid w:val="00EA0966"/>
    <w:rsid w:val="00EA2819"/>
    <w:rsid w:val="00EB6180"/>
    <w:rsid w:val="00EC0FA8"/>
    <w:rsid w:val="00EC6397"/>
    <w:rsid w:val="00ED1A3B"/>
    <w:rsid w:val="00ED21D5"/>
    <w:rsid w:val="00EE6435"/>
    <w:rsid w:val="00EF669E"/>
    <w:rsid w:val="00F03696"/>
    <w:rsid w:val="00F111B6"/>
    <w:rsid w:val="00F14447"/>
    <w:rsid w:val="00F17174"/>
    <w:rsid w:val="00F22AA0"/>
    <w:rsid w:val="00F25B28"/>
    <w:rsid w:val="00F36193"/>
    <w:rsid w:val="00F41712"/>
    <w:rsid w:val="00F42B19"/>
    <w:rsid w:val="00F460FD"/>
    <w:rsid w:val="00F5692C"/>
    <w:rsid w:val="00F57765"/>
    <w:rsid w:val="00F723BB"/>
    <w:rsid w:val="00F76E45"/>
    <w:rsid w:val="00F90AD6"/>
    <w:rsid w:val="00F946F3"/>
    <w:rsid w:val="00F96518"/>
    <w:rsid w:val="00F97DDB"/>
    <w:rsid w:val="00FA36D7"/>
    <w:rsid w:val="00FA53A3"/>
    <w:rsid w:val="00FB09AD"/>
    <w:rsid w:val="00FB3602"/>
    <w:rsid w:val="00FB4253"/>
    <w:rsid w:val="00FB74DD"/>
    <w:rsid w:val="00FE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7388B00"/>
  <w15:chartTrackingRefBased/>
  <w15:docId w15:val="{F6594B06-A4D0-4184-8888-2F11D9EAB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MS Mincho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B5D1B"/>
    <w:rPr>
      <w:rFonts w:cs="Arial"/>
      <w:sz w:val="18"/>
      <w:szCs w:val="18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5D6E7E"/>
    <w:pPr>
      <w:keepNext/>
      <w:keepLines/>
      <w:jc w:val="right"/>
      <w:outlineLvl w:val="0"/>
    </w:pPr>
    <w:rPr>
      <w:b/>
      <w:bCs/>
      <w:caps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5B5D1B"/>
    <w:pPr>
      <w:keepNext/>
      <w:keepLines/>
      <w:spacing w:before="200"/>
      <w:outlineLvl w:val="1"/>
    </w:pPr>
    <w:rPr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5B5D1B"/>
    <w:pPr>
      <w:keepNext/>
      <w:keepLines/>
      <w:spacing w:before="200"/>
      <w:outlineLvl w:val="2"/>
    </w:pPr>
    <w:rPr>
      <w:b/>
      <w:bCs/>
      <w:color w:val="4F81BD"/>
    </w:rPr>
  </w:style>
  <w:style w:type="paragraph" w:styleId="Nadpis4">
    <w:name w:val="heading 4"/>
    <w:basedOn w:val="Normln"/>
    <w:next w:val="Normln"/>
    <w:link w:val="Nadpis4Char"/>
    <w:qFormat/>
    <w:rsid w:val="005B5D1B"/>
    <w:pPr>
      <w:keepNext/>
      <w:keepLines/>
      <w:spacing w:before="200"/>
      <w:outlineLvl w:val="3"/>
    </w:pPr>
    <w:rPr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D6E7E"/>
    <w:rPr>
      <w:rFonts w:ascii="Arial" w:hAnsi="Arial" w:cs="Arial"/>
      <w:b/>
      <w:bCs/>
      <w:caps/>
      <w:sz w:val="28"/>
      <w:szCs w:val="28"/>
    </w:rPr>
  </w:style>
  <w:style w:type="character" w:customStyle="1" w:styleId="Nadpis2Char">
    <w:name w:val="Nadpis 2 Char"/>
    <w:link w:val="Nadpis2"/>
    <w:uiPriority w:val="99"/>
    <w:rsid w:val="005B5D1B"/>
    <w:rPr>
      <w:rFonts w:ascii="Arial" w:hAnsi="Arial" w:cs="Arial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uiPriority w:val="99"/>
    <w:rsid w:val="005B5D1B"/>
    <w:rPr>
      <w:rFonts w:ascii="Arial" w:hAnsi="Arial" w:cs="Arial"/>
      <w:b/>
      <w:bCs/>
      <w:color w:val="4F81BD"/>
    </w:rPr>
  </w:style>
  <w:style w:type="character" w:customStyle="1" w:styleId="Nadpis4Char">
    <w:name w:val="Nadpis 4 Char"/>
    <w:link w:val="Nadpis4"/>
    <w:uiPriority w:val="99"/>
    <w:rsid w:val="005B5D1B"/>
    <w:rPr>
      <w:rFonts w:ascii="Arial" w:hAnsi="Arial" w:cs="Arial"/>
      <w:b/>
      <w:bCs/>
      <w:i/>
      <w:iCs/>
      <w:color w:val="4F81BD"/>
    </w:rPr>
  </w:style>
  <w:style w:type="paragraph" w:styleId="Bezmezer">
    <w:name w:val="No Spacing"/>
    <w:uiPriority w:val="99"/>
    <w:qFormat/>
    <w:rsid w:val="005B5D1B"/>
    <w:pPr>
      <w:ind w:left="227" w:hanging="227"/>
    </w:pPr>
    <w:rPr>
      <w:rFonts w:cs="Arial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rsid w:val="005D6E7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5D6E7E"/>
    <w:rPr>
      <w:rFonts w:ascii="Arial" w:hAnsi="Arial" w:cs="Arial"/>
      <w:sz w:val="18"/>
      <w:szCs w:val="18"/>
    </w:rPr>
  </w:style>
  <w:style w:type="paragraph" w:styleId="Zpat">
    <w:name w:val="footer"/>
    <w:basedOn w:val="Normln"/>
    <w:link w:val="ZpatChar"/>
    <w:uiPriority w:val="99"/>
    <w:rsid w:val="005D6E7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5D6E7E"/>
    <w:rPr>
      <w:rFonts w:ascii="Arial" w:hAnsi="Arial" w:cs="Arial"/>
      <w:sz w:val="18"/>
      <w:szCs w:val="18"/>
    </w:rPr>
  </w:style>
  <w:style w:type="table" w:styleId="Mkatabulky">
    <w:name w:val="Table Grid"/>
    <w:basedOn w:val="Normlntabulka"/>
    <w:uiPriority w:val="59"/>
    <w:rsid w:val="005D6E7E"/>
    <w:rPr>
      <w:rFonts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34"/>
    <w:qFormat/>
    <w:rsid w:val="00E158ED"/>
    <w:pPr>
      <w:ind w:left="720"/>
      <w:contextualSpacing/>
    </w:pPr>
  </w:style>
  <w:style w:type="character" w:styleId="Hypertextovodkaz">
    <w:name w:val="Hyperlink"/>
    <w:uiPriority w:val="99"/>
    <w:rsid w:val="00595E95"/>
    <w:rPr>
      <w:color w:val="0000FF"/>
      <w:u w:val="single"/>
    </w:rPr>
  </w:style>
  <w:style w:type="character" w:styleId="slostrnky">
    <w:name w:val="page number"/>
    <w:rsid w:val="00184ED6"/>
    <w:rPr>
      <w:rFonts w:ascii="Arial" w:hAnsi="Arial" w:cs="Arial"/>
      <w:sz w:val="16"/>
      <w:szCs w:val="16"/>
    </w:rPr>
  </w:style>
  <w:style w:type="paragraph" w:customStyle="1" w:styleId="kbFixedtext">
    <w:name w:val="kb_Fixed_text"/>
    <w:basedOn w:val="Normln"/>
    <w:rsid w:val="00184ED6"/>
    <w:pPr>
      <w:overflowPunct w:val="0"/>
      <w:autoSpaceDE w:val="0"/>
      <w:autoSpaceDN w:val="0"/>
      <w:adjustRightInd w:val="0"/>
      <w:spacing w:before="40"/>
      <w:ind w:left="227" w:hanging="227"/>
      <w:textAlignment w:val="baseline"/>
    </w:pPr>
    <w:rPr>
      <w:sz w:val="16"/>
      <w:szCs w:val="16"/>
      <w:lang w:eastAsia="cs-CZ"/>
    </w:rPr>
  </w:style>
  <w:style w:type="paragraph" w:customStyle="1" w:styleId="kbRegistration">
    <w:name w:val="kb_Registration"/>
    <w:basedOn w:val="Normln"/>
    <w:rsid w:val="00184ED6"/>
    <w:pPr>
      <w:overflowPunct w:val="0"/>
      <w:autoSpaceDE w:val="0"/>
      <w:autoSpaceDN w:val="0"/>
      <w:adjustRightInd w:val="0"/>
      <w:spacing w:before="40"/>
      <w:ind w:left="227" w:hanging="227"/>
      <w:textAlignment w:val="baseline"/>
    </w:pPr>
    <w:rPr>
      <w:caps/>
      <w:sz w:val="8"/>
      <w:szCs w:val="8"/>
      <w:lang w:eastAsia="cs-CZ"/>
    </w:rPr>
  </w:style>
  <w:style w:type="paragraph" w:customStyle="1" w:styleId="Registration">
    <w:name w:val="Registration"/>
    <w:basedOn w:val="Normln"/>
    <w:rsid w:val="00184ED6"/>
    <w:pPr>
      <w:overflowPunct w:val="0"/>
      <w:autoSpaceDE w:val="0"/>
      <w:autoSpaceDN w:val="0"/>
      <w:adjustRightInd w:val="0"/>
      <w:spacing w:before="40"/>
      <w:ind w:left="227" w:hanging="227"/>
      <w:textAlignment w:val="baseline"/>
    </w:pPr>
    <w:rPr>
      <w:caps/>
      <w:sz w:val="8"/>
      <w:szCs w:val="8"/>
      <w:lang w:eastAsia="cs-CZ"/>
    </w:rPr>
  </w:style>
  <w:style w:type="character" w:styleId="Odkaznakoment">
    <w:name w:val="annotation reference"/>
    <w:uiPriority w:val="99"/>
    <w:semiHidden/>
    <w:rsid w:val="00D70F7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D70F74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D70F74"/>
    <w:rPr>
      <w:rFonts w:ascii="Arial" w:hAnsi="Arial" w:cs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D70F7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70F74"/>
    <w:rPr>
      <w:rFonts w:ascii="Arial" w:hAnsi="Arial" w:cs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D70F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70F74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15724E"/>
    <w:rPr>
      <w:rFonts w:cs="Arial"/>
      <w:sz w:val="18"/>
      <w:szCs w:val="18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rsid w:val="000D39A4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0D39A4"/>
    <w:rPr>
      <w:rFonts w:ascii="Arial" w:hAnsi="Arial" w:cs="Arial"/>
      <w:sz w:val="20"/>
      <w:szCs w:val="20"/>
    </w:rPr>
  </w:style>
  <w:style w:type="character" w:styleId="Znakapoznpodarou">
    <w:name w:val="footnote reference"/>
    <w:uiPriority w:val="99"/>
    <w:semiHidden/>
    <w:rsid w:val="000D39A4"/>
    <w:rPr>
      <w:position w:val="6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0518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template\PODMTU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B103D8-E0B1-4143-A5E9-251E4A902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PODMTU</Template>
  <TotalTime>0</TotalTime>
  <Pages>3</Pages>
  <Words>1553</Words>
  <Characters>8516</Characters>
  <Application>Microsoft Office Word</Application>
  <DocSecurity>0</DocSecurity>
  <Lines>70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Tyto podmínky obsahují bližší úpravu práv a povinností vyplývajících z uzavřené smlouvy o poskytování Expresní linky Plus</vt:lpstr>
    </vt:vector>
  </TitlesOfParts>
  <Company>Komerční banka, a.s.</Company>
  <LinksUpToDate>false</LinksUpToDate>
  <CharactersWithSpaces>10049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Tyto podmínky obsahují bližší úpravu práv a povinností vyplývajících z uzavřené smlouvy o poskytování Expresní linky Plus</dc:title>
  <dc:subject/>
  <dc:creator>Velikova Alena</dc:creator>
  <cp:keywords/>
  <cp:lastModifiedBy>Vopátková Alena Bc.</cp:lastModifiedBy>
  <cp:revision>2</cp:revision>
  <cp:lastPrinted>2024-04-29T09:00:00Z</cp:lastPrinted>
  <dcterms:created xsi:type="dcterms:W3CDTF">2024-04-29T09:00:00Z</dcterms:created>
  <dcterms:modified xsi:type="dcterms:W3CDTF">2024-04-29T09:00:00Z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76d9757-80ae-4c87-b4d7-9ffa7a0710d0_Enabled">
    <vt:lpwstr>true</vt:lpwstr>
  </property>
  <property fmtid="{D5CDD505-2E9C-101B-9397-08002B2CF9AE}" pid="3" name="MSIP_Label_076d9757-80ae-4c87-b4d7-9ffa7a0710d0_SetDate">
    <vt:lpwstr>2024-04-02T10:57:30Z</vt:lpwstr>
  </property>
  <property fmtid="{D5CDD505-2E9C-101B-9397-08002B2CF9AE}" pid="4" name="MSIP_Label_076d9757-80ae-4c87-b4d7-9ffa7a0710d0_Method">
    <vt:lpwstr>Standard</vt:lpwstr>
  </property>
  <property fmtid="{D5CDD505-2E9C-101B-9397-08002B2CF9AE}" pid="5" name="MSIP_Label_076d9757-80ae-4c87-b4d7-9ffa7a0710d0_Name">
    <vt:lpwstr>076d9757-80ae-4c87-b4d7-9ffa7a0710d0</vt:lpwstr>
  </property>
  <property fmtid="{D5CDD505-2E9C-101B-9397-08002B2CF9AE}" pid="6" name="MSIP_Label_076d9757-80ae-4c87-b4d7-9ffa7a0710d0_SiteId">
    <vt:lpwstr>c79e7c80-cff5-4503-b468-3702cea89272</vt:lpwstr>
  </property>
  <property fmtid="{D5CDD505-2E9C-101B-9397-08002B2CF9AE}" pid="7" name="MSIP_Label_076d9757-80ae-4c87-b4d7-9ffa7a0710d0_ActionId">
    <vt:lpwstr>b4758ab1-3ed5-43d9-91a5-e3969170b5e8</vt:lpwstr>
  </property>
  <property fmtid="{D5CDD505-2E9C-101B-9397-08002B2CF9AE}" pid="8" name="MSIP_Label_076d9757-80ae-4c87-b4d7-9ffa7a0710d0_ContentBits">
    <vt:lpwstr>0</vt:lpwstr>
  </property>
  <property fmtid="{D5CDD505-2E9C-101B-9397-08002B2CF9AE}" pid="9" name="Kod_Duvernosti">
    <vt:lpwstr>KB_C1_INTERNAL_992521</vt:lpwstr>
  </property>
</Properties>
</file>