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ED" w:rsidRDefault="00123CF9">
      <w:pPr>
        <w:pStyle w:val="Heading10"/>
        <w:keepNext/>
        <w:keepLines/>
      </w:pPr>
      <w:bookmarkStart w:id="0" w:name="bookmark0"/>
      <w:r>
        <w:rPr>
          <w:rStyle w:val="Heading1"/>
          <w:b/>
          <w:bCs/>
        </w:rPr>
        <w:t>Smlouva o využití výsledků výzkumu a vývoje</w:t>
      </w:r>
      <w:bookmarkEnd w:id="0"/>
    </w:p>
    <w:p w:rsidR="00EA03ED" w:rsidRDefault="00123CF9">
      <w:pPr>
        <w:pStyle w:val="Zkladntext"/>
        <w:spacing w:after="820"/>
        <w:ind w:firstLine="0"/>
        <w:jc w:val="center"/>
      </w:pPr>
      <w:r>
        <w:rPr>
          <w:rStyle w:val="ZkladntextChar"/>
        </w:rPr>
        <w:t xml:space="preserve">získaných v rámci řešení projektu </w:t>
      </w:r>
      <w:r>
        <w:rPr>
          <w:rStyle w:val="ZkladntextChar"/>
          <w:b/>
          <w:bCs/>
        </w:rPr>
        <w:t xml:space="preserve">FW01010482 </w:t>
      </w:r>
      <w:r>
        <w:rPr>
          <w:rStyle w:val="ZkladntextChar"/>
        </w:rPr>
        <w:t xml:space="preserve">„ </w:t>
      </w:r>
      <w:r>
        <w:rPr>
          <w:rStyle w:val="ZkladntextChar"/>
          <w:b/>
          <w:bCs/>
          <w:i/>
          <w:iCs/>
        </w:rPr>
        <w:t>Vývoj zařízení pro měření korozivity</w:t>
      </w:r>
      <w:r>
        <w:rPr>
          <w:rStyle w:val="ZkladntextChar"/>
          <w:b/>
          <w:bCs/>
          <w:i/>
          <w:iCs/>
        </w:rPr>
        <w:br/>
        <w:t>atmosféry</w:t>
      </w:r>
      <w:r>
        <w:rPr>
          <w:rStyle w:val="ZkladntextChar"/>
        </w:rPr>
        <w:t xml:space="preserve"> “</w:t>
      </w:r>
    </w:p>
    <w:p w:rsidR="00EA03ED" w:rsidRDefault="00123CF9">
      <w:pPr>
        <w:pStyle w:val="Heading30"/>
        <w:keepNext/>
        <w:keepLines/>
        <w:numPr>
          <w:ilvl w:val="0"/>
          <w:numId w:val="1"/>
        </w:numPr>
        <w:tabs>
          <w:tab w:val="left" w:pos="349"/>
        </w:tabs>
        <w:spacing w:after="360"/>
        <w:jc w:val="left"/>
      </w:pPr>
      <w:bookmarkStart w:id="1" w:name="bookmark2"/>
      <w:r>
        <w:rPr>
          <w:rStyle w:val="Heading3"/>
          <w:b/>
          <w:bCs/>
        </w:rPr>
        <w:t>Hlavní příjemce dotace</w:t>
      </w:r>
      <w:bookmarkEnd w:id="1"/>
    </w:p>
    <w:p w:rsidR="00EA03ED" w:rsidRDefault="00123CF9">
      <w:pPr>
        <w:pStyle w:val="Zkladntext"/>
        <w:spacing w:after="0" w:line="348" w:lineRule="auto"/>
        <w:ind w:firstLine="0"/>
      </w:pPr>
      <w:r>
        <w:rPr>
          <w:rStyle w:val="ZkladntextChar"/>
        </w:rPr>
        <w:t>GEMA s.r.o.</w:t>
      </w:r>
    </w:p>
    <w:p w:rsidR="00EA03ED" w:rsidRDefault="00123CF9">
      <w:pPr>
        <w:pStyle w:val="Zkladntext"/>
        <w:tabs>
          <w:tab w:val="left" w:pos="1900"/>
        </w:tabs>
        <w:spacing w:after="0" w:line="348" w:lineRule="auto"/>
        <w:ind w:firstLine="0"/>
      </w:pPr>
      <w:r>
        <w:rPr>
          <w:rStyle w:val="ZkladntextChar"/>
        </w:rPr>
        <w:t>adresa sídla:</w:t>
      </w:r>
      <w:r>
        <w:rPr>
          <w:rStyle w:val="ZkladntextChar"/>
        </w:rPr>
        <w:tab/>
        <w:t>Na Tržišti 793, 273 51 Unhošť</w:t>
      </w:r>
    </w:p>
    <w:p w:rsidR="00EA03ED" w:rsidRDefault="00123CF9">
      <w:pPr>
        <w:pStyle w:val="Zkladntext"/>
        <w:tabs>
          <w:tab w:val="left" w:pos="1900"/>
        </w:tabs>
        <w:spacing w:after="0" w:line="348" w:lineRule="auto"/>
        <w:ind w:firstLine="0"/>
      </w:pPr>
      <w:r>
        <w:rPr>
          <w:rStyle w:val="ZkladntextChar"/>
        </w:rPr>
        <w:t>IČ:</w:t>
      </w:r>
      <w:r>
        <w:rPr>
          <w:rStyle w:val="ZkladntextChar"/>
        </w:rPr>
        <w:tab/>
        <w:t>471 20 5 84</w:t>
      </w:r>
    </w:p>
    <w:p w:rsidR="00EA03ED" w:rsidRDefault="00123CF9">
      <w:pPr>
        <w:pStyle w:val="Zkladntext"/>
        <w:tabs>
          <w:tab w:val="left" w:pos="1900"/>
        </w:tabs>
        <w:spacing w:after="0" w:line="348" w:lineRule="auto"/>
        <w:ind w:firstLine="0"/>
      </w:pPr>
      <w:r>
        <w:rPr>
          <w:rStyle w:val="ZkladntextChar"/>
        </w:rPr>
        <w:t>DIČ:</w:t>
      </w:r>
      <w:r>
        <w:rPr>
          <w:rStyle w:val="ZkladntextChar"/>
        </w:rPr>
        <w:tab/>
        <w:t>CZ 471 20 5 84</w:t>
      </w:r>
    </w:p>
    <w:p w:rsidR="00EA03ED" w:rsidRDefault="00123CF9">
      <w:pPr>
        <w:pStyle w:val="Zkladntext"/>
        <w:tabs>
          <w:tab w:val="left" w:pos="1900"/>
        </w:tabs>
        <w:spacing w:after="0" w:line="348" w:lineRule="auto"/>
        <w:ind w:firstLine="0"/>
      </w:pPr>
      <w:r>
        <w:rPr>
          <w:rStyle w:val="ZkladntextChar"/>
        </w:rPr>
        <w:t>bankovní spojení: ČSOB Praha, Na Příkopě 6 č. účtu:</w:t>
      </w:r>
      <w:r>
        <w:rPr>
          <w:rStyle w:val="ZkladntextChar"/>
        </w:rPr>
        <w:tab/>
        <w:t>478391653/0300</w:t>
      </w:r>
    </w:p>
    <w:p w:rsidR="00EA03ED" w:rsidRDefault="00123CF9">
      <w:pPr>
        <w:pStyle w:val="Zkladntext"/>
        <w:tabs>
          <w:tab w:val="left" w:pos="1900"/>
        </w:tabs>
        <w:spacing w:after="0" w:line="348" w:lineRule="auto"/>
        <w:ind w:firstLine="0"/>
      </w:pPr>
      <w:r>
        <w:rPr>
          <w:rStyle w:val="ZkladntextChar"/>
        </w:rPr>
        <w:t>Zastoupen:</w:t>
      </w:r>
      <w:r>
        <w:rPr>
          <w:rStyle w:val="ZkladntextChar"/>
        </w:rPr>
        <w:tab/>
        <w:t>xxxxxxxx</w:t>
      </w:r>
      <w:r>
        <w:rPr>
          <w:rStyle w:val="ZkladntextChar"/>
        </w:rPr>
        <w:t xml:space="preserve"> jednatelem</w:t>
      </w:r>
    </w:p>
    <w:p w:rsidR="00EA03ED" w:rsidRDefault="00123CF9">
      <w:pPr>
        <w:pStyle w:val="Zkladntext"/>
        <w:spacing w:after="200" w:line="348" w:lineRule="auto"/>
        <w:ind w:firstLine="0"/>
      </w:pPr>
      <w:r>
        <w:rPr>
          <w:rStyle w:val="ZkladntextChar"/>
        </w:rPr>
        <w:t>Zapsán u rejstříkového soudu u Městského soudu v Praze, spisová značka C 13187 (dále jen „GEMA“ nebo „příjemce podpory“, na straně jedné)</w:t>
      </w:r>
    </w:p>
    <w:p w:rsidR="00EA03ED" w:rsidRDefault="00123CF9">
      <w:pPr>
        <w:pStyle w:val="Zkladntext"/>
        <w:spacing w:after="260"/>
        <w:ind w:firstLine="0"/>
        <w:jc w:val="center"/>
      </w:pPr>
      <w:r>
        <w:rPr>
          <w:rStyle w:val="ZkladntextChar"/>
        </w:rPr>
        <w:t>a</w:t>
      </w:r>
    </w:p>
    <w:p w:rsidR="00EA03ED" w:rsidRDefault="00123CF9">
      <w:pPr>
        <w:pStyle w:val="Heading30"/>
        <w:keepNext/>
        <w:keepLines/>
        <w:numPr>
          <w:ilvl w:val="0"/>
          <w:numId w:val="1"/>
        </w:numPr>
        <w:tabs>
          <w:tab w:val="left" w:pos="358"/>
        </w:tabs>
        <w:spacing w:after="540"/>
        <w:jc w:val="left"/>
      </w:pPr>
      <w:bookmarkStart w:id="2" w:name="bookmark4"/>
      <w:r>
        <w:rPr>
          <w:rStyle w:val="Heading3"/>
          <w:b/>
          <w:bCs/>
        </w:rPr>
        <w:t>Da</w:t>
      </w:r>
      <w:r>
        <w:rPr>
          <w:rStyle w:val="Heading3"/>
          <w:b/>
          <w:bCs/>
        </w:rPr>
        <w:t>lší účastník projektu</w:t>
      </w:r>
      <w:bookmarkEnd w:id="2"/>
    </w:p>
    <w:p w:rsidR="00EA03ED" w:rsidRDefault="00123CF9">
      <w:pPr>
        <w:pStyle w:val="Tablecaption0"/>
        <w:ind w:left="5"/>
      </w:pPr>
      <w:r>
        <w:rPr>
          <w:rStyle w:val="Tablecaption"/>
        </w:rPr>
        <w:t>Vysoká škola chemicko-technologická v Praze</w:t>
      </w:r>
    </w:p>
    <w:tbl>
      <w:tblPr>
        <w:tblOverlap w:val="never"/>
        <w:tblW w:w="0" w:type="auto"/>
        <w:tblLayout w:type="fixed"/>
        <w:tblCellMar>
          <w:left w:w="10" w:type="dxa"/>
          <w:right w:w="10" w:type="dxa"/>
        </w:tblCellMar>
        <w:tblLook w:val="0000" w:firstRow="0" w:lastRow="0" w:firstColumn="0" w:lastColumn="0" w:noHBand="0" w:noVBand="0"/>
      </w:tblPr>
      <w:tblGrid>
        <w:gridCol w:w="1867"/>
        <w:gridCol w:w="4454"/>
      </w:tblGrid>
      <w:tr w:rsidR="00EA03ED">
        <w:tblPrEx>
          <w:tblCellMar>
            <w:top w:w="0" w:type="dxa"/>
            <w:bottom w:w="0" w:type="dxa"/>
          </w:tblCellMar>
        </w:tblPrEx>
        <w:trPr>
          <w:trHeight w:hRule="exact" w:val="317"/>
        </w:trPr>
        <w:tc>
          <w:tcPr>
            <w:tcW w:w="1867" w:type="dxa"/>
            <w:shd w:val="clear" w:color="auto" w:fill="auto"/>
          </w:tcPr>
          <w:p w:rsidR="00EA03ED" w:rsidRDefault="00123CF9">
            <w:pPr>
              <w:pStyle w:val="Other0"/>
              <w:spacing w:after="0"/>
              <w:ind w:firstLine="0"/>
            </w:pPr>
            <w:r>
              <w:rPr>
                <w:rStyle w:val="Other"/>
              </w:rPr>
              <w:t>adresa sídla:</w:t>
            </w:r>
          </w:p>
        </w:tc>
        <w:tc>
          <w:tcPr>
            <w:tcW w:w="4454" w:type="dxa"/>
            <w:shd w:val="clear" w:color="auto" w:fill="auto"/>
          </w:tcPr>
          <w:p w:rsidR="00EA03ED" w:rsidRDefault="00123CF9">
            <w:pPr>
              <w:pStyle w:val="Other0"/>
              <w:spacing w:after="0"/>
              <w:ind w:firstLine="140"/>
            </w:pPr>
            <w:r>
              <w:rPr>
                <w:rStyle w:val="Other"/>
              </w:rPr>
              <w:t>Technická 1905/5, 166 28 Praha 6 - Dejvice</w:t>
            </w:r>
          </w:p>
        </w:tc>
      </w:tr>
      <w:tr w:rsidR="00EA03ED">
        <w:tblPrEx>
          <w:tblCellMar>
            <w:top w:w="0" w:type="dxa"/>
            <w:bottom w:w="0" w:type="dxa"/>
          </w:tblCellMar>
        </w:tblPrEx>
        <w:trPr>
          <w:trHeight w:hRule="exact" w:val="394"/>
        </w:trPr>
        <w:tc>
          <w:tcPr>
            <w:tcW w:w="1867" w:type="dxa"/>
            <w:shd w:val="clear" w:color="auto" w:fill="auto"/>
            <w:vAlign w:val="center"/>
          </w:tcPr>
          <w:p w:rsidR="00EA03ED" w:rsidRDefault="00123CF9">
            <w:pPr>
              <w:pStyle w:val="Other0"/>
              <w:spacing w:after="0"/>
              <w:ind w:firstLine="0"/>
            </w:pPr>
            <w:r>
              <w:rPr>
                <w:rStyle w:val="Other"/>
              </w:rPr>
              <w:t>IČ:</w:t>
            </w:r>
          </w:p>
        </w:tc>
        <w:tc>
          <w:tcPr>
            <w:tcW w:w="4454" w:type="dxa"/>
            <w:shd w:val="clear" w:color="auto" w:fill="auto"/>
            <w:vAlign w:val="center"/>
          </w:tcPr>
          <w:p w:rsidR="00EA03ED" w:rsidRDefault="00123CF9">
            <w:pPr>
              <w:pStyle w:val="Other0"/>
              <w:spacing w:after="0"/>
              <w:ind w:firstLine="140"/>
            </w:pPr>
            <w:r>
              <w:rPr>
                <w:rStyle w:val="Other"/>
              </w:rPr>
              <w:t>60461373</w:t>
            </w:r>
          </w:p>
        </w:tc>
      </w:tr>
      <w:tr w:rsidR="00EA03ED">
        <w:tblPrEx>
          <w:tblCellMar>
            <w:top w:w="0" w:type="dxa"/>
            <w:bottom w:w="0" w:type="dxa"/>
          </w:tblCellMar>
        </w:tblPrEx>
        <w:trPr>
          <w:trHeight w:hRule="exact" w:val="398"/>
        </w:trPr>
        <w:tc>
          <w:tcPr>
            <w:tcW w:w="1867" w:type="dxa"/>
            <w:shd w:val="clear" w:color="auto" w:fill="auto"/>
            <w:vAlign w:val="center"/>
          </w:tcPr>
          <w:p w:rsidR="00EA03ED" w:rsidRDefault="00123CF9">
            <w:pPr>
              <w:pStyle w:val="Other0"/>
              <w:spacing w:after="0"/>
              <w:ind w:firstLine="0"/>
            </w:pPr>
            <w:r>
              <w:rPr>
                <w:rStyle w:val="Other"/>
              </w:rPr>
              <w:t>DIČ:</w:t>
            </w:r>
          </w:p>
        </w:tc>
        <w:tc>
          <w:tcPr>
            <w:tcW w:w="4454" w:type="dxa"/>
            <w:shd w:val="clear" w:color="auto" w:fill="auto"/>
            <w:vAlign w:val="center"/>
          </w:tcPr>
          <w:p w:rsidR="00EA03ED" w:rsidRDefault="00123CF9">
            <w:pPr>
              <w:pStyle w:val="Other0"/>
              <w:spacing w:after="0"/>
              <w:ind w:firstLine="140"/>
            </w:pPr>
            <w:r>
              <w:rPr>
                <w:rStyle w:val="Other"/>
              </w:rPr>
              <w:t>CZ60461373</w:t>
            </w:r>
          </w:p>
        </w:tc>
      </w:tr>
      <w:tr w:rsidR="00EA03ED">
        <w:tblPrEx>
          <w:tblCellMar>
            <w:top w:w="0" w:type="dxa"/>
            <w:bottom w:w="0" w:type="dxa"/>
          </w:tblCellMar>
        </w:tblPrEx>
        <w:trPr>
          <w:trHeight w:hRule="exact" w:val="418"/>
        </w:trPr>
        <w:tc>
          <w:tcPr>
            <w:tcW w:w="1867" w:type="dxa"/>
            <w:shd w:val="clear" w:color="auto" w:fill="auto"/>
            <w:vAlign w:val="center"/>
          </w:tcPr>
          <w:p w:rsidR="00EA03ED" w:rsidRDefault="00123CF9">
            <w:pPr>
              <w:pStyle w:val="Other0"/>
              <w:spacing w:after="0"/>
              <w:ind w:firstLine="0"/>
            </w:pPr>
            <w:r>
              <w:rPr>
                <w:rStyle w:val="Other"/>
              </w:rPr>
              <w:t>bankovní spojení:</w:t>
            </w:r>
          </w:p>
        </w:tc>
        <w:tc>
          <w:tcPr>
            <w:tcW w:w="4454" w:type="dxa"/>
            <w:shd w:val="clear" w:color="auto" w:fill="auto"/>
            <w:vAlign w:val="center"/>
          </w:tcPr>
          <w:p w:rsidR="00EA03ED" w:rsidRDefault="00123CF9">
            <w:pPr>
              <w:pStyle w:val="Other0"/>
              <w:spacing w:after="0"/>
              <w:ind w:firstLine="140"/>
            </w:pPr>
            <w:r>
              <w:rPr>
                <w:rStyle w:val="Other"/>
              </w:rPr>
              <w:t>ČSOB a.s.</w:t>
            </w:r>
          </w:p>
        </w:tc>
      </w:tr>
      <w:tr w:rsidR="00EA03ED">
        <w:tblPrEx>
          <w:tblCellMar>
            <w:top w:w="0" w:type="dxa"/>
            <w:bottom w:w="0" w:type="dxa"/>
          </w:tblCellMar>
        </w:tblPrEx>
        <w:trPr>
          <w:trHeight w:hRule="exact" w:val="302"/>
        </w:trPr>
        <w:tc>
          <w:tcPr>
            <w:tcW w:w="1867" w:type="dxa"/>
            <w:shd w:val="clear" w:color="auto" w:fill="auto"/>
            <w:vAlign w:val="bottom"/>
          </w:tcPr>
          <w:p w:rsidR="00EA03ED" w:rsidRDefault="00123CF9">
            <w:pPr>
              <w:pStyle w:val="Other0"/>
              <w:spacing w:after="0"/>
              <w:ind w:firstLine="0"/>
            </w:pPr>
            <w:r>
              <w:rPr>
                <w:rStyle w:val="Other"/>
              </w:rPr>
              <w:t>č. účtu:</w:t>
            </w:r>
          </w:p>
        </w:tc>
        <w:tc>
          <w:tcPr>
            <w:tcW w:w="4454" w:type="dxa"/>
            <w:shd w:val="clear" w:color="auto" w:fill="auto"/>
            <w:vAlign w:val="bottom"/>
          </w:tcPr>
          <w:p w:rsidR="00EA03ED" w:rsidRDefault="00123CF9">
            <w:pPr>
              <w:pStyle w:val="Other0"/>
              <w:spacing w:after="0"/>
              <w:ind w:firstLine="140"/>
            </w:pPr>
            <w:r>
              <w:rPr>
                <w:rStyle w:val="Other"/>
              </w:rPr>
              <w:t>130197294/0300</w:t>
            </w:r>
          </w:p>
        </w:tc>
      </w:tr>
    </w:tbl>
    <w:p w:rsidR="00EA03ED" w:rsidRDefault="00EA03ED">
      <w:pPr>
        <w:spacing w:after="119" w:line="1" w:lineRule="exact"/>
      </w:pPr>
    </w:p>
    <w:p w:rsidR="00123CF9" w:rsidRDefault="00123CF9">
      <w:pPr>
        <w:pStyle w:val="Zkladntext"/>
        <w:tabs>
          <w:tab w:val="left" w:pos="1900"/>
        </w:tabs>
        <w:spacing w:after="120"/>
        <w:ind w:firstLine="0"/>
        <w:rPr>
          <w:rStyle w:val="ZkladntextChar"/>
        </w:rPr>
      </w:pPr>
      <w:r>
        <w:rPr>
          <w:rStyle w:val="ZkladntextChar"/>
        </w:rPr>
        <w:t>zastoupená:</w:t>
      </w:r>
      <w:r>
        <w:rPr>
          <w:rStyle w:val="ZkladntextChar"/>
        </w:rPr>
        <w:tab/>
        <w:t>xxxxxxxxxxxx</w:t>
      </w:r>
    </w:p>
    <w:p w:rsidR="00EA03ED" w:rsidRDefault="00123CF9">
      <w:pPr>
        <w:pStyle w:val="Zkladntext"/>
        <w:tabs>
          <w:tab w:val="left" w:pos="1900"/>
        </w:tabs>
        <w:spacing w:after="120"/>
        <w:ind w:firstLine="0"/>
      </w:pPr>
      <w:r>
        <w:rPr>
          <w:rStyle w:val="ZkladntextChar"/>
        </w:rPr>
        <w:tab/>
      </w:r>
      <w:r>
        <w:rPr>
          <w:rStyle w:val="ZkladntextChar"/>
        </w:rPr>
        <w:t>prorektorem pro vědu a výzkum</w:t>
      </w:r>
    </w:p>
    <w:p w:rsidR="00EA03ED" w:rsidRDefault="00123CF9">
      <w:pPr>
        <w:pStyle w:val="Zkladntext"/>
        <w:spacing w:after="260"/>
        <w:ind w:firstLine="0"/>
      </w:pPr>
      <w:r>
        <w:rPr>
          <w:rStyle w:val="ZkladntextChar"/>
        </w:rPr>
        <w:t>(dále jen „VŠCHT Praha“ nebo „další účastník projektu“, na straně druhé)</w:t>
      </w:r>
    </w:p>
    <w:p w:rsidR="00EA03ED" w:rsidRDefault="00123CF9">
      <w:pPr>
        <w:pStyle w:val="Zkladntext"/>
        <w:spacing w:after="260"/>
        <w:ind w:firstLine="0"/>
      </w:pPr>
      <w:r>
        <w:rPr>
          <w:rStyle w:val="ZkladntextChar"/>
        </w:rPr>
        <w:t>(společně dále jen „Smluvní strany“)</w:t>
      </w:r>
    </w:p>
    <w:p w:rsidR="00EA03ED" w:rsidRDefault="00123CF9">
      <w:pPr>
        <w:pStyle w:val="Zkladntext"/>
        <w:spacing w:after="260"/>
        <w:ind w:firstLine="0"/>
        <w:jc w:val="both"/>
      </w:pPr>
      <w:r>
        <w:rPr>
          <w:rStyle w:val="ZkladntextChar"/>
        </w:rPr>
        <w:t>uzavřeli níže uvedeného dne, měsíce a roku ve smyslu zákona č. 130/2002 Sb. o podpoře výzkumu, experimentálního vývo</w:t>
      </w:r>
      <w:r>
        <w:rPr>
          <w:rStyle w:val="ZkladntextChar"/>
        </w:rPr>
        <w:t>je a inovací z veřejných prostředků a o změně některých souvisejících zákonů (zákon o podpoře výzkumu, experimentálního vývoje a inovací) tuto smlouvu:</w:t>
      </w:r>
    </w:p>
    <w:p w:rsidR="00EA03ED" w:rsidRDefault="00EA03ED">
      <w:pPr>
        <w:pStyle w:val="Zkladntext"/>
        <w:numPr>
          <w:ilvl w:val="0"/>
          <w:numId w:val="2"/>
        </w:numPr>
        <w:spacing w:after="0" w:line="259" w:lineRule="auto"/>
        <w:ind w:firstLine="0"/>
        <w:jc w:val="center"/>
        <w:rPr>
          <w:sz w:val="22"/>
          <w:szCs w:val="22"/>
        </w:rPr>
      </w:pPr>
    </w:p>
    <w:p w:rsidR="00EA03ED" w:rsidRDefault="00123CF9">
      <w:pPr>
        <w:pStyle w:val="Zkladntext"/>
        <w:spacing w:after="120" w:line="259" w:lineRule="auto"/>
        <w:ind w:firstLine="0"/>
        <w:jc w:val="center"/>
        <w:rPr>
          <w:sz w:val="22"/>
          <w:szCs w:val="22"/>
        </w:rPr>
      </w:pPr>
      <w:r>
        <w:rPr>
          <w:rStyle w:val="ZkladntextChar"/>
          <w:b/>
          <w:bCs/>
          <w:sz w:val="22"/>
          <w:szCs w:val="22"/>
        </w:rPr>
        <w:t>Účel a předmět smlouvy</w:t>
      </w:r>
    </w:p>
    <w:p w:rsidR="00EA03ED" w:rsidRDefault="00123CF9">
      <w:pPr>
        <w:pStyle w:val="Zkladntext"/>
        <w:numPr>
          <w:ilvl w:val="0"/>
          <w:numId w:val="3"/>
        </w:numPr>
        <w:tabs>
          <w:tab w:val="left" w:pos="662"/>
        </w:tabs>
        <w:spacing w:after="0"/>
        <w:ind w:firstLine="0"/>
        <w:jc w:val="both"/>
      </w:pPr>
      <w:r>
        <w:rPr>
          <w:rStyle w:val="ZkladntextChar"/>
        </w:rPr>
        <w:t>Účelem smlouvy o využití výsledků výzkumu a vývoje (dále jen „Smlouva“) je uprav</w:t>
      </w:r>
      <w:r>
        <w:rPr>
          <w:rStyle w:val="ZkladntextChar"/>
        </w:rPr>
        <w:t>it</w:t>
      </w:r>
    </w:p>
    <w:p w:rsidR="00EA03ED" w:rsidRDefault="00123CF9">
      <w:pPr>
        <w:pStyle w:val="Zkladntext"/>
        <w:spacing w:after="260"/>
        <w:ind w:left="700" w:firstLine="0"/>
        <w:jc w:val="both"/>
      </w:pPr>
      <w:r>
        <w:rPr>
          <w:rStyle w:val="ZkladntextChar"/>
        </w:rPr>
        <w:t>vlastnická a užívací práva k výsledkům a k využití výsledků mezi Smluvními stranami a vymezení závazků s tím spojených.</w:t>
      </w:r>
    </w:p>
    <w:p w:rsidR="00EA03ED" w:rsidRDefault="00123CF9">
      <w:pPr>
        <w:pStyle w:val="Zkladntext"/>
        <w:numPr>
          <w:ilvl w:val="0"/>
          <w:numId w:val="3"/>
        </w:numPr>
        <w:tabs>
          <w:tab w:val="left" w:pos="666"/>
        </w:tabs>
        <w:spacing w:after="0"/>
        <w:ind w:firstLine="0"/>
        <w:jc w:val="both"/>
      </w:pPr>
      <w:r>
        <w:rPr>
          <w:rStyle w:val="ZkladntextChar"/>
        </w:rPr>
        <w:t>Výsledky řešení projektu výzkumu a vývoje (dále jen „VaV“) specifikovaného v článku</w:t>
      </w:r>
    </w:p>
    <w:p w:rsidR="00EA03ED" w:rsidRDefault="00123CF9">
      <w:pPr>
        <w:pStyle w:val="Zkladntext"/>
        <w:spacing w:after="260"/>
        <w:ind w:firstLine="680"/>
      </w:pPr>
      <w:r>
        <w:rPr>
          <w:rStyle w:val="ZkladntextChar"/>
        </w:rPr>
        <w:t>III této Smlouvy jsou tak předmětem Smlouvy.</w:t>
      </w:r>
    </w:p>
    <w:p w:rsidR="00EA03ED" w:rsidRDefault="00123CF9">
      <w:pPr>
        <w:pStyle w:val="Zkladntext"/>
        <w:numPr>
          <w:ilvl w:val="0"/>
          <w:numId w:val="3"/>
        </w:numPr>
        <w:tabs>
          <w:tab w:val="left" w:pos="666"/>
        </w:tabs>
        <w:spacing w:after="0"/>
        <w:ind w:firstLine="0"/>
        <w:jc w:val="both"/>
      </w:pPr>
      <w:r>
        <w:rPr>
          <w:rStyle w:val="ZkladntextChar"/>
        </w:rPr>
        <w:lastRenderedPageBreak/>
        <w:t>Rozsah a obsah práv a povinností Smluvních stran se řídí Smlouvou, zákonem o podpoře</w:t>
      </w:r>
    </w:p>
    <w:p w:rsidR="00EA03ED" w:rsidRDefault="00123CF9">
      <w:pPr>
        <w:pStyle w:val="Zkladntext"/>
        <w:spacing w:after="780"/>
        <w:ind w:left="680"/>
        <w:jc w:val="both"/>
      </w:pPr>
      <w:r>
        <w:rPr>
          <w:rStyle w:val="ZkladntextChar"/>
        </w:rPr>
        <w:t>výzkumu, experimentálního vývoje a inovací, zákonem č. 121/2000 Sb., o právu autorském, o právech souvisejících s právem autorským a o změně některých zákonů, ve znění poz</w:t>
      </w:r>
      <w:r>
        <w:rPr>
          <w:rStyle w:val="ZkladntextChar"/>
        </w:rPr>
        <w:t xml:space="preserve">dějších předpisů (dále jen „autorský zákon“), nebo jiných zvláštních předpisů upravujících práva duševního vlastnictví a průmyslového vlastnictví zejména zák. č. 527/1990 Sb., o vynálezech a zlepšovacích návrzích, zák. č. 478/1992 Sb., o užitných vzorech, </w:t>
      </w:r>
      <w:r>
        <w:rPr>
          <w:rStyle w:val="ZkladntextChar"/>
        </w:rPr>
        <w:t>zák. č. 207/2000 Sb., o ochraně průmyslových vzorů a o změně zákona č. 527/1990 Sb., o vynálezech, průmyslových vzorech a zlepšovacích návrzích, ve znění pozdějších předpisů a příslušnými ustanoveními zákona č. 89/2012 Sb., občanského zákoníku, ve znění po</w:t>
      </w:r>
      <w:r>
        <w:rPr>
          <w:rStyle w:val="ZkladntextChar"/>
        </w:rPr>
        <w:t>zdějších předpisů (dále jen „občanský zákoník“), přičemž Smlouva je uzavřená podle ustanovení § 1746 odst. 2 občanského zákoníku jakožto smlouva inominátní.</w:t>
      </w:r>
    </w:p>
    <w:p w:rsidR="00EA03ED" w:rsidRDefault="00EA03ED">
      <w:pPr>
        <w:pStyle w:val="Zkladntext"/>
        <w:numPr>
          <w:ilvl w:val="0"/>
          <w:numId w:val="2"/>
        </w:numPr>
        <w:spacing w:after="0"/>
        <w:ind w:firstLine="0"/>
        <w:jc w:val="center"/>
      </w:pPr>
    </w:p>
    <w:p w:rsidR="00EA03ED" w:rsidRDefault="00123CF9">
      <w:pPr>
        <w:pStyle w:val="Heading30"/>
        <w:keepNext/>
        <w:keepLines/>
        <w:spacing w:after="260"/>
      </w:pPr>
      <w:bookmarkStart w:id="3" w:name="bookmark6"/>
      <w:r>
        <w:rPr>
          <w:rStyle w:val="Heading3"/>
          <w:b/>
          <w:bCs/>
        </w:rPr>
        <w:t>Základní údaje o projektu</w:t>
      </w:r>
      <w:bookmarkEnd w:id="3"/>
    </w:p>
    <w:p w:rsidR="00EA03ED" w:rsidRDefault="00123CF9">
      <w:pPr>
        <w:pStyle w:val="Zkladntext"/>
        <w:numPr>
          <w:ilvl w:val="0"/>
          <w:numId w:val="4"/>
        </w:numPr>
        <w:tabs>
          <w:tab w:val="left" w:pos="666"/>
        </w:tabs>
        <w:spacing w:after="0"/>
        <w:ind w:firstLine="0"/>
        <w:jc w:val="both"/>
      </w:pPr>
      <w:r>
        <w:rPr>
          <w:rStyle w:val="ZkladntextChar"/>
        </w:rPr>
        <w:t>GEMA řešila na základě výsledků 1. veřejné soutěže Programu na podporu a</w:t>
      </w:r>
      <w:r>
        <w:rPr>
          <w:rStyle w:val="ZkladntextChar"/>
        </w:rPr>
        <w:t>plikovaného</w:t>
      </w:r>
    </w:p>
    <w:p w:rsidR="00EA03ED" w:rsidRDefault="00123CF9">
      <w:pPr>
        <w:pStyle w:val="Zkladntext"/>
        <w:spacing w:after="0"/>
        <w:ind w:left="680"/>
      </w:pPr>
      <w:r>
        <w:rPr>
          <w:rStyle w:val="ZkladntextChar"/>
        </w:rPr>
        <w:t>výzkumu TREND vyhlášené Technologickou agenturou České republiky (dále jen „TAČR“ nebo „Poskytovatel“) a na základě smlouvy o poskytnutí podpory na řešení programového projektu formou dotace z výdajů státního rozpočtu na výzkum, vývoj a inovace</w:t>
      </w:r>
      <w:r>
        <w:rPr>
          <w:rStyle w:val="ZkladntextChar"/>
        </w:rPr>
        <w:t xml:space="preserve"> uzavřené s TAČR (dále jen „Smlouva o poskytnutí podpory“) projekt ev. číslo: FW01010482</w:t>
      </w:r>
    </w:p>
    <w:p w:rsidR="00EA03ED" w:rsidRDefault="00123CF9">
      <w:pPr>
        <w:pStyle w:val="Zkladntext"/>
        <w:spacing w:after="520"/>
        <w:ind w:firstLine="680"/>
      </w:pPr>
      <w:r>
        <w:rPr>
          <w:rStyle w:val="ZkladntextChar"/>
        </w:rPr>
        <w:t>s názvem projektu: Vývoj zařízení pro měření korozivity atmosféry.</w:t>
      </w:r>
    </w:p>
    <w:p w:rsidR="00EA03ED" w:rsidRDefault="00123CF9">
      <w:pPr>
        <w:pStyle w:val="Zkladntext"/>
        <w:numPr>
          <w:ilvl w:val="0"/>
          <w:numId w:val="4"/>
        </w:numPr>
        <w:tabs>
          <w:tab w:val="left" w:pos="666"/>
        </w:tabs>
        <w:spacing w:after="380"/>
        <w:ind w:firstLine="0"/>
      </w:pPr>
      <w:r>
        <w:rPr>
          <w:rStyle w:val="ZkladntextChar"/>
        </w:rPr>
        <w:t>Termín ukončení řešení projektu byl stanoven na 31.12.2023.</w:t>
      </w:r>
    </w:p>
    <w:p w:rsidR="00EA03ED" w:rsidRDefault="00123CF9">
      <w:pPr>
        <w:pStyle w:val="Zkladntext"/>
        <w:numPr>
          <w:ilvl w:val="0"/>
          <w:numId w:val="4"/>
        </w:numPr>
        <w:tabs>
          <w:tab w:val="left" w:pos="666"/>
        </w:tabs>
        <w:spacing w:after="380"/>
        <w:ind w:firstLine="0"/>
      </w:pPr>
      <w:r>
        <w:rPr>
          <w:rStyle w:val="ZkladntextChar"/>
        </w:rPr>
        <w:t>Příjemce podpory: GEMA</w:t>
      </w:r>
    </w:p>
    <w:p w:rsidR="00EA03ED" w:rsidRDefault="00123CF9">
      <w:pPr>
        <w:pStyle w:val="Zkladntext"/>
        <w:numPr>
          <w:ilvl w:val="0"/>
          <w:numId w:val="4"/>
        </w:numPr>
        <w:tabs>
          <w:tab w:val="left" w:pos="666"/>
        </w:tabs>
        <w:spacing w:after="0"/>
        <w:ind w:firstLine="0"/>
        <w:jc w:val="both"/>
      </w:pPr>
      <w:r>
        <w:rPr>
          <w:rStyle w:val="ZkladntextChar"/>
        </w:rPr>
        <w:t xml:space="preserve">Další účastník </w:t>
      </w:r>
      <w:r>
        <w:rPr>
          <w:rStyle w:val="ZkladntextChar"/>
        </w:rPr>
        <w:t>projektu (spolupříjemce podpory): VŠCHT Praha. VŠCHT Praha jako</w:t>
      </w:r>
    </w:p>
    <w:p w:rsidR="00EA03ED" w:rsidRDefault="00123CF9">
      <w:pPr>
        <w:pStyle w:val="Zkladntext"/>
        <w:spacing w:after="380"/>
        <w:ind w:left="680"/>
        <w:jc w:val="both"/>
      </w:pPr>
      <w:r>
        <w:rPr>
          <w:rStyle w:val="ZkladntextChar"/>
        </w:rPr>
        <w:t>další účastník projektu uzavřel dne 30. 1.2020 s GEMA jako příjemcem podpory smlouvu o účasti na řešení projektu (dále jen „smlouva o účasti na řešení projektu“).</w:t>
      </w:r>
    </w:p>
    <w:p w:rsidR="00EA03ED" w:rsidRDefault="00123CF9">
      <w:pPr>
        <w:pStyle w:val="Zkladntext"/>
        <w:numPr>
          <w:ilvl w:val="0"/>
          <w:numId w:val="4"/>
        </w:numPr>
        <w:tabs>
          <w:tab w:val="left" w:pos="666"/>
        </w:tabs>
        <w:spacing w:after="0"/>
        <w:ind w:firstLine="0"/>
        <w:jc w:val="both"/>
      </w:pPr>
      <w:r>
        <w:rPr>
          <w:rStyle w:val="ZkladntextChar"/>
        </w:rPr>
        <w:t>Na základě shora uvedené Smlo</w:t>
      </w:r>
      <w:r>
        <w:rPr>
          <w:rStyle w:val="ZkladntextChar"/>
        </w:rPr>
        <w:t>uvy o poskytnutí podpory uzavřené mezi příjemcem</w:t>
      </w:r>
    </w:p>
    <w:p w:rsidR="00EA03ED" w:rsidRDefault="00123CF9">
      <w:pPr>
        <w:pStyle w:val="Zkladntext"/>
        <w:spacing w:after="260"/>
        <w:ind w:left="680"/>
        <w:jc w:val="both"/>
      </w:pPr>
      <w:r>
        <w:rPr>
          <w:rStyle w:val="ZkladntextChar"/>
        </w:rPr>
        <w:t>podpory a TAČR byl projekt financován z veřejných prostředků ve výši 70 % nákladů projektu.</w:t>
      </w:r>
    </w:p>
    <w:p w:rsidR="00EA03ED" w:rsidRDefault="00123CF9">
      <w:pPr>
        <w:pStyle w:val="Zkladntext"/>
        <w:spacing w:after="520"/>
        <w:ind w:firstLine="0"/>
      </w:pPr>
      <w:r>
        <w:rPr>
          <w:rStyle w:val="ZkladntextChar"/>
        </w:rPr>
        <w:t>(dále jen „projekt“)</w:t>
      </w:r>
    </w:p>
    <w:p w:rsidR="00EA03ED" w:rsidRDefault="00EA03ED">
      <w:pPr>
        <w:pStyle w:val="Zkladntext"/>
        <w:numPr>
          <w:ilvl w:val="0"/>
          <w:numId w:val="2"/>
        </w:numPr>
        <w:spacing w:after="0"/>
        <w:ind w:firstLine="0"/>
        <w:jc w:val="center"/>
      </w:pPr>
    </w:p>
    <w:p w:rsidR="00EA03ED" w:rsidRDefault="00123CF9">
      <w:pPr>
        <w:pStyle w:val="Heading30"/>
        <w:keepNext/>
        <w:keepLines/>
        <w:spacing w:after="100"/>
      </w:pPr>
      <w:bookmarkStart w:id="4" w:name="bookmark8"/>
      <w:r>
        <w:rPr>
          <w:rStyle w:val="Heading3"/>
          <w:b/>
          <w:bCs/>
        </w:rPr>
        <w:t>Definice</w:t>
      </w:r>
      <w:bookmarkEnd w:id="4"/>
    </w:p>
    <w:p w:rsidR="00EA03ED" w:rsidRDefault="00123CF9">
      <w:pPr>
        <w:pStyle w:val="Zkladntext"/>
        <w:numPr>
          <w:ilvl w:val="0"/>
          <w:numId w:val="5"/>
        </w:numPr>
        <w:tabs>
          <w:tab w:val="left" w:pos="666"/>
        </w:tabs>
        <w:spacing w:after="0"/>
        <w:ind w:firstLine="0"/>
        <w:jc w:val="both"/>
      </w:pPr>
      <w:r>
        <w:rPr>
          <w:rStyle w:val="ZkladntextChar"/>
        </w:rPr>
        <w:t>„</w:t>
      </w:r>
      <w:r>
        <w:rPr>
          <w:rStyle w:val="ZkladntextChar"/>
          <w:b/>
          <w:bCs/>
        </w:rPr>
        <w:t>Plán komercializace</w:t>
      </w:r>
      <w:r>
        <w:rPr>
          <w:rStyle w:val="ZkladntextChar"/>
        </w:rPr>
        <w:t>“ znamená plán komercializace, na kterém se Smluvní strany</w:t>
      </w:r>
    </w:p>
    <w:p w:rsidR="00EA03ED" w:rsidRDefault="00123CF9">
      <w:pPr>
        <w:pStyle w:val="Zkladntext"/>
        <w:spacing w:after="100"/>
        <w:ind w:firstLine="680"/>
      </w:pPr>
      <w:r>
        <w:rPr>
          <w:rStyle w:val="ZkladntextChar"/>
        </w:rPr>
        <w:t>vzájemně dohodly.</w:t>
      </w:r>
    </w:p>
    <w:p w:rsidR="00EA03ED" w:rsidRDefault="00123CF9">
      <w:pPr>
        <w:pStyle w:val="Zkladntext"/>
        <w:numPr>
          <w:ilvl w:val="0"/>
          <w:numId w:val="5"/>
        </w:numPr>
        <w:tabs>
          <w:tab w:val="left" w:pos="666"/>
        </w:tabs>
        <w:spacing w:after="380"/>
        <w:ind w:firstLine="0"/>
      </w:pPr>
      <w:r>
        <w:rPr>
          <w:rStyle w:val="ZkladntextChar"/>
        </w:rPr>
        <w:t>„</w:t>
      </w:r>
      <w:r>
        <w:rPr>
          <w:rStyle w:val="ZkladntextChar"/>
          <w:b/>
          <w:bCs/>
        </w:rPr>
        <w:t>Prvním komerčním prodejem</w:t>
      </w:r>
      <w:r>
        <w:rPr>
          <w:rStyle w:val="ZkladntextChar"/>
        </w:rPr>
        <w:t>“ znamená první převod za úplatu Produktu.</w:t>
      </w:r>
    </w:p>
    <w:p w:rsidR="00EA03ED" w:rsidRDefault="00123CF9">
      <w:pPr>
        <w:pStyle w:val="Zkladntext"/>
        <w:numPr>
          <w:ilvl w:val="0"/>
          <w:numId w:val="5"/>
        </w:numPr>
        <w:tabs>
          <w:tab w:val="left" w:pos="648"/>
        </w:tabs>
        <w:spacing w:after="0"/>
        <w:ind w:firstLine="0"/>
      </w:pPr>
      <w:r>
        <w:rPr>
          <w:rStyle w:val="ZkladntextChar"/>
        </w:rPr>
        <w:t>„</w:t>
      </w:r>
      <w:r>
        <w:rPr>
          <w:rStyle w:val="ZkladntextChar"/>
          <w:b/>
          <w:bCs/>
        </w:rPr>
        <w:t>Produkt</w:t>
      </w:r>
      <w:r>
        <w:rPr>
          <w:rStyle w:val="ZkladntextChar"/>
        </w:rPr>
        <w:t>“ znamená jakékoliv produkty nebo služby, které obsahují nebo využívají</w:t>
      </w:r>
    </w:p>
    <w:p w:rsidR="00EA03ED" w:rsidRDefault="00123CF9">
      <w:pPr>
        <w:pStyle w:val="Zkladntext"/>
        <w:spacing w:after="100"/>
        <w:ind w:firstLine="680"/>
      </w:pPr>
      <w:r>
        <w:rPr>
          <w:rStyle w:val="ZkladntextChar"/>
        </w:rPr>
        <w:t>jakoukoliv část Výsledku 1 - Výsledku 6.</w:t>
      </w:r>
    </w:p>
    <w:p w:rsidR="00EA03ED" w:rsidRDefault="00123CF9">
      <w:pPr>
        <w:pStyle w:val="Zkladntext"/>
        <w:numPr>
          <w:ilvl w:val="0"/>
          <w:numId w:val="5"/>
        </w:numPr>
        <w:tabs>
          <w:tab w:val="left" w:pos="648"/>
        </w:tabs>
        <w:spacing w:after="0"/>
        <w:ind w:firstLine="0"/>
      </w:pPr>
      <w:r>
        <w:rPr>
          <w:rStyle w:val="ZkladntextChar"/>
        </w:rPr>
        <w:t>„</w:t>
      </w:r>
      <w:r>
        <w:rPr>
          <w:rStyle w:val="ZkladntextChar"/>
          <w:b/>
          <w:bCs/>
        </w:rPr>
        <w:t>Publikace</w:t>
      </w:r>
      <w:r>
        <w:rPr>
          <w:rStyle w:val="ZkladntextChar"/>
        </w:rPr>
        <w:t xml:space="preserve">“ znamená jakékoli ústní nebo písemné </w:t>
      </w:r>
      <w:r>
        <w:rPr>
          <w:rStyle w:val="ZkladntextChar"/>
        </w:rPr>
        <w:t>zveřejnění, publikace nebo sdělení</w:t>
      </w:r>
    </w:p>
    <w:p w:rsidR="00EA03ED" w:rsidRDefault="00123CF9">
      <w:pPr>
        <w:pStyle w:val="Zkladntext"/>
        <w:spacing w:after="1100"/>
        <w:ind w:left="680"/>
        <w:jc w:val="both"/>
      </w:pPr>
      <w:r>
        <w:rPr>
          <w:rStyle w:val="ZkladntextChar"/>
        </w:rPr>
        <w:lastRenderedPageBreak/>
        <w:t>týkající se technologie, patentů, Plánu komercializace vyžaduje písemný souhlas obou Smluvních stran.</w:t>
      </w:r>
    </w:p>
    <w:p w:rsidR="00EA03ED" w:rsidRDefault="00EA03ED">
      <w:pPr>
        <w:pStyle w:val="Heading30"/>
        <w:keepNext/>
        <w:keepLines/>
        <w:numPr>
          <w:ilvl w:val="0"/>
          <w:numId w:val="2"/>
        </w:numPr>
        <w:spacing w:after="0"/>
      </w:pPr>
      <w:bookmarkStart w:id="5" w:name="bookmark10"/>
      <w:bookmarkEnd w:id="5"/>
    </w:p>
    <w:p w:rsidR="00EA03ED" w:rsidRDefault="00123CF9">
      <w:pPr>
        <w:pStyle w:val="Heading30"/>
        <w:keepNext/>
        <w:keepLines/>
        <w:spacing w:after="100"/>
      </w:pPr>
      <w:bookmarkStart w:id="6" w:name="bookmark12"/>
      <w:r>
        <w:rPr>
          <w:rStyle w:val="Heading3"/>
          <w:b/>
          <w:bCs/>
        </w:rPr>
        <w:t>Vymezení výsledků a jejich srovnání s cíli projektu</w:t>
      </w:r>
      <w:bookmarkEnd w:id="6"/>
    </w:p>
    <w:p w:rsidR="00EA03ED" w:rsidRDefault="00123CF9">
      <w:pPr>
        <w:pStyle w:val="Zkladntext"/>
        <w:numPr>
          <w:ilvl w:val="0"/>
          <w:numId w:val="6"/>
        </w:numPr>
        <w:tabs>
          <w:tab w:val="left" w:pos="648"/>
        </w:tabs>
        <w:spacing w:after="0"/>
        <w:ind w:firstLine="0"/>
      </w:pPr>
      <w:r>
        <w:rPr>
          <w:rStyle w:val="ZkladntextChar"/>
        </w:rPr>
        <w:t>GEMA jako příjemce podpory a VŠCHT Praha jako další účastník proje</w:t>
      </w:r>
      <w:r>
        <w:rPr>
          <w:rStyle w:val="ZkladntextChar"/>
        </w:rPr>
        <w:t>ktu na základě</w:t>
      </w:r>
    </w:p>
    <w:p w:rsidR="00EA03ED" w:rsidRDefault="00123CF9">
      <w:pPr>
        <w:pStyle w:val="Zkladntext"/>
        <w:spacing w:after="380"/>
        <w:ind w:firstLine="680"/>
        <w:rPr>
          <w:sz w:val="22"/>
          <w:szCs w:val="22"/>
        </w:rPr>
      </w:pPr>
      <w:r>
        <w:rPr>
          <w:rStyle w:val="ZkladntextChar"/>
        </w:rPr>
        <w:t>smlouvy o účasti na řešení projektu jsou vlastníky práv k výsledkům projektu</w:t>
      </w:r>
      <w:r>
        <w:rPr>
          <w:rStyle w:val="ZkladntextChar"/>
          <w:sz w:val="22"/>
          <w:szCs w:val="22"/>
        </w:rPr>
        <w:t>.</w:t>
      </w:r>
    </w:p>
    <w:p w:rsidR="00EA03ED" w:rsidRDefault="00123CF9">
      <w:pPr>
        <w:pStyle w:val="Zkladntext"/>
        <w:numPr>
          <w:ilvl w:val="0"/>
          <w:numId w:val="6"/>
        </w:numPr>
        <w:tabs>
          <w:tab w:val="left" w:pos="648"/>
        </w:tabs>
        <w:spacing w:after="100"/>
        <w:ind w:firstLine="0"/>
      </w:pPr>
      <w:r>
        <w:rPr>
          <w:rStyle w:val="ZkladntextChar"/>
          <w:b/>
          <w:bCs/>
        </w:rPr>
        <w:t xml:space="preserve">Výsledek 1: </w:t>
      </w:r>
      <w:r>
        <w:rPr>
          <w:rStyle w:val="ZkladntextChar"/>
        </w:rPr>
        <w:t>Triplicitní rezistometrické čidlo pro měření korozní rychlosti kovů.</w:t>
      </w:r>
    </w:p>
    <w:p w:rsidR="00EA03ED" w:rsidRDefault="00123CF9">
      <w:pPr>
        <w:pStyle w:val="Zkladntext"/>
        <w:spacing w:after="100"/>
        <w:ind w:firstLine="680"/>
      </w:pPr>
      <w:r>
        <w:rPr>
          <w:rStyle w:val="ZkladntextChar"/>
        </w:rPr>
        <w:t>Tento výsledek je v metodice hodnocení RIV popsán jako F</w:t>
      </w:r>
      <w:r>
        <w:rPr>
          <w:rStyle w:val="ZkladntextChar"/>
          <w:sz w:val="16"/>
          <w:szCs w:val="16"/>
        </w:rPr>
        <w:t xml:space="preserve">uzit </w:t>
      </w:r>
      <w:r>
        <w:rPr>
          <w:rStyle w:val="ZkladntextChar"/>
        </w:rPr>
        <w:t>- Užitný vzor.</w:t>
      </w:r>
    </w:p>
    <w:p w:rsidR="00EA03ED" w:rsidRDefault="00123CF9">
      <w:pPr>
        <w:pStyle w:val="Zkladntext"/>
        <w:spacing w:after="380"/>
        <w:ind w:left="680"/>
      </w:pPr>
      <w:r>
        <w:rPr>
          <w:rStyle w:val="ZkladntextChar"/>
        </w:rPr>
        <w:t>Výsledek byl pod názvem „Triplicitní rezistometrické čidlo pro měření korozní rychlosti kovů“ zařazen do databáze RIV v roce 2023.</w:t>
      </w:r>
    </w:p>
    <w:p w:rsidR="00EA03ED" w:rsidRDefault="00123CF9">
      <w:pPr>
        <w:pStyle w:val="Zkladntext"/>
        <w:numPr>
          <w:ilvl w:val="0"/>
          <w:numId w:val="6"/>
        </w:numPr>
        <w:tabs>
          <w:tab w:val="left" w:pos="648"/>
        </w:tabs>
        <w:spacing w:after="0"/>
        <w:ind w:firstLine="0"/>
      </w:pPr>
      <w:r>
        <w:rPr>
          <w:rStyle w:val="ZkladntextChar"/>
          <w:b/>
          <w:bCs/>
        </w:rPr>
        <w:t xml:space="preserve">Výsledek 2 : </w:t>
      </w:r>
      <w:r>
        <w:rPr>
          <w:rStyle w:val="ZkladntextChar"/>
        </w:rPr>
        <w:t>Elektronické měřicí zařízení pro stanovení korozivity atmosféry v reálném</w:t>
      </w:r>
    </w:p>
    <w:p w:rsidR="00EA03ED" w:rsidRDefault="00123CF9">
      <w:pPr>
        <w:pStyle w:val="Zkladntext"/>
        <w:spacing w:after="100"/>
        <w:ind w:firstLine="680"/>
      </w:pPr>
      <w:r>
        <w:rPr>
          <w:rStyle w:val="ZkladntextChar"/>
        </w:rPr>
        <w:t>čase.</w:t>
      </w:r>
    </w:p>
    <w:p w:rsidR="00EA03ED" w:rsidRDefault="00123CF9">
      <w:pPr>
        <w:pStyle w:val="Zkladntext"/>
        <w:spacing w:after="100"/>
        <w:ind w:firstLine="680"/>
      </w:pPr>
      <w:r>
        <w:rPr>
          <w:rStyle w:val="ZkladntextChar"/>
        </w:rPr>
        <w:t>Tento výsledek je v metodice hod</w:t>
      </w:r>
      <w:r>
        <w:rPr>
          <w:rStyle w:val="ZkladntextChar"/>
        </w:rPr>
        <w:t>nocení RIV popsán jako G</w:t>
      </w:r>
      <w:r>
        <w:rPr>
          <w:rStyle w:val="ZkladntextChar"/>
          <w:sz w:val="16"/>
          <w:szCs w:val="16"/>
        </w:rPr>
        <w:t xml:space="preserve">prop </w:t>
      </w:r>
      <w:r>
        <w:rPr>
          <w:rStyle w:val="ZkladntextChar"/>
        </w:rPr>
        <w:t>- Prototyp.</w:t>
      </w:r>
    </w:p>
    <w:p w:rsidR="00EA03ED" w:rsidRDefault="00123CF9">
      <w:pPr>
        <w:pStyle w:val="Zkladntext"/>
        <w:spacing w:after="380"/>
        <w:ind w:left="680"/>
      </w:pPr>
      <w:r>
        <w:rPr>
          <w:rStyle w:val="ZkladntextChar"/>
        </w:rPr>
        <w:t>Výsledek byl pod názvem „Elektronické měřicí zařízení pro stanovení korozivity atmosféry v reálném čase“ zařazen do databáze RIV v roce 2022.</w:t>
      </w:r>
    </w:p>
    <w:p w:rsidR="00EA03ED" w:rsidRDefault="00123CF9">
      <w:pPr>
        <w:pStyle w:val="Zkladntext"/>
        <w:numPr>
          <w:ilvl w:val="0"/>
          <w:numId w:val="6"/>
        </w:numPr>
        <w:tabs>
          <w:tab w:val="left" w:pos="648"/>
        </w:tabs>
        <w:spacing w:after="100"/>
        <w:ind w:firstLine="0"/>
      </w:pPr>
      <w:r>
        <w:rPr>
          <w:rStyle w:val="ZkladntextChar"/>
          <w:b/>
          <w:bCs/>
        </w:rPr>
        <w:t xml:space="preserve">Výsledek 3 : </w:t>
      </w:r>
      <w:r>
        <w:rPr>
          <w:rStyle w:val="ZkladntextChar"/>
        </w:rPr>
        <w:t>Sada triplicitních senzorů pro měření korozivity atmosféry.</w:t>
      </w:r>
    </w:p>
    <w:p w:rsidR="00EA03ED" w:rsidRDefault="00123CF9">
      <w:pPr>
        <w:pStyle w:val="Zkladntext"/>
        <w:spacing w:after="100"/>
        <w:ind w:firstLine="680"/>
      </w:pPr>
      <w:r>
        <w:rPr>
          <w:rStyle w:val="ZkladntextChar"/>
        </w:rPr>
        <w:t>Tento výsledek je v metodice hodnocení RIV popsán jako G</w:t>
      </w:r>
      <w:r>
        <w:rPr>
          <w:rStyle w:val="ZkladntextChar"/>
          <w:sz w:val="16"/>
          <w:szCs w:val="16"/>
        </w:rPr>
        <w:t xml:space="preserve">funk </w:t>
      </w:r>
      <w:r>
        <w:rPr>
          <w:rStyle w:val="ZkladntextChar"/>
        </w:rPr>
        <w:t>- Funkční vzorek.</w:t>
      </w:r>
    </w:p>
    <w:p w:rsidR="00EA03ED" w:rsidRDefault="00123CF9">
      <w:pPr>
        <w:pStyle w:val="Zkladntext"/>
        <w:spacing w:after="520"/>
        <w:ind w:left="680"/>
      </w:pPr>
      <w:r>
        <w:rPr>
          <w:rStyle w:val="ZkladntextChar"/>
        </w:rPr>
        <w:t>Výsledek byl pod názvem „Sada triplicitních senzorů pro měření korozivity atmosféry“ zařazen do databáze RIV v roce 2022.</w:t>
      </w:r>
    </w:p>
    <w:p w:rsidR="00EA03ED" w:rsidRDefault="00123CF9">
      <w:pPr>
        <w:pStyle w:val="Zkladntext"/>
        <w:numPr>
          <w:ilvl w:val="0"/>
          <w:numId w:val="6"/>
        </w:numPr>
        <w:tabs>
          <w:tab w:val="left" w:pos="648"/>
        </w:tabs>
        <w:spacing w:after="100" w:line="264" w:lineRule="auto"/>
        <w:ind w:firstLine="0"/>
      </w:pPr>
      <w:r>
        <w:rPr>
          <w:rStyle w:val="ZkladntextChar"/>
          <w:b/>
          <w:bCs/>
        </w:rPr>
        <w:t xml:space="preserve">Výsledek 4: </w:t>
      </w:r>
      <w:r>
        <w:rPr>
          <w:rStyle w:val="ZkladntextChar"/>
        </w:rPr>
        <w:t>Poloprovozní výroba senzorů koroze.</w:t>
      </w:r>
    </w:p>
    <w:p w:rsidR="00EA03ED" w:rsidRDefault="00123CF9">
      <w:pPr>
        <w:pStyle w:val="Zkladntext"/>
        <w:ind w:firstLine="680"/>
      </w:pPr>
      <w:r>
        <w:rPr>
          <w:rStyle w:val="ZkladntextChar"/>
        </w:rPr>
        <w:t>Tento v</w:t>
      </w:r>
      <w:r>
        <w:rPr>
          <w:rStyle w:val="ZkladntextChar"/>
        </w:rPr>
        <w:t>ýsledek je v metodice hodnocení RIV popsán jako Z</w:t>
      </w:r>
      <w:r>
        <w:rPr>
          <w:rStyle w:val="ZkladntextChar"/>
          <w:sz w:val="16"/>
          <w:szCs w:val="16"/>
        </w:rPr>
        <w:t xml:space="preserve">polop </w:t>
      </w:r>
      <w:r>
        <w:rPr>
          <w:rStyle w:val="ZkladntextChar"/>
        </w:rPr>
        <w:t>- Poloprovoz.</w:t>
      </w:r>
    </w:p>
    <w:p w:rsidR="00EA03ED" w:rsidRDefault="00123CF9">
      <w:pPr>
        <w:pStyle w:val="Zkladntext"/>
        <w:ind w:left="680"/>
        <w:jc w:val="both"/>
      </w:pPr>
      <w:r>
        <w:rPr>
          <w:rStyle w:val="ZkladntextChar"/>
        </w:rPr>
        <w:t>Výsledek byl pod názvem „Poloprovozní výroba senzorů koroze“ zařazen do databáze RIV v roce 2023.</w:t>
      </w:r>
    </w:p>
    <w:p w:rsidR="00EA03ED" w:rsidRDefault="00123CF9">
      <w:pPr>
        <w:pStyle w:val="Zkladntext"/>
        <w:numPr>
          <w:ilvl w:val="0"/>
          <w:numId w:val="6"/>
        </w:numPr>
        <w:tabs>
          <w:tab w:val="left" w:pos="648"/>
        </w:tabs>
        <w:spacing w:after="100"/>
        <w:ind w:firstLine="0"/>
      </w:pPr>
      <w:r>
        <w:rPr>
          <w:rStyle w:val="ZkladntextChar"/>
          <w:b/>
          <w:bCs/>
        </w:rPr>
        <w:t xml:space="preserve">Výsledek 5: </w:t>
      </w:r>
      <w:r>
        <w:rPr>
          <w:rStyle w:val="ZkladntextChar"/>
        </w:rPr>
        <w:t>Software na zpracování a prezentaci dat a vzdálená správa dat.</w:t>
      </w:r>
    </w:p>
    <w:p w:rsidR="00EA03ED" w:rsidRDefault="00123CF9">
      <w:pPr>
        <w:pStyle w:val="Zkladntext"/>
        <w:ind w:firstLine="680"/>
      </w:pPr>
      <w:r>
        <w:rPr>
          <w:rStyle w:val="ZkladntextChar"/>
        </w:rPr>
        <w:t>Tento výsledek</w:t>
      </w:r>
      <w:r>
        <w:rPr>
          <w:rStyle w:val="ZkladntextChar"/>
        </w:rPr>
        <w:t xml:space="preserve"> je v metodice hodnocení RIV popsán jako R - Software.</w:t>
      </w:r>
    </w:p>
    <w:p w:rsidR="00EA03ED" w:rsidRDefault="00123CF9">
      <w:pPr>
        <w:pStyle w:val="Zkladntext"/>
        <w:spacing w:after="100"/>
        <w:ind w:left="680"/>
        <w:jc w:val="both"/>
      </w:pPr>
      <w:r>
        <w:rPr>
          <w:rStyle w:val="ZkladntextChar"/>
        </w:rPr>
        <w:t xml:space="preserve">Výsledek </w:t>
      </w:r>
      <w:r>
        <w:rPr>
          <w:rStyle w:val="ZkladntextChar"/>
          <w:sz w:val="22"/>
          <w:szCs w:val="22"/>
        </w:rPr>
        <w:t xml:space="preserve">bude </w:t>
      </w:r>
      <w:r>
        <w:rPr>
          <w:rStyle w:val="ZkladntextChar"/>
        </w:rPr>
        <w:t>pod názvem „Software na zpracování a prezentaci dat a vzdálená správa dat “ zařazen do databáze RIV v roce 2024.</w:t>
      </w:r>
    </w:p>
    <w:p w:rsidR="00EA03ED" w:rsidRDefault="00123CF9" w:rsidP="00A82F4C">
      <w:pPr>
        <w:pStyle w:val="Zkladntext"/>
        <w:numPr>
          <w:ilvl w:val="0"/>
          <w:numId w:val="6"/>
        </w:numPr>
        <w:tabs>
          <w:tab w:val="left" w:pos="648"/>
        </w:tabs>
        <w:spacing w:after="0"/>
        <w:ind w:firstLine="680"/>
      </w:pPr>
      <w:r w:rsidRPr="00123CF9">
        <w:rPr>
          <w:rStyle w:val="ZkladntextChar"/>
          <w:b/>
          <w:bCs/>
        </w:rPr>
        <w:t xml:space="preserve">Výsledek 6: </w:t>
      </w:r>
      <w:r>
        <w:rPr>
          <w:rStyle w:val="ZkladntextChar"/>
        </w:rPr>
        <w:t xml:space="preserve">Výroba elektronického měřícího zařízení pro stanovená </w:t>
      </w:r>
      <w:r>
        <w:rPr>
          <w:rStyle w:val="ZkladntextChar"/>
        </w:rPr>
        <w:t xml:space="preserve">korozivity </w:t>
      </w:r>
      <w:r>
        <w:rPr>
          <w:rStyle w:val="ZkladntextChar"/>
        </w:rPr>
        <w:tab/>
      </w:r>
      <w:r>
        <w:rPr>
          <w:rStyle w:val="ZkladntextChar"/>
        </w:rPr>
        <w:tab/>
      </w:r>
      <w:r>
        <w:rPr>
          <w:rStyle w:val="ZkladntextChar"/>
        </w:rPr>
        <w:tab/>
      </w:r>
      <w:r>
        <w:rPr>
          <w:rStyle w:val="ZkladntextChar"/>
        </w:rPr>
        <w:t xml:space="preserve">atmosféry </w:t>
      </w:r>
      <w:r>
        <w:rPr>
          <w:rStyle w:val="ZkladntextChar"/>
        </w:rPr>
        <w:t>v reálném čase.</w:t>
      </w:r>
    </w:p>
    <w:p w:rsidR="00EA03ED" w:rsidRDefault="00123CF9">
      <w:pPr>
        <w:pStyle w:val="Zkladntext"/>
        <w:spacing w:after="100"/>
        <w:ind w:firstLine="680"/>
      </w:pPr>
      <w:r>
        <w:rPr>
          <w:rStyle w:val="ZkladntextChar"/>
        </w:rPr>
        <w:t>Tento výsledek je v metodice hodnocení RIV popsán jako Z</w:t>
      </w:r>
      <w:r>
        <w:rPr>
          <w:rStyle w:val="ZkladntextChar"/>
          <w:sz w:val="16"/>
          <w:szCs w:val="16"/>
        </w:rPr>
        <w:t xml:space="preserve">polop </w:t>
      </w:r>
      <w:r>
        <w:rPr>
          <w:rStyle w:val="ZkladntextChar"/>
        </w:rPr>
        <w:t>- Poloprovoz.</w:t>
      </w:r>
    </w:p>
    <w:p w:rsidR="00EA03ED" w:rsidRDefault="00123CF9">
      <w:pPr>
        <w:pStyle w:val="Zkladntext"/>
        <w:spacing w:after="120"/>
        <w:ind w:left="680"/>
        <w:jc w:val="both"/>
        <w:rPr>
          <w:rStyle w:val="ZkladntextChar"/>
        </w:rPr>
      </w:pPr>
      <w:r>
        <w:rPr>
          <w:rStyle w:val="ZkladntextChar"/>
        </w:rPr>
        <w:t xml:space="preserve">Výsledek bude pod názvem „Výroba elektronického měřícího zařízení pro stanovená korozivity atmosféry v reálném čase“ zařazen do databáze RIV v </w:t>
      </w:r>
      <w:r>
        <w:rPr>
          <w:rStyle w:val="ZkladntextChar"/>
        </w:rPr>
        <w:t>roce 2024.</w:t>
      </w:r>
    </w:p>
    <w:p w:rsidR="00123CF9" w:rsidRDefault="00123CF9">
      <w:pPr>
        <w:pStyle w:val="Zkladntext"/>
        <w:spacing w:after="120"/>
        <w:ind w:left="680"/>
        <w:jc w:val="both"/>
      </w:pPr>
    </w:p>
    <w:p w:rsidR="00EA03ED" w:rsidRDefault="00123CF9">
      <w:pPr>
        <w:pStyle w:val="Zkladntext"/>
        <w:numPr>
          <w:ilvl w:val="0"/>
          <w:numId w:val="6"/>
        </w:numPr>
        <w:tabs>
          <w:tab w:val="left" w:pos="671"/>
        </w:tabs>
        <w:spacing w:after="1200" w:line="264" w:lineRule="auto"/>
        <w:ind w:firstLine="0"/>
      </w:pPr>
      <w:r>
        <w:rPr>
          <w:rStyle w:val="ZkladntextChar"/>
        </w:rPr>
        <w:t>Vytvořením výše uvedených výsledků byly cíle projektu splněny.</w:t>
      </w:r>
    </w:p>
    <w:p w:rsidR="00EA03ED" w:rsidRDefault="00EA03ED">
      <w:pPr>
        <w:pStyle w:val="Heading30"/>
        <w:keepNext/>
        <w:keepLines/>
        <w:numPr>
          <w:ilvl w:val="0"/>
          <w:numId w:val="2"/>
        </w:numPr>
        <w:spacing w:after="0"/>
      </w:pPr>
      <w:bookmarkStart w:id="7" w:name="bookmark14"/>
      <w:bookmarkEnd w:id="7"/>
    </w:p>
    <w:p w:rsidR="00EA03ED" w:rsidRDefault="00123CF9">
      <w:pPr>
        <w:pStyle w:val="Heading30"/>
        <w:keepNext/>
        <w:keepLines/>
        <w:spacing w:after="260"/>
      </w:pPr>
      <w:r>
        <w:rPr>
          <w:rStyle w:val="Heading3"/>
          <w:b/>
          <w:bCs/>
        </w:rPr>
        <w:t>Úprava vlastnických a užívacích práv k výsledkům</w:t>
      </w:r>
    </w:p>
    <w:p w:rsidR="00EA03ED" w:rsidRDefault="00123CF9">
      <w:pPr>
        <w:pStyle w:val="Zkladntext"/>
        <w:numPr>
          <w:ilvl w:val="0"/>
          <w:numId w:val="7"/>
        </w:numPr>
        <w:tabs>
          <w:tab w:val="left" w:pos="671"/>
        </w:tabs>
        <w:spacing w:after="0"/>
        <w:ind w:firstLine="0"/>
        <w:jc w:val="both"/>
      </w:pPr>
      <w:r>
        <w:rPr>
          <w:rStyle w:val="ZkladntextChar"/>
        </w:rPr>
        <w:t>Řešení projektu není veřejnou zakázkou, a proto se na úpravu práv k jeho výsledkům a</w:t>
      </w:r>
    </w:p>
    <w:p w:rsidR="00EA03ED" w:rsidRDefault="00123CF9">
      <w:pPr>
        <w:pStyle w:val="Zkladntext"/>
        <w:tabs>
          <w:tab w:val="left" w:pos="4309"/>
        </w:tabs>
        <w:spacing w:after="0"/>
        <w:ind w:firstLine="680"/>
        <w:jc w:val="both"/>
      </w:pPr>
      <w:r>
        <w:rPr>
          <w:rStyle w:val="ZkladntextChar"/>
        </w:rPr>
        <w:t>jejich využití nevztahují ust. §</w:t>
      </w:r>
      <w:r>
        <w:rPr>
          <w:rStyle w:val="ZkladntextChar"/>
        </w:rPr>
        <w:tab/>
        <w:t>16 odst. 1 a 2</w:t>
      </w:r>
      <w:r>
        <w:rPr>
          <w:rStyle w:val="ZkladntextChar"/>
        </w:rPr>
        <w:t xml:space="preserve"> zákona o podpoře výzkumu,</w:t>
      </w:r>
    </w:p>
    <w:p w:rsidR="00EA03ED" w:rsidRDefault="00123CF9">
      <w:pPr>
        <w:pStyle w:val="Zkladntext"/>
        <w:spacing w:after="120"/>
        <w:ind w:firstLine="680"/>
        <w:jc w:val="both"/>
      </w:pPr>
      <w:r>
        <w:rPr>
          <w:rStyle w:val="ZkladntextChar"/>
        </w:rPr>
        <w:t>experimentálního vývoje a inovací.</w:t>
      </w:r>
    </w:p>
    <w:p w:rsidR="00EA03ED" w:rsidRDefault="00123CF9">
      <w:pPr>
        <w:pStyle w:val="Zkladntext"/>
        <w:numPr>
          <w:ilvl w:val="0"/>
          <w:numId w:val="7"/>
        </w:numPr>
        <w:tabs>
          <w:tab w:val="left" w:pos="671"/>
        </w:tabs>
        <w:spacing w:after="0"/>
        <w:ind w:firstLine="0"/>
        <w:jc w:val="both"/>
      </w:pPr>
      <w:r>
        <w:rPr>
          <w:rStyle w:val="ZkladntextChar"/>
        </w:rPr>
        <w:t>Všechna práva k výsledkům řešení projektu patří ve smyslu ust. § 16 odst. 3 zákona</w:t>
      </w:r>
    </w:p>
    <w:p w:rsidR="00EA03ED" w:rsidRDefault="00123CF9">
      <w:pPr>
        <w:pStyle w:val="Zkladntext"/>
        <w:spacing w:after="120"/>
        <w:ind w:left="680"/>
        <w:jc w:val="both"/>
      </w:pPr>
      <w:r>
        <w:rPr>
          <w:rStyle w:val="ZkladntextChar"/>
        </w:rPr>
        <w:t>o podpoře výzkumu, experimentálního vývoje a inovací příjemci podpory a dalšímu účastníku projektu.</w:t>
      </w:r>
    </w:p>
    <w:p w:rsidR="00EA03ED" w:rsidRDefault="00123CF9">
      <w:pPr>
        <w:pStyle w:val="Zkladntext"/>
        <w:numPr>
          <w:ilvl w:val="0"/>
          <w:numId w:val="7"/>
        </w:numPr>
        <w:tabs>
          <w:tab w:val="left" w:pos="671"/>
        </w:tabs>
        <w:spacing w:after="0"/>
        <w:ind w:firstLine="0"/>
        <w:jc w:val="both"/>
      </w:pPr>
      <w:r>
        <w:rPr>
          <w:rStyle w:val="ZkladntextChar"/>
        </w:rPr>
        <w:t>Smluvní str</w:t>
      </w:r>
      <w:r>
        <w:rPr>
          <w:rStyle w:val="ZkladntextChar"/>
        </w:rPr>
        <w:t>any jsou povinny zajistit si vůči nositelům chráněných práv duševního</w:t>
      </w:r>
    </w:p>
    <w:p w:rsidR="00EA03ED" w:rsidRDefault="00123CF9">
      <w:pPr>
        <w:pStyle w:val="Zkladntext"/>
        <w:spacing w:after="120"/>
        <w:ind w:left="680"/>
        <w:jc w:val="both"/>
      </w:pPr>
      <w:r>
        <w:rPr>
          <w:rStyle w:val="ZkladntextChar"/>
        </w:rPr>
        <w:t>vlastnictví vzniklých v souvislosti s realizací části projektu možnost volného nakládání s těmito právy (zejména řádně a včas uplatnit vůči původci právo na zaměstnanecký vynález nebo už</w:t>
      </w:r>
      <w:r>
        <w:rPr>
          <w:rStyle w:val="ZkladntextChar"/>
        </w:rPr>
        <w:t>itný vzor, popřípadě se vypořádat s původci a autory smluvně). Každá Smluvní strana je zodpovědná za vypořádání nároků autorů a původců na své straně tak, aby veškerá majetková práva vykonávala GEMA a VŠCHT Praha. V případě chráněného výsledku řešení proje</w:t>
      </w:r>
      <w:r>
        <w:rPr>
          <w:rStyle w:val="ZkladntextChar"/>
        </w:rPr>
        <w:t xml:space="preserve">ktu typu užitný vzor, zavazuje se GEMA a VŠCHT Praha přijmout taková opatření v souladu s platnou právní úpravou a smluvně vypořádat veškeré uplatněné nároky jejich autorů/původců, aby GEMA a VŠCHT Praha mohli vystupovat jako výluční vlastníci těchto práv </w:t>
      </w:r>
      <w:r>
        <w:rPr>
          <w:rStyle w:val="ZkladntextChar"/>
        </w:rPr>
        <w:t>duševního vlastnictví.</w:t>
      </w:r>
    </w:p>
    <w:p w:rsidR="00EA03ED" w:rsidRDefault="00123CF9">
      <w:pPr>
        <w:pStyle w:val="Zkladntext"/>
        <w:numPr>
          <w:ilvl w:val="0"/>
          <w:numId w:val="7"/>
        </w:numPr>
        <w:tabs>
          <w:tab w:val="left" w:pos="671"/>
        </w:tabs>
        <w:spacing w:after="0"/>
        <w:ind w:firstLine="0"/>
        <w:jc w:val="both"/>
      </w:pPr>
      <w:r>
        <w:rPr>
          <w:rStyle w:val="ZkladntextChar"/>
        </w:rPr>
        <w:t>Postoupí-li GEMA nebo VŠCHT Praha majetková práva k poznatkům třetím osobám,</w:t>
      </w:r>
    </w:p>
    <w:p w:rsidR="00EA03ED" w:rsidRDefault="00123CF9">
      <w:pPr>
        <w:pStyle w:val="Zkladntext"/>
        <w:spacing w:after="120"/>
        <w:ind w:left="680"/>
        <w:jc w:val="both"/>
      </w:pPr>
      <w:r>
        <w:rPr>
          <w:rStyle w:val="ZkladntextChar"/>
        </w:rPr>
        <w:t xml:space="preserve">zajistí odpovídajícími opatřeními nebo smlouvami, aby byly splněny povinnosti vyplývající z ustanovení § 16 zákona o podpoře výzkumu, experimentálního </w:t>
      </w:r>
      <w:r>
        <w:rPr>
          <w:rStyle w:val="ZkladntextChar"/>
        </w:rPr>
        <w:t>vývoje a inovací. a této Smlouvy.</w:t>
      </w:r>
    </w:p>
    <w:p w:rsidR="00EA03ED" w:rsidRDefault="00123CF9">
      <w:pPr>
        <w:pStyle w:val="Zkladntext"/>
        <w:numPr>
          <w:ilvl w:val="0"/>
          <w:numId w:val="7"/>
        </w:numPr>
        <w:tabs>
          <w:tab w:val="left" w:pos="671"/>
        </w:tabs>
        <w:spacing w:after="380"/>
        <w:ind w:firstLine="0"/>
      </w:pPr>
      <w:r>
        <w:rPr>
          <w:rStyle w:val="ZkladntextChar"/>
        </w:rPr>
        <w:t>Vlastnická práva k výsledkům projektu jsou stanovena následovně:</w:t>
      </w:r>
    </w:p>
    <w:p w:rsidR="00EA03ED" w:rsidRDefault="00123CF9">
      <w:pPr>
        <w:pStyle w:val="Zkladntext"/>
        <w:spacing w:after="260"/>
        <w:ind w:firstLine="680"/>
        <w:jc w:val="both"/>
      </w:pPr>
      <w:r>
        <w:rPr>
          <w:rStyle w:val="ZkladntextChar"/>
          <w:b/>
          <w:bCs/>
        </w:rPr>
        <w:t xml:space="preserve">Výsledek 1: </w:t>
      </w:r>
      <w:r>
        <w:rPr>
          <w:rStyle w:val="ZkladntextChar"/>
        </w:rPr>
        <w:t>GEMA - 0 %, VŠCHT - 100 %.</w:t>
      </w:r>
    </w:p>
    <w:p w:rsidR="00EA03ED" w:rsidRDefault="00123CF9">
      <w:pPr>
        <w:pStyle w:val="Zkladntext"/>
        <w:spacing w:after="260"/>
        <w:ind w:firstLine="680"/>
        <w:jc w:val="both"/>
      </w:pPr>
      <w:r>
        <w:rPr>
          <w:rStyle w:val="ZkladntextChar"/>
          <w:b/>
          <w:bCs/>
        </w:rPr>
        <w:t xml:space="preserve">Výsledek 2: </w:t>
      </w:r>
      <w:r>
        <w:rPr>
          <w:rStyle w:val="ZkladntextChar"/>
        </w:rPr>
        <w:t>GEMA - 90 %, VŠCHT - 10 %.</w:t>
      </w:r>
    </w:p>
    <w:p w:rsidR="00EA03ED" w:rsidRDefault="00123CF9">
      <w:pPr>
        <w:pStyle w:val="Zkladntext"/>
        <w:spacing w:after="260"/>
        <w:ind w:firstLine="680"/>
        <w:jc w:val="both"/>
      </w:pPr>
      <w:r>
        <w:rPr>
          <w:rStyle w:val="ZkladntextChar"/>
          <w:b/>
          <w:bCs/>
        </w:rPr>
        <w:t xml:space="preserve">Výsledek 3: </w:t>
      </w:r>
      <w:r>
        <w:rPr>
          <w:rStyle w:val="ZkladntextChar"/>
        </w:rPr>
        <w:t>GEMA - 0 %, VŠCHT - 100 %.</w:t>
      </w:r>
    </w:p>
    <w:p w:rsidR="00EA03ED" w:rsidRDefault="00123CF9">
      <w:pPr>
        <w:pStyle w:val="Zkladntext"/>
        <w:spacing w:after="260"/>
        <w:ind w:firstLine="680"/>
        <w:jc w:val="both"/>
      </w:pPr>
      <w:r>
        <w:rPr>
          <w:rStyle w:val="ZkladntextChar"/>
          <w:b/>
          <w:bCs/>
        </w:rPr>
        <w:t xml:space="preserve">Výsledek 4: </w:t>
      </w:r>
      <w:r>
        <w:rPr>
          <w:rStyle w:val="ZkladntextChar"/>
        </w:rPr>
        <w:t>GEMA - 20 %, VŠCHT - 80 %.</w:t>
      </w:r>
    </w:p>
    <w:p w:rsidR="00EA03ED" w:rsidRDefault="00123CF9">
      <w:pPr>
        <w:pStyle w:val="Zkladntext"/>
        <w:spacing w:after="260"/>
        <w:ind w:firstLine="680"/>
        <w:jc w:val="both"/>
      </w:pPr>
      <w:r>
        <w:rPr>
          <w:rStyle w:val="ZkladntextChar"/>
          <w:b/>
          <w:bCs/>
        </w:rPr>
        <w:t>V</w:t>
      </w:r>
      <w:r>
        <w:rPr>
          <w:rStyle w:val="ZkladntextChar"/>
          <w:b/>
          <w:bCs/>
        </w:rPr>
        <w:t xml:space="preserve">ýsledek 5: </w:t>
      </w:r>
      <w:r>
        <w:rPr>
          <w:rStyle w:val="ZkladntextChar"/>
        </w:rPr>
        <w:t>GEMA - 70 %, VŠCHT - 30 %.</w:t>
      </w:r>
    </w:p>
    <w:p w:rsidR="00EA03ED" w:rsidRDefault="00123CF9">
      <w:pPr>
        <w:pStyle w:val="Zkladntext"/>
        <w:spacing w:after="380"/>
        <w:ind w:firstLine="680"/>
        <w:jc w:val="both"/>
      </w:pPr>
      <w:r>
        <w:rPr>
          <w:rStyle w:val="ZkladntextChar"/>
          <w:b/>
          <w:bCs/>
        </w:rPr>
        <w:t xml:space="preserve">Výsledek 6: </w:t>
      </w:r>
      <w:r>
        <w:rPr>
          <w:rStyle w:val="ZkladntextChar"/>
        </w:rPr>
        <w:t>GEMA - 85 %, VŠCHT - 15 %.</w:t>
      </w:r>
    </w:p>
    <w:p w:rsidR="00EA03ED" w:rsidRDefault="00123CF9">
      <w:pPr>
        <w:pStyle w:val="Zkladntext"/>
        <w:numPr>
          <w:ilvl w:val="0"/>
          <w:numId w:val="7"/>
        </w:numPr>
        <w:tabs>
          <w:tab w:val="left" w:pos="671"/>
        </w:tabs>
        <w:spacing w:after="0"/>
        <w:ind w:firstLine="0"/>
        <w:jc w:val="both"/>
      </w:pPr>
      <w:r>
        <w:rPr>
          <w:rStyle w:val="ZkladntextChar"/>
        </w:rPr>
        <w:t>VŠCHT Praha si ponechá právo dále rozvíjet vědeckovýzkumnou činnost týkající se</w:t>
      </w:r>
    </w:p>
    <w:p w:rsidR="00EA03ED" w:rsidRDefault="00123CF9">
      <w:pPr>
        <w:pStyle w:val="Zkladntext"/>
        <w:spacing w:after="260"/>
        <w:ind w:left="680"/>
        <w:jc w:val="both"/>
      </w:pPr>
      <w:r>
        <w:rPr>
          <w:rStyle w:val="ZkladntextChar"/>
        </w:rPr>
        <w:t>Výsledku 1-6 a používat Výsledek 1-6 a jakoukoli jeho část pro nekomerční výzkumné účely podle vlas</w:t>
      </w:r>
      <w:r>
        <w:rPr>
          <w:rStyle w:val="ZkladntextChar"/>
        </w:rPr>
        <w:t>tního uvážení, jakož i pro vzdělávací a publikační účely (s výhradou zvláštního postupu utajení a postupu před zveřejněním dle této Smlouvy). GEMA udělí VŠCHT Praha nevýhradní nekomerční licenci na veškeré výsledky, údaje a vynálezy</w:t>
      </w:r>
    </w:p>
    <w:p w:rsidR="00EA03ED" w:rsidRDefault="00123CF9">
      <w:pPr>
        <w:pStyle w:val="Zkladntext"/>
        <w:spacing w:after="120"/>
        <w:ind w:left="680"/>
        <w:jc w:val="both"/>
      </w:pPr>
      <w:r>
        <w:rPr>
          <w:rStyle w:val="ZkladntextChar"/>
        </w:rPr>
        <w:t>získané na základě jaké</w:t>
      </w:r>
      <w:r>
        <w:rPr>
          <w:rStyle w:val="ZkladntextChar"/>
        </w:rPr>
        <w:t>hokoli hodnocení a použití technologie Výsledku 1-6, resp. těch, ke kterým má GEMA majetkový podíl popř. jiná práva, společností GEMA nebo kteroukoli z jejích přidružených společností nebo držitelů sublicencí.</w:t>
      </w:r>
    </w:p>
    <w:p w:rsidR="00EA03ED" w:rsidRDefault="00123CF9">
      <w:pPr>
        <w:pStyle w:val="Zkladntext"/>
        <w:numPr>
          <w:ilvl w:val="0"/>
          <w:numId w:val="7"/>
        </w:numPr>
        <w:tabs>
          <w:tab w:val="left" w:pos="672"/>
        </w:tabs>
        <w:spacing w:after="0" w:line="262" w:lineRule="auto"/>
        <w:ind w:firstLine="0"/>
        <w:jc w:val="both"/>
      </w:pPr>
      <w:r>
        <w:rPr>
          <w:rStyle w:val="ZkladntextChar"/>
        </w:rPr>
        <w:t>Smluvní strana, která má v úmyslu provést zveř</w:t>
      </w:r>
      <w:r>
        <w:rPr>
          <w:rStyle w:val="ZkladntextChar"/>
        </w:rPr>
        <w:t>ejnění Publikace, poskytne druhé Smluvní</w:t>
      </w:r>
    </w:p>
    <w:p w:rsidR="00EA03ED" w:rsidRDefault="00123CF9">
      <w:pPr>
        <w:pStyle w:val="Zkladntext"/>
        <w:spacing w:after="540"/>
        <w:ind w:left="680"/>
        <w:jc w:val="both"/>
      </w:pPr>
      <w:r>
        <w:rPr>
          <w:rStyle w:val="ZkladntextChar"/>
        </w:rPr>
        <w:t>straně písemné shrnutí jakéhokoli navrhovaného ústního zveřejnění nebo úplný rukopis jakékoli navrhované publikace šedesát (60) dnů před navrhovaným zveřejněním nebo publikací a druhá Smluvní strana odpoví do patnác</w:t>
      </w:r>
      <w:r>
        <w:rPr>
          <w:rStyle w:val="ZkladntextChar"/>
        </w:rPr>
        <w:t xml:space="preserve">ti (15) dnů od obdržení takového shrnutí </w:t>
      </w:r>
      <w:r>
        <w:rPr>
          <w:rStyle w:val="ZkladntextChar"/>
        </w:rPr>
        <w:lastRenderedPageBreak/>
        <w:t>nebo rukopisu, zda lze zveřejnění nebo publikaci provést se změnami nebo vynecháním nebo bez nich a zda tato Smluvní strana požaduje odklad zveřejnění nebo publikace. Není-li do třiceti (30) dnů od obdržení uvedenéh</w:t>
      </w:r>
      <w:r>
        <w:rPr>
          <w:rStyle w:val="ZkladntextChar"/>
        </w:rPr>
        <w:t>o shrnutí nebo rukopisu doručena žádná připomínka k zamýšlenému zveřejnění nebo prezentaci, může Smluvní strana, která hodlá zveřejnění provést, v zamýšleném zveřejnění nebo prezentaci pokračovat. GEMA se zavazuje pravidelně informovat VŠCHT Praha o postup</w:t>
      </w:r>
      <w:r>
        <w:rPr>
          <w:rStyle w:val="ZkladntextChar"/>
        </w:rPr>
        <w:t>u komercializace a dalších zásadních milnících, a to alespoň podáním zprávy o činnosti každých šest (6) měsíců.</w:t>
      </w:r>
    </w:p>
    <w:p w:rsidR="00EA03ED" w:rsidRDefault="00EA03ED">
      <w:pPr>
        <w:pStyle w:val="Zkladntext"/>
        <w:numPr>
          <w:ilvl w:val="0"/>
          <w:numId w:val="2"/>
        </w:numPr>
        <w:spacing w:after="0"/>
        <w:ind w:firstLine="0"/>
        <w:jc w:val="center"/>
      </w:pPr>
    </w:p>
    <w:p w:rsidR="00EA03ED" w:rsidRDefault="00123CF9">
      <w:pPr>
        <w:pStyle w:val="Heading30"/>
        <w:keepNext/>
        <w:keepLines/>
        <w:spacing w:after="320"/>
      </w:pPr>
      <w:bookmarkStart w:id="8" w:name="bookmark17"/>
      <w:r>
        <w:rPr>
          <w:rStyle w:val="Heading3"/>
          <w:b/>
          <w:bCs/>
        </w:rPr>
        <w:t>Plán komercializace</w:t>
      </w:r>
      <w:bookmarkEnd w:id="8"/>
    </w:p>
    <w:p w:rsidR="00EA03ED" w:rsidRDefault="00123CF9">
      <w:pPr>
        <w:pStyle w:val="Zkladntext"/>
        <w:numPr>
          <w:ilvl w:val="0"/>
          <w:numId w:val="8"/>
        </w:numPr>
        <w:tabs>
          <w:tab w:val="left" w:pos="672"/>
        </w:tabs>
        <w:spacing w:after="0" w:line="262" w:lineRule="auto"/>
        <w:ind w:firstLine="0"/>
        <w:jc w:val="both"/>
      </w:pPr>
      <w:r>
        <w:rPr>
          <w:rStyle w:val="ZkladntextChar"/>
        </w:rPr>
        <w:t xml:space="preserve">Po celou dobu platnosti této </w:t>
      </w:r>
      <w:r>
        <w:rPr>
          <w:rStyle w:val="ZkladntextChar"/>
          <w:sz w:val="28"/>
          <w:szCs w:val="28"/>
        </w:rPr>
        <w:t>S</w:t>
      </w:r>
      <w:r>
        <w:rPr>
          <w:rStyle w:val="ZkladntextChar"/>
        </w:rPr>
        <w:t>mlouvy vynaloží GEMA veškeré komerčně přiměřené úsilí</w:t>
      </w:r>
    </w:p>
    <w:p w:rsidR="00EA03ED" w:rsidRDefault="00123CF9">
      <w:pPr>
        <w:pStyle w:val="Zkladntext"/>
        <w:spacing w:after="280"/>
        <w:ind w:firstLine="680"/>
        <w:jc w:val="both"/>
      </w:pPr>
      <w:r>
        <w:rPr>
          <w:rStyle w:val="ZkladntextChar"/>
        </w:rPr>
        <w:t>k provedení prací a závazků v souladu s</w:t>
      </w:r>
      <w:r>
        <w:rPr>
          <w:rStyle w:val="ZkladntextChar"/>
        </w:rPr>
        <w:t xml:space="preserve"> podmínkami této Smlouvy</w:t>
      </w:r>
    </w:p>
    <w:p w:rsidR="00EA03ED" w:rsidRDefault="00EA03ED">
      <w:pPr>
        <w:pStyle w:val="Zkladntext"/>
        <w:numPr>
          <w:ilvl w:val="0"/>
          <w:numId w:val="2"/>
        </w:numPr>
        <w:spacing w:after="0"/>
        <w:ind w:firstLine="0"/>
        <w:jc w:val="center"/>
      </w:pPr>
    </w:p>
    <w:p w:rsidR="00EA03ED" w:rsidRDefault="00123CF9">
      <w:pPr>
        <w:pStyle w:val="Heading30"/>
        <w:keepNext/>
        <w:keepLines/>
        <w:spacing w:after="280"/>
      </w:pPr>
      <w:bookmarkStart w:id="9" w:name="bookmark19"/>
      <w:r>
        <w:rPr>
          <w:rStyle w:val="Heading3"/>
          <w:b/>
          <w:bCs/>
        </w:rPr>
        <w:t>Způsob využití výsledků</w:t>
      </w:r>
      <w:bookmarkEnd w:id="9"/>
    </w:p>
    <w:p w:rsidR="00EA03ED" w:rsidRDefault="00123CF9">
      <w:pPr>
        <w:pStyle w:val="Zkladntext"/>
        <w:spacing w:after="280"/>
        <w:ind w:firstLine="0"/>
        <w:jc w:val="both"/>
      </w:pPr>
      <w:r>
        <w:rPr>
          <w:rStyle w:val="ZkladntextChar"/>
        </w:rPr>
        <w:t>Smluvní strany se na využití výsledků dohodly takto:</w:t>
      </w:r>
    </w:p>
    <w:p w:rsidR="00EA03ED" w:rsidRDefault="00123CF9">
      <w:pPr>
        <w:pStyle w:val="Zkladntext"/>
        <w:numPr>
          <w:ilvl w:val="0"/>
          <w:numId w:val="9"/>
        </w:numPr>
        <w:tabs>
          <w:tab w:val="left" w:pos="672"/>
        </w:tabs>
        <w:spacing w:after="0" w:line="262" w:lineRule="auto"/>
        <w:ind w:firstLine="0"/>
        <w:jc w:val="both"/>
      </w:pPr>
      <w:r>
        <w:rPr>
          <w:rStyle w:val="ZkladntextChar"/>
          <w:b/>
          <w:bCs/>
        </w:rPr>
        <w:t xml:space="preserve">Výsledek 1 </w:t>
      </w:r>
      <w:r>
        <w:rPr>
          <w:rStyle w:val="ZkladntextChar"/>
        </w:rPr>
        <w:t>- tento výsledek může využívat pro svoje vědecké a výzkumné potřeby a</w:t>
      </w:r>
    </w:p>
    <w:p w:rsidR="00EA03ED" w:rsidRDefault="00123CF9">
      <w:pPr>
        <w:pStyle w:val="Zkladntext"/>
        <w:spacing w:after="280"/>
        <w:ind w:left="680"/>
        <w:jc w:val="both"/>
      </w:pPr>
      <w:r>
        <w:rPr>
          <w:rStyle w:val="ZkladntextChar"/>
        </w:rPr>
        <w:t xml:space="preserve">potřeby výuky VŠCHT Praha bez omezení, jako výsledek projektu jej nesmí </w:t>
      </w:r>
      <w:r>
        <w:rPr>
          <w:rStyle w:val="ZkladntextChar"/>
        </w:rPr>
        <w:t>bez písemného souhlasu GEMA poskytnout třetí straně. GEMA není oprávněna bez písemného souhlasu VŠCHT Praha využívat výsledek pro žádné účely.</w:t>
      </w:r>
    </w:p>
    <w:p w:rsidR="00EA03ED" w:rsidRDefault="00123CF9">
      <w:pPr>
        <w:pStyle w:val="Zkladntext"/>
        <w:numPr>
          <w:ilvl w:val="0"/>
          <w:numId w:val="9"/>
        </w:numPr>
        <w:tabs>
          <w:tab w:val="left" w:pos="672"/>
        </w:tabs>
        <w:spacing w:after="0" w:line="264" w:lineRule="auto"/>
        <w:ind w:firstLine="0"/>
        <w:jc w:val="both"/>
      </w:pPr>
      <w:r>
        <w:rPr>
          <w:rStyle w:val="ZkladntextChar"/>
          <w:b/>
          <w:bCs/>
        </w:rPr>
        <w:t xml:space="preserve">Výsledek 2 </w:t>
      </w:r>
      <w:r>
        <w:rPr>
          <w:rStyle w:val="ZkladntextChar"/>
        </w:rPr>
        <w:t>- tento výsledek mohou využít obě Smluvní strany pro svoji interní potřebu</w:t>
      </w:r>
    </w:p>
    <w:p w:rsidR="00EA03ED" w:rsidRDefault="00123CF9">
      <w:pPr>
        <w:pStyle w:val="Zkladntext"/>
        <w:spacing w:after="280"/>
        <w:ind w:left="680"/>
        <w:jc w:val="both"/>
      </w:pPr>
      <w:r>
        <w:rPr>
          <w:rStyle w:val="ZkladntextChar"/>
        </w:rPr>
        <w:t>(např. marketingové aktivit</w:t>
      </w:r>
      <w:r>
        <w:rPr>
          <w:rStyle w:val="ZkladntextChar"/>
        </w:rPr>
        <w:t>y). Stejně tak informace o prototypu nesmí žádná Smluvní strana poskytnout třetí straně bez písemného souhlasu druhé Smluvní strany.</w:t>
      </w:r>
    </w:p>
    <w:p w:rsidR="00EA03ED" w:rsidRDefault="00123CF9">
      <w:pPr>
        <w:pStyle w:val="Zkladntext"/>
        <w:numPr>
          <w:ilvl w:val="0"/>
          <w:numId w:val="9"/>
        </w:numPr>
        <w:tabs>
          <w:tab w:val="left" w:pos="672"/>
        </w:tabs>
        <w:spacing w:after="0" w:line="264" w:lineRule="auto"/>
        <w:ind w:firstLine="0"/>
        <w:jc w:val="both"/>
      </w:pPr>
      <w:r>
        <w:rPr>
          <w:rStyle w:val="ZkladntextChar"/>
          <w:b/>
          <w:bCs/>
        </w:rPr>
        <w:t xml:space="preserve">Výsledek 3 </w:t>
      </w:r>
      <w:r>
        <w:rPr>
          <w:rStyle w:val="ZkladntextChar"/>
        </w:rPr>
        <w:t>- tento výsledek může využívat pro svoje potřeby a potřeby výuky VŠCHT</w:t>
      </w:r>
    </w:p>
    <w:p w:rsidR="00EA03ED" w:rsidRDefault="00123CF9">
      <w:pPr>
        <w:pStyle w:val="Zkladntext"/>
        <w:spacing w:after="280"/>
        <w:ind w:left="680"/>
        <w:jc w:val="both"/>
      </w:pPr>
      <w:r>
        <w:rPr>
          <w:rStyle w:val="ZkladntextChar"/>
        </w:rPr>
        <w:t>Praha bez omezení, jako výsledek projektu</w:t>
      </w:r>
      <w:r>
        <w:rPr>
          <w:rStyle w:val="ZkladntextChar"/>
        </w:rPr>
        <w:t xml:space="preserve"> jej nesmí bez písemného souhlasu GEMA poskytnout třetí straně. GEMA není oprávněna bez písemného souhlasu VŠCHT Praha využívat výsledek pro žádné účely. Součástí souhlasu bude dohoda na podmínkách využívání tohoto výsledku.</w:t>
      </w:r>
    </w:p>
    <w:p w:rsidR="00EA03ED" w:rsidRDefault="00123CF9">
      <w:pPr>
        <w:pStyle w:val="Zkladntext"/>
        <w:numPr>
          <w:ilvl w:val="0"/>
          <w:numId w:val="9"/>
        </w:numPr>
        <w:tabs>
          <w:tab w:val="left" w:pos="672"/>
        </w:tabs>
        <w:spacing w:after="0" w:line="262" w:lineRule="auto"/>
        <w:ind w:firstLine="0"/>
        <w:jc w:val="both"/>
      </w:pPr>
      <w:r>
        <w:rPr>
          <w:rStyle w:val="ZkladntextChar"/>
          <w:b/>
          <w:bCs/>
        </w:rPr>
        <w:t xml:space="preserve">Výsledek 4 </w:t>
      </w:r>
      <w:r>
        <w:rPr>
          <w:rStyle w:val="ZkladntextChar"/>
        </w:rPr>
        <w:t>- tento výsledek můž</w:t>
      </w:r>
      <w:r>
        <w:rPr>
          <w:rStyle w:val="ZkladntextChar"/>
        </w:rPr>
        <w:t>e využít VŠCHT Praha nebo GEMA pro výrobu senzorů,</w:t>
      </w:r>
    </w:p>
    <w:p w:rsidR="00EA03ED" w:rsidRDefault="00123CF9">
      <w:pPr>
        <w:pStyle w:val="Zkladntext"/>
        <w:spacing w:after="280"/>
        <w:ind w:left="680"/>
        <w:jc w:val="both"/>
      </w:pPr>
      <w:r>
        <w:rPr>
          <w:rStyle w:val="ZkladntextChar"/>
        </w:rPr>
        <w:t>které bude distribuovat GEMA s novými měřicími přístroji a jako spotřební materiál. Bez písemného souhlasu druhé Smluvní strany nesmí žádná Smluvní strana poskytnout výrobní know-how třetí straně. Licenční</w:t>
      </w:r>
      <w:r>
        <w:rPr>
          <w:rStyle w:val="ZkladntextChar"/>
        </w:rPr>
        <w:t xml:space="preserve"> poplatky pro jednotlivé Smluvní strany budou stanoveny na základě celkových ekonomických výstupů projektu s ohledem na ekonomiku výroby měřicích přístrojů, které jsou výstupem projektu.</w:t>
      </w:r>
    </w:p>
    <w:p w:rsidR="00EA03ED" w:rsidRDefault="00123CF9">
      <w:pPr>
        <w:pStyle w:val="Zkladntext"/>
        <w:numPr>
          <w:ilvl w:val="0"/>
          <w:numId w:val="9"/>
        </w:numPr>
        <w:tabs>
          <w:tab w:val="left" w:pos="670"/>
        </w:tabs>
        <w:spacing w:after="0"/>
        <w:ind w:firstLine="0"/>
        <w:jc w:val="both"/>
      </w:pPr>
      <w:r>
        <w:rPr>
          <w:rStyle w:val="ZkladntextChar"/>
          <w:b/>
          <w:bCs/>
        </w:rPr>
        <w:t xml:space="preserve">Výsledek 5 </w:t>
      </w:r>
      <w:r>
        <w:rPr>
          <w:rStyle w:val="ZkladntextChar"/>
        </w:rPr>
        <w:t>- tento výsledek může využít GEMA pro svoje další aktivity</w:t>
      </w:r>
      <w:r>
        <w:rPr>
          <w:rStyle w:val="ZkladntextChar"/>
        </w:rPr>
        <w:t xml:space="preserve"> bez omezení.</w:t>
      </w:r>
    </w:p>
    <w:p w:rsidR="00EA03ED" w:rsidRDefault="00123CF9">
      <w:pPr>
        <w:pStyle w:val="Zkladntext"/>
        <w:spacing w:after="260"/>
        <w:ind w:left="700" w:firstLine="0"/>
        <w:jc w:val="both"/>
      </w:pPr>
      <w:r>
        <w:rPr>
          <w:rStyle w:val="ZkladntextChar"/>
        </w:rPr>
        <w:t>Jako výsledek projektu jej nesmí žádná ze Smluvních stran bez písemného souhlasu druhé Smluvní strany, včetně stanovení podmínek pro poskytnutí, poskytnout třetí straně.</w:t>
      </w:r>
    </w:p>
    <w:p w:rsidR="00EA03ED" w:rsidRDefault="00123CF9">
      <w:pPr>
        <w:pStyle w:val="Zkladntext"/>
        <w:numPr>
          <w:ilvl w:val="0"/>
          <w:numId w:val="9"/>
        </w:numPr>
        <w:tabs>
          <w:tab w:val="left" w:pos="670"/>
        </w:tabs>
        <w:spacing w:after="0"/>
        <w:ind w:firstLine="0"/>
        <w:jc w:val="both"/>
      </w:pPr>
      <w:r>
        <w:rPr>
          <w:rStyle w:val="ZkladntextChar"/>
          <w:b/>
          <w:bCs/>
        </w:rPr>
        <w:t xml:space="preserve">Výsledek 6 </w:t>
      </w:r>
      <w:r>
        <w:rPr>
          <w:rStyle w:val="ZkladntextChar"/>
        </w:rPr>
        <w:t>- Smluvní strany se dohodly, že GEMA bude realizovat výrobu v</w:t>
      </w:r>
      <w:r>
        <w:rPr>
          <w:rStyle w:val="ZkladntextChar"/>
        </w:rPr>
        <w:t>yvinutých</w:t>
      </w:r>
    </w:p>
    <w:p w:rsidR="00EA03ED" w:rsidRDefault="00123CF9">
      <w:pPr>
        <w:pStyle w:val="Zkladntext"/>
        <w:spacing w:after="260"/>
        <w:ind w:firstLine="700"/>
        <w:jc w:val="both"/>
      </w:pPr>
      <w:r>
        <w:rPr>
          <w:rStyle w:val="ZkladntextChar"/>
        </w:rPr>
        <w:t>měřicích přístrojů za těchto podmínek:</w:t>
      </w:r>
    </w:p>
    <w:p w:rsidR="00EA03ED" w:rsidRDefault="00123CF9">
      <w:pPr>
        <w:pStyle w:val="Zkladntext"/>
        <w:numPr>
          <w:ilvl w:val="0"/>
          <w:numId w:val="10"/>
        </w:numPr>
        <w:tabs>
          <w:tab w:val="left" w:pos="1457"/>
        </w:tabs>
        <w:spacing w:after="0"/>
        <w:ind w:left="1460" w:hanging="360"/>
        <w:jc w:val="both"/>
      </w:pPr>
      <w:r>
        <w:rPr>
          <w:rStyle w:val="ZkladntextChar"/>
        </w:rPr>
        <w:t>VŠCHT Praha buď smluvně zajistí dodávky senzorů (Výsledek 3) vyvinutých v rámci Projektu za úplatu, přičemž cena bude stanovena na základě výsledků Projektu, nebo poskytne na základě licenční smlouvy technol</w:t>
      </w:r>
      <w:r>
        <w:rPr>
          <w:rStyle w:val="ZkladntextChar"/>
        </w:rPr>
        <w:t xml:space="preserve">ogii jejich výroby </w:t>
      </w:r>
      <w:r>
        <w:rPr>
          <w:rStyle w:val="ZkladntextChar"/>
        </w:rPr>
        <w:lastRenderedPageBreak/>
        <w:t>firmě GEMA. Výše licenčního poplatku bude stanovená na základě tržního potenciálu senzorů.</w:t>
      </w:r>
    </w:p>
    <w:p w:rsidR="00EA03ED" w:rsidRDefault="00123CF9">
      <w:pPr>
        <w:pStyle w:val="Zkladntext"/>
        <w:numPr>
          <w:ilvl w:val="0"/>
          <w:numId w:val="10"/>
        </w:numPr>
        <w:tabs>
          <w:tab w:val="left" w:pos="1457"/>
        </w:tabs>
        <w:spacing w:after="0" w:line="230" w:lineRule="auto"/>
        <w:ind w:left="1460" w:hanging="360"/>
        <w:jc w:val="both"/>
      </w:pPr>
      <w:r>
        <w:rPr>
          <w:rStyle w:val="ZkladntextChar"/>
        </w:rPr>
        <w:t>VŠCHT Praha obdrží za každý prodaný měřicí přístroj odměnu ve výši 40€ + 3 % z realizované prodejní ceny bez DPH.</w:t>
      </w:r>
    </w:p>
    <w:p w:rsidR="00EA03ED" w:rsidRDefault="00123CF9">
      <w:pPr>
        <w:pStyle w:val="Zkladntext"/>
        <w:numPr>
          <w:ilvl w:val="0"/>
          <w:numId w:val="10"/>
        </w:numPr>
        <w:tabs>
          <w:tab w:val="left" w:pos="1457"/>
        </w:tabs>
        <w:spacing w:after="0" w:line="230" w:lineRule="auto"/>
        <w:ind w:left="1460" w:hanging="360"/>
        <w:jc w:val="both"/>
      </w:pPr>
      <w:r>
        <w:rPr>
          <w:rStyle w:val="ZkladntextChar"/>
        </w:rPr>
        <w:t>GEMA se zavazuje k tomu účelu př</w:t>
      </w:r>
      <w:r>
        <w:rPr>
          <w:rStyle w:val="ZkladntextChar"/>
        </w:rPr>
        <w:t>eložit VŠCHT Praha přehled prodejů vždy do 31. 1. běžného roku, a to od roku 2024 do roku 2029.</w:t>
      </w:r>
    </w:p>
    <w:p w:rsidR="00EA03ED" w:rsidRDefault="00123CF9">
      <w:pPr>
        <w:pStyle w:val="Zkladntext"/>
        <w:numPr>
          <w:ilvl w:val="0"/>
          <w:numId w:val="10"/>
        </w:numPr>
        <w:tabs>
          <w:tab w:val="left" w:pos="1457"/>
        </w:tabs>
        <w:spacing w:after="0" w:line="230" w:lineRule="auto"/>
        <w:ind w:left="1460" w:hanging="360"/>
        <w:jc w:val="both"/>
      </w:pPr>
      <w:r>
        <w:rPr>
          <w:rStyle w:val="ZkladntextChar"/>
        </w:rPr>
        <w:t>VŠCHT Praha poskytne firmě GEMA expertní podporu na základě samostatné smlouvy za úplatu.</w:t>
      </w:r>
    </w:p>
    <w:p w:rsidR="00EA03ED" w:rsidRDefault="00123CF9">
      <w:pPr>
        <w:pStyle w:val="Zkladntext"/>
        <w:numPr>
          <w:ilvl w:val="0"/>
          <w:numId w:val="10"/>
        </w:numPr>
        <w:tabs>
          <w:tab w:val="left" w:pos="1457"/>
        </w:tabs>
        <w:spacing w:after="260" w:line="233" w:lineRule="auto"/>
        <w:ind w:left="1460" w:hanging="360"/>
        <w:jc w:val="both"/>
      </w:pPr>
      <w:r>
        <w:rPr>
          <w:rStyle w:val="ZkladntextChar"/>
        </w:rPr>
        <w:t xml:space="preserve">VŠCHT Praha se smluvně zaváže k pokračování vývoje měřicích senzorů a </w:t>
      </w:r>
      <w:r>
        <w:rPr>
          <w:rStyle w:val="ZkladntextChar"/>
        </w:rPr>
        <w:t>výzkumné spolupráci při inovacích měřicího přístroje v rámci dalších projektů financovaných z veřejných nebo soukromých zdrojů.</w:t>
      </w:r>
    </w:p>
    <w:p w:rsidR="00EA03ED" w:rsidRDefault="00123CF9">
      <w:pPr>
        <w:pStyle w:val="Zkladntext"/>
        <w:numPr>
          <w:ilvl w:val="0"/>
          <w:numId w:val="9"/>
        </w:numPr>
        <w:tabs>
          <w:tab w:val="left" w:pos="670"/>
        </w:tabs>
        <w:spacing w:after="0"/>
        <w:ind w:firstLine="0"/>
        <w:jc w:val="both"/>
      </w:pPr>
      <w:r>
        <w:rPr>
          <w:rStyle w:val="ZkladntextChar"/>
        </w:rPr>
        <w:t>GEMA vynaloží veškeré komerčně přiměřené úsilí na implementaci Výsledku 1-6,</w:t>
      </w:r>
    </w:p>
    <w:p w:rsidR="00EA03ED" w:rsidRDefault="00123CF9">
      <w:pPr>
        <w:pStyle w:val="Zkladntext"/>
        <w:spacing w:after="100"/>
        <w:ind w:left="700" w:firstLine="0"/>
        <w:jc w:val="both"/>
      </w:pPr>
      <w:r>
        <w:rPr>
          <w:rStyle w:val="ZkladntextChar"/>
        </w:rPr>
        <w:t>dosažení Prvního komerčního prodeje produktu do tří</w:t>
      </w:r>
      <w:r>
        <w:rPr>
          <w:rStyle w:val="ZkladntextChar"/>
        </w:rPr>
        <w:t xml:space="preserve"> (3) let od účinnosti </w:t>
      </w:r>
      <w:r>
        <w:rPr>
          <w:rStyle w:val="ZkladntextChar"/>
          <w:sz w:val="28"/>
          <w:szCs w:val="28"/>
        </w:rPr>
        <w:t>S</w:t>
      </w:r>
      <w:r>
        <w:rPr>
          <w:rStyle w:val="ZkladntextChar"/>
        </w:rPr>
        <w:t xml:space="preserve">mlouvy a dlouhodobou aktivní komercializaci Výsledku 1-6. V případě, že GEMA buď (a) do 3 let od ukončení projektu (tj. do 31. 12. 2026) (dále jen „lhůta od ukončení projektu“) nedosáhne roční prodej měřicích přístrojů minimálně 200 </w:t>
      </w:r>
      <w:r>
        <w:rPr>
          <w:rStyle w:val="ZkladntextChar"/>
        </w:rPr>
        <w:t>ks/rok za úplatu odpovídající tržní hodnotě, nebo (b) kdykoli po dosažení Prvního komerčního prodeje Výsledku 1-6 GEMA není schopna prodávat Výsledek 1-6 z důvodu změny priorit nebo nových strategií GEMA nebo z jakéhokoli jiného důvodu a tato nečinnost trv</w:t>
      </w:r>
      <w:r>
        <w:rPr>
          <w:rStyle w:val="ZkladntextChar"/>
        </w:rPr>
        <w:t>á déle než jeden (1) rok, pak:</w:t>
      </w:r>
    </w:p>
    <w:p w:rsidR="00EA03ED" w:rsidRDefault="00123CF9">
      <w:pPr>
        <w:pStyle w:val="Zkladntext"/>
        <w:numPr>
          <w:ilvl w:val="0"/>
          <w:numId w:val="11"/>
        </w:numPr>
        <w:tabs>
          <w:tab w:val="left" w:pos="1457"/>
        </w:tabs>
        <w:spacing w:after="100"/>
        <w:ind w:left="1460" w:hanging="360"/>
        <w:jc w:val="both"/>
      </w:pPr>
      <w:r>
        <w:rPr>
          <w:rStyle w:val="ZkladntextChar"/>
        </w:rPr>
        <w:t>GEMA to bezodkladně písemně oznámí VŠCHT Praha a poskytne příslušné informace a případně doklady na podporu žádosti o prodloužení lhůty od ukončení projektu; a</w:t>
      </w:r>
    </w:p>
    <w:p w:rsidR="00EA03ED" w:rsidRDefault="00123CF9">
      <w:pPr>
        <w:pStyle w:val="Zkladntext"/>
        <w:numPr>
          <w:ilvl w:val="0"/>
          <w:numId w:val="11"/>
        </w:numPr>
        <w:tabs>
          <w:tab w:val="left" w:pos="1457"/>
        </w:tabs>
        <w:spacing w:after="380"/>
        <w:ind w:left="1460" w:hanging="360"/>
        <w:jc w:val="both"/>
      </w:pPr>
      <w:r>
        <w:rPr>
          <w:rStyle w:val="ZkladntextChar"/>
        </w:rPr>
        <w:t xml:space="preserve">GEMA může podle vlastního uvážení požádat o prodloužení lhůty od </w:t>
      </w:r>
      <w:r>
        <w:rPr>
          <w:rStyle w:val="ZkladntextChar"/>
        </w:rPr>
        <w:t>ukončení projektu, avšak za předpokladu, že (i) GEMA nadále vynakládá veškeré komerčně přiměřené úsilí na plnění Plánu komercializace a/nebo na komercializaci Výsledku 1-6, nebo že zpoždění není způsobeno zaviněním GEMA; a (ii) GEMA poskytne příslušné info</w:t>
      </w:r>
      <w:r>
        <w:rPr>
          <w:rStyle w:val="ZkladntextChar"/>
        </w:rPr>
        <w:t>rmace a/nebo dokumenty na podporu žádosti o prodloužení; Smluvní strany se mohou písemně dohodnout na prodloužení lhůty od ukončení projektu, přičemž VŠCHT Praha nemá povinnost žádosti o prodloužení lhůty vyhovět.</w:t>
      </w:r>
    </w:p>
    <w:p w:rsidR="00EA03ED" w:rsidRDefault="00123CF9">
      <w:pPr>
        <w:pStyle w:val="Zkladntext"/>
        <w:numPr>
          <w:ilvl w:val="0"/>
          <w:numId w:val="9"/>
        </w:numPr>
        <w:tabs>
          <w:tab w:val="left" w:pos="670"/>
        </w:tabs>
        <w:spacing w:after="0"/>
        <w:ind w:firstLine="0"/>
        <w:jc w:val="both"/>
      </w:pPr>
      <w:r>
        <w:rPr>
          <w:rStyle w:val="ZkladntextChar"/>
        </w:rPr>
        <w:t>Pokud nedojde k prodloužení lhůty od ukonč</w:t>
      </w:r>
      <w:r>
        <w:rPr>
          <w:rStyle w:val="ZkladntextChar"/>
        </w:rPr>
        <w:t>ení projektu, práva GEMA o využití</w:t>
      </w:r>
    </w:p>
    <w:p w:rsidR="00EA03ED" w:rsidRDefault="00123CF9">
      <w:pPr>
        <w:pStyle w:val="Zkladntext"/>
        <w:spacing w:after="100"/>
        <w:ind w:left="700" w:firstLine="0"/>
        <w:jc w:val="both"/>
      </w:pPr>
      <w:r>
        <w:rPr>
          <w:rStyle w:val="ZkladntextChar"/>
        </w:rPr>
        <w:t xml:space="preserve">výsledků projektu dle této Smlouvy jsou ukončena a GEMA navrátí práva k využití výsledku VŠCHT Praha (dále jen „Navrácená práva“) bez jakýchkoli poplatků pro VŠCHT Praha a GEMA neprodleně vrátí všechna nashromážděná data </w:t>
      </w:r>
      <w:r>
        <w:rPr>
          <w:rStyle w:val="ZkladntextChar"/>
        </w:rPr>
        <w:t>vyplývající z Plánu komercializace, která zaplatila VŠCHT Praha. Při takovém navrácení podepíší strany „Dohodu o navrácení“, která stanoví navrácená práva a data vyplývající z Plánu komercializace.</w:t>
      </w:r>
    </w:p>
    <w:p w:rsidR="00EA03ED" w:rsidRDefault="00123CF9">
      <w:pPr>
        <w:pStyle w:val="Zkladntext"/>
        <w:numPr>
          <w:ilvl w:val="0"/>
          <w:numId w:val="9"/>
        </w:numPr>
        <w:tabs>
          <w:tab w:val="left" w:pos="676"/>
        </w:tabs>
        <w:spacing w:after="0"/>
        <w:ind w:firstLine="0"/>
        <w:jc w:val="both"/>
      </w:pPr>
      <w:r>
        <w:rPr>
          <w:rStyle w:val="ZkladntextChar"/>
        </w:rPr>
        <w:t>GEMA se dále v případě neprodloužení lhůty od ukončení pro</w:t>
      </w:r>
      <w:r>
        <w:rPr>
          <w:rStyle w:val="ZkladntextChar"/>
        </w:rPr>
        <w:t>jektu zavazuje umožnit</w:t>
      </w:r>
    </w:p>
    <w:p w:rsidR="00EA03ED" w:rsidRDefault="00123CF9">
      <w:pPr>
        <w:pStyle w:val="Zkladntext"/>
        <w:spacing w:after="280"/>
        <w:ind w:left="680"/>
        <w:jc w:val="both"/>
      </w:pPr>
      <w:r>
        <w:rPr>
          <w:rStyle w:val="ZkladntextChar"/>
        </w:rPr>
        <w:t xml:space="preserve">převod marketingových, obchodních a dalších aktivit souvisejících s komercializací a případně i výroby zařízení třetí straně na základě licenční smlouvy, smluv o využití výsledků či jiných smluv. Třetí strana bude vybrána na základě </w:t>
      </w:r>
      <w:r>
        <w:rPr>
          <w:rStyle w:val="ZkladntextChar"/>
        </w:rPr>
        <w:t>dohody Smluvních stran. Práva duševního vlastnictví a smluvní licenční poplatky VŠCHT Praha nebudou převodem dotčena. GEMA se nadto zavazuje podporovat flexibilní modely komercializace, včetně, ale nejen, založení spin-off společnosti nebo jiné formy partn</w:t>
      </w:r>
      <w:r>
        <w:rPr>
          <w:rStyle w:val="ZkladntextChar"/>
        </w:rPr>
        <w:t>erství, která ponechávají prostor pro adaptabilitu a růst. Bude-li GEMA bránit uzavření licenční smlouvy, smlouvy o využití výsledku či jiných potřebných smluv či neposkytne nezbytnou součinnost, sjednává se smluvní pokuta ve výši 100 000 Kč za každý přípa</w:t>
      </w:r>
      <w:r>
        <w:rPr>
          <w:rStyle w:val="ZkladntextChar"/>
        </w:rPr>
        <w:t>d porušení. Náhrada škody tímto ustanovením není dotčena. Smluvní pokuta je splatná na účet druhé Smluvní strany uvedený v čl. I Smlouvy.</w:t>
      </w:r>
    </w:p>
    <w:p w:rsidR="00EA03ED" w:rsidRDefault="00123CF9">
      <w:pPr>
        <w:pStyle w:val="Zkladntext"/>
        <w:numPr>
          <w:ilvl w:val="0"/>
          <w:numId w:val="9"/>
        </w:numPr>
        <w:tabs>
          <w:tab w:val="left" w:pos="676"/>
        </w:tabs>
        <w:spacing w:after="280"/>
        <w:ind w:left="680" w:hanging="680"/>
        <w:jc w:val="both"/>
      </w:pPr>
      <w:r>
        <w:rPr>
          <w:rStyle w:val="ZkladntextChar"/>
        </w:rPr>
        <w:t>Příjmy z užívání řešení plynoucí z takových licenčních smluv, smluv o využití výsledku či jiných smluv s třetími stran</w:t>
      </w:r>
      <w:r>
        <w:rPr>
          <w:rStyle w:val="ZkladntextChar"/>
        </w:rPr>
        <w:t>ami budou rozdělovány mezi VŠCHT Praha a GEMA v poměru spoluvlastnických podílů.</w:t>
      </w:r>
    </w:p>
    <w:p w:rsidR="00EA03ED" w:rsidRDefault="00123CF9">
      <w:pPr>
        <w:pStyle w:val="Zkladntext"/>
        <w:numPr>
          <w:ilvl w:val="0"/>
          <w:numId w:val="9"/>
        </w:numPr>
        <w:tabs>
          <w:tab w:val="left" w:pos="676"/>
        </w:tabs>
        <w:spacing w:after="480" w:line="252" w:lineRule="auto"/>
        <w:ind w:left="680" w:hanging="680"/>
        <w:jc w:val="both"/>
      </w:pPr>
      <w:r>
        <w:rPr>
          <w:rStyle w:val="ZkladntextChar"/>
        </w:rPr>
        <w:t>Poskytovatel dotace pro projekt je oprávněn kontrolovat průběh plnění schváleného implementačního plánu výsledků.</w:t>
      </w:r>
    </w:p>
    <w:p w:rsidR="00EA03ED" w:rsidRDefault="00EA03ED">
      <w:pPr>
        <w:pStyle w:val="Heading30"/>
        <w:keepNext/>
        <w:keepLines/>
        <w:numPr>
          <w:ilvl w:val="0"/>
          <w:numId w:val="2"/>
        </w:numPr>
        <w:spacing w:after="0"/>
        <w:ind w:left="4700"/>
        <w:jc w:val="both"/>
      </w:pPr>
      <w:bookmarkStart w:id="10" w:name="bookmark21"/>
      <w:bookmarkEnd w:id="10"/>
    </w:p>
    <w:p w:rsidR="00EA03ED" w:rsidRDefault="00123CF9">
      <w:pPr>
        <w:pStyle w:val="Heading30"/>
        <w:keepNext/>
        <w:keepLines/>
        <w:spacing w:after="280"/>
      </w:pPr>
      <w:bookmarkStart w:id="11" w:name="bookmark23"/>
      <w:r>
        <w:rPr>
          <w:rStyle w:val="Heading3"/>
          <w:b/>
          <w:bCs/>
        </w:rPr>
        <w:t>Smluvní sankce</w:t>
      </w:r>
      <w:bookmarkEnd w:id="11"/>
    </w:p>
    <w:p w:rsidR="00EA03ED" w:rsidRDefault="00123CF9">
      <w:pPr>
        <w:pStyle w:val="Zkladntext"/>
        <w:numPr>
          <w:ilvl w:val="0"/>
          <w:numId w:val="12"/>
        </w:numPr>
        <w:tabs>
          <w:tab w:val="left" w:pos="676"/>
        </w:tabs>
        <w:spacing w:after="0" w:line="206" w:lineRule="auto"/>
        <w:ind w:firstLine="0"/>
        <w:jc w:val="both"/>
      </w:pPr>
      <w:r>
        <w:rPr>
          <w:rStyle w:val="ZkladntextChar"/>
        </w:rPr>
        <w:t xml:space="preserve">Každé vážné porušení této Smlouvy po dobu její platnosti, má za následek právo </w:t>
      </w:r>
      <w:r>
        <w:rPr>
          <w:rStyle w:val="ZkladntextChar"/>
          <w:sz w:val="28"/>
          <w:szCs w:val="28"/>
        </w:rPr>
        <w:t>s</w:t>
      </w:r>
      <w:r>
        <w:rPr>
          <w:rStyle w:val="ZkladntextChar"/>
        </w:rPr>
        <w:t>mluvní</w:t>
      </w:r>
    </w:p>
    <w:p w:rsidR="00EA03ED" w:rsidRDefault="00123CF9">
      <w:pPr>
        <w:pStyle w:val="Zkladntext"/>
        <w:spacing w:after="120"/>
        <w:ind w:left="680"/>
        <w:jc w:val="both"/>
      </w:pPr>
      <w:r>
        <w:rPr>
          <w:rStyle w:val="ZkladntextChar"/>
        </w:rPr>
        <w:t>strany, která se porušení nedopustila, účtovat druhé Smluvní straně, která se takového porušení dopustila/dopouští smluvní pokutu ve výši 100 000 Kč za každé porušení té</w:t>
      </w:r>
      <w:r>
        <w:rPr>
          <w:rStyle w:val="ZkladntextChar"/>
        </w:rPr>
        <w:t>to Smlouvy, a to i opakovaně. Vážným porušením této Smlouvy je porušení povinností stanovených čl. IV., čl. V. odst. 1-5 a čl. VII. této Smlouvy.</w:t>
      </w:r>
    </w:p>
    <w:p w:rsidR="00EA03ED" w:rsidRDefault="00123CF9">
      <w:pPr>
        <w:pStyle w:val="Zkladntext"/>
        <w:numPr>
          <w:ilvl w:val="0"/>
          <w:numId w:val="12"/>
        </w:numPr>
        <w:tabs>
          <w:tab w:val="left" w:pos="676"/>
        </w:tabs>
        <w:spacing w:after="0"/>
        <w:ind w:firstLine="0"/>
        <w:jc w:val="both"/>
      </w:pPr>
      <w:r>
        <w:rPr>
          <w:rStyle w:val="ZkladntextChar"/>
        </w:rPr>
        <w:t>Zaplacením smluvní pokuty není dotčeno právo poškozené Smluvní strany na náhradu</w:t>
      </w:r>
    </w:p>
    <w:p w:rsidR="00EA03ED" w:rsidRDefault="00123CF9">
      <w:pPr>
        <w:pStyle w:val="Zkladntext"/>
        <w:spacing w:after="380"/>
        <w:ind w:firstLine="680"/>
        <w:jc w:val="both"/>
      </w:pPr>
      <w:r>
        <w:rPr>
          <w:rStyle w:val="ZkladntextChar"/>
        </w:rPr>
        <w:t>škody.</w:t>
      </w:r>
    </w:p>
    <w:p w:rsidR="00EA03ED" w:rsidRDefault="00EA03ED">
      <w:pPr>
        <w:pStyle w:val="Heading30"/>
        <w:keepNext/>
        <w:keepLines/>
        <w:numPr>
          <w:ilvl w:val="0"/>
          <w:numId w:val="2"/>
        </w:numPr>
        <w:spacing w:after="0"/>
        <w:ind w:left="4800"/>
        <w:jc w:val="both"/>
      </w:pPr>
      <w:bookmarkStart w:id="12" w:name="bookmark25"/>
      <w:bookmarkEnd w:id="12"/>
    </w:p>
    <w:p w:rsidR="00EA03ED" w:rsidRDefault="00123CF9">
      <w:pPr>
        <w:pStyle w:val="Heading30"/>
        <w:keepNext/>
        <w:keepLines/>
        <w:spacing w:after="280"/>
      </w:pPr>
      <w:bookmarkStart w:id="13" w:name="bookmark27"/>
      <w:r>
        <w:rPr>
          <w:rStyle w:val="Heading3"/>
          <w:b/>
          <w:bCs/>
        </w:rPr>
        <w:t>Rozsah stupně důvěrno</w:t>
      </w:r>
      <w:r>
        <w:rPr>
          <w:rStyle w:val="Heading3"/>
          <w:b/>
          <w:bCs/>
        </w:rPr>
        <w:t>sti údajů</w:t>
      </w:r>
      <w:bookmarkEnd w:id="13"/>
    </w:p>
    <w:p w:rsidR="00EA03ED" w:rsidRDefault="00123CF9">
      <w:pPr>
        <w:pStyle w:val="Zkladntext"/>
        <w:numPr>
          <w:ilvl w:val="0"/>
          <w:numId w:val="13"/>
        </w:numPr>
        <w:tabs>
          <w:tab w:val="left" w:pos="676"/>
        </w:tabs>
        <w:spacing w:after="0"/>
        <w:ind w:firstLine="0"/>
        <w:jc w:val="both"/>
      </w:pPr>
      <w:r>
        <w:rPr>
          <w:rStyle w:val="ZkladntextChar"/>
        </w:rPr>
        <w:t>Smluvní strany se dohodly na tom, že informace, dokumentace a výsledky práce, předané</w:t>
      </w:r>
    </w:p>
    <w:p w:rsidR="00EA03ED" w:rsidRDefault="00123CF9">
      <w:pPr>
        <w:pStyle w:val="Zkladntext"/>
        <w:spacing w:after="120"/>
        <w:ind w:left="680"/>
        <w:jc w:val="both"/>
      </w:pPr>
      <w:r>
        <w:rPr>
          <w:rStyle w:val="ZkladntextChar"/>
        </w:rPr>
        <w:t>a vzniklé v souvislosti s řešením, budou pokládány za důvěrné a nebudou bez souhlasu všech Smluvních stran poskytnuty třetí straně. Toto ustanovení neplatí ve v</w:t>
      </w:r>
      <w:r>
        <w:rPr>
          <w:rStyle w:val="ZkladntextChar"/>
        </w:rPr>
        <w:t>ztahu k Poskytovateli.</w:t>
      </w:r>
    </w:p>
    <w:p w:rsidR="00EA03ED" w:rsidRDefault="00123CF9">
      <w:pPr>
        <w:pStyle w:val="Zkladntext"/>
        <w:numPr>
          <w:ilvl w:val="0"/>
          <w:numId w:val="13"/>
        </w:numPr>
        <w:tabs>
          <w:tab w:val="left" w:pos="676"/>
        </w:tabs>
        <w:spacing w:after="280"/>
        <w:ind w:firstLine="0"/>
        <w:jc w:val="both"/>
      </w:pPr>
      <w:r>
        <w:rPr>
          <w:rStyle w:val="ZkladntextChar"/>
        </w:rPr>
        <w:t>Smluvní strany se zavazují si vzájemně poskytovat veškeré informace o výsledcích.</w:t>
      </w:r>
    </w:p>
    <w:p w:rsidR="00EA03ED" w:rsidRDefault="00123CF9">
      <w:pPr>
        <w:pStyle w:val="Zkladntext"/>
        <w:numPr>
          <w:ilvl w:val="0"/>
          <w:numId w:val="13"/>
        </w:numPr>
        <w:tabs>
          <w:tab w:val="left" w:pos="676"/>
        </w:tabs>
        <w:spacing w:after="0"/>
        <w:ind w:firstLine="0"/>
        <w:jc w:val="both"/>
      </w:pPr>
      <w:r>
        <w:rPr>
          <w:rStyle w:val="ZkladntextChar"/>
        </w:rPr>
        <w:t>Nedohodnou-li se Smluvní strany v konkrétním případě jinak, jsou veškeré informace,</w:t>
      </w:r>
    </w:p>
    <w:p w:rsidR="00EA03ED" w:rsidRDefault="00123CF9">
      <w:pPr>
        <w:pStyle w:val="Zkladntext"/>
        <w:spacing w:after="280"/>
        <w:ind w:left="680"/>
        <w:jc w:val="both"/>
      </w:pPr>
      <w:r>
        <w:rPr>
          <w:rStyle w:val="ZkladntextChar"/>
        </w:rPr>
        <w:t>které získá jedna Smluvní strana od druhé Smluvní strany a které ne</w:t>
      </w:r>
      <w:r>
        <w:rPr>
          <w:rStyle w:val="ZkladntextChar"/>
        </w:rPr>
        <w:t>jsou obecně známé, považovány za důvěrné (dále jen „důvěrné informace“) a Smluvní strana, která je získala je povinna důvěrné informace uchovat v tajnosti a zajistit dostatečnou ochranu před přístupem nepovolaných osob k nim, nesmí důvěrné informace sdělit</w:t>
      </w:r>
      <w:r>
        <w:rPr>
          <w:rStyle w:val="ZkladntextChar"/>
        </w:rPr>
        <w:t xml:space="preserve">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w:t>
      </w:r>
      <w:r>
        <w:rPr>
          <w:rStyle w:val="ZkladntextChar"/>
        </w:rPr>
        <w:t>věrné informace použít za jiným účelem než k výkonu činností podle Smlouvy.</w:t>
      </w:r>
    </w:p>
    <w:p w:rsidR="00EA03ED" w:rsidRDefault="00123CF9">
      <w:pPr>
        <w:pStyle w:val="Zkladntext"/>
        <w:numPr>
          <w:ilvl w:val="0"/>
          <w:numId w:val="13"/>
        </w:numPr>
        <w:tabs>
          <w:tab w:val="left" w:pos="667"/>
        </w:tabs>
        <w:spacing w:after="380"/>
        <w:ind w:firstLine="0"/>
        <w:jc w:val="both"/>
      </w:pPr>
      <w:r>
        <w:rPr>
          <w:rStyle w:val="ZkladntextChar"/>
        </w:rPr>
        <w:t>Povinnosti platí beze změny po dobu dalších 10 let.</w:t>
      </w:r>
    </w:p>
    <w:p w:rsidR="00EA03ED" w:rsidRDefault="00123CF9">
      <w:pPr>
        <w:pStyle w:val="Heading30"/>
        <w:keepNext/>
        <w:keepLines/>
        <w:spacing w:after="0"/>
      </w:pPr>
      <w:bookmarkStart w:id="14" w:name="bookmark29"/>
      <w:r>
        <w:rPr>
          <w:rStyle w:val="Heading3"/>
          <w:b/>
          <w:bCs/>
        </w:rPr>
        <w:t>XI.</w:t>
      </w:r>
      <w:bookmarkEnd w:id="14"/>
    </w:p>
    <w:p w:rsidR="00EA03ED" w:rsidRDefault="00123CF9">
      <w:pPr>
        <w:pStyle w:val="Heading30"/>
        <w:keepNext/>
        <w:keepLines/>
        <w:spacing w:after="100"/>
      </w:pPr>
      <w:bookmarkStart w:id="15" w:name="bookmark31"/>
      <w:r>
        <w:rPr>
          <w:rStyle w:val="Heading3"/>
          <w:b/>
          <w:bCs/>
        </w:rPr>
        <w:t>Závěrečná ustanovení</w:t>
      </w:r>
      <w:bookmarkEnd w:id="15"/>
    </w:p>
    <w:p w:rsidR="00EA03ED" w:rsidRDefault="00123CF9">
      <w:pPr>
        <w:pStyle w:val="Zkladntext"/>
        <w:numPr>
          <w:ilvl w:val="0"/>
          <w:numId w:val="14"/>
        </w:numPr>
        <w:tabs>
          <w:tab w:val="left" w:pos="667"/>
        </w:tabs>
        <w:spacing w:after="0"/>
        <w:ind w:firstLine="0"/>
        <w:jc w:val="both"/>
      </w:pPr>
      <w:r>
        <w:rPr>
          <w:rStyle w:val="ZkladntextChar"/>
        </w:rPr>
        <w:t>Tato Smlouva je vyhotovena ve 2 stejnopisech, z nichž každá ze Smluvních stran obdrží</w:t>
      </w:r>
    </w:p>
    <w:p w:rsidR="00EA03ED" w:rsidRDefault="00123CF9">
      <w:pPr>
        <w:pStyle w:val="Zkladntext"/>
        <w:spacing w:after="100"/>
        <w:ind w:left="680"/>
        <w:jc w:val="both"/>
      </w:pPr>
      <w:r>
        <w:rPr>
          <w:rStyle w:val="ZkladntextChar"/>
        </w:rPr>
        <w:t>jedno vyhotovení.</w:t>
      </w:r>
      <w:r>
        <w:rPr>
          <w:rStyle w:val="ZkladntextChar"/>
        </w:rPr>
        <w:t xml:space="preserve"> V případě, že Smlouva je sepsána v elektronické formě, zástupci Smluvních stran k ní připojí své elektronické podpisy založené na kvalifikovaném certifikátu v souladu s ustanovením zákona číslo 297/2016 Sb., o službách vytvářejících důvěru pro elektronick</w:t>
      </w:r>
      <w:r>
        <w:rPr>
          <w:rStyle w:val="ZkladntextChar"/>
        </w:rPr>
        <w:t>é transakce, ve znění pozdějších předpisů.</w:t>
      </w:r>
    </w:p>
    <w:p w:rsidR="00EA03ED" w:rsidRDefault="00123CF9">
      <w:pPr>
        <w:pStyle w:val="Zkladntext"/>
        <w:numPr>
          <w:ilvl w:val="0"/>
          <w:numId w:val="14"/>
        </w:numPr>
        <w:tabs>
          <w:tab w:val="left" w:pos="667"/>
        </w:tabs>
        <w:spacing w:after="0"/>
        <w:ind w:firstLine="0"/>
        <w:jc w:val="both"/>
      </w:pPr>
      <w:r>
        <w:rPr>
          <w:rStyle w:val="ZkladntextChar"/>
        </w:rPr>
        <w:t>Smluvní strany se výslovně dohodly, že vztahy mezi Smluvními stranami založené touto</w:t>
      </w:r>
    </w:p>
    <w:p w:rsidR="00EA03ED" w:rsidRDefault="00123CF9">
      <w:pPr>
        <w:pStyle w:val="Zkladntext"/>
        <w:spacing w:after="380"/>
        <w:ind w:firstLine="680"/>
        <w:jc w:val="both"/>
      </w:pPr>
      <w:r>
        <w:rPr>
          <w:rStyle w:val="ZkladntextChar"/>
        </w:rPr>
        <w:t>Smlouvou nebo s ní související se řídí právním řádem České republiky.</w:t>
      </w:r>
    </w:p>
    <w:p w:rsidR="00EA03ED" w:rsidRDefault="00123CF9">
      <w:pPr>
        <w:pStyle w:val="Zkladntext"/>
        <w:numPr>
          <w:ilvl w:val="0"/>
          <w:numId w:val="14"/>
        </w:numPr>
        <w:tabs>
          <w:tab w:val="left" w:pos="667"/>
        </w:tabs>
        <w:spacing w:after="0"/>
        <w:ind w:firstLine="0"/>
        <w:jc w:val="both"/>
      </w:pPr>
      <w:r>
        <w:rPr>
          <w:rStyle w:val="ZkladntextChar"/>
        </w:rPr>
        <w:t>Smluvní strany si sjednávají, že veškerá ujednání obsažená</w:t>
      </w:r>
      <w:r>
        <w:rPr>
          <w:rStyle w:val="ZkladntextChar"/>
        </w:rPr>
        <w:t xml:space="preserve"> v této Smlouvě musejí být</w:t>
      </w:r>
    </w:p>
    <w:p w:rsidR="00EA03ED" w:rsidRDefault="00123CF9">
      <w:pPr>
        <w:pStyle w:val="Zkladntext"/>
        <w:spacing w:after="260"/>
        <w:ind w:left="680"/>
        <w:jc w:val="both"/>
      </w:pPr>
      <w:r>
        <w:rPr>
          <w:rStyle w:val="ZkladntextChar"/>
        </w:rPr>
        <w:t>vykládána a naplňována takovým způsobem, aby byly naplněny cíle projektu i závazky, které má příjemce podpory vůči Poskytovateli.</w:t>
      </w:r>
    </w:p>
    <w:p w:rsidR="00EA03ED" w:rsidRDefault="00123CF9">
      <w:pPr>
        <w:pStyle w:val="Zkladntext"/>
        <w:numPr>
          <w:ilvl w:val="0"/>
          <w:numId w:val="14"/>
        </w:numPr>
        <w:tabs>
          <w:tab w:val="left" w:pos="667"/>
        </w:tabs>
        <w:spacing w:after="0"/>
        <w:ind w:firstLine="0"/>
        <w:jc w:val="both"/>
      </w:pPr>
      <w:r>
        <w:rPr>
          <w:rStyle w:val="ZkladntextChar"/>
        </w:rPr>
        <w:t>Pojmy použité v textu této Smlouvy mají stejný význam, jako pojmy definované a použité</w:t>
      </w:r>
    </w:p>
    <w:p w:rsidR="00EA03ED" w:rsidRDefault="00123CF9">
      <w:pPr>
        <w:pStyle w:val="Zkladntext"/>
        <w:spacing w:after="260"/>
        <w:ind w:left="680"/>
        <w:jc w:val="both"/>
      </w:pPr>
      <w:r>
        <w:rPr>
          <w:rStyle w:val="ZkladntextChar"/>
        </w:rPr>
        <w:t>v rámci Smlo</w:t>
      </w:r>
      <w:r>
        <w:rPr>
          <w:rStyle w:val="ZkladntextChar"/>
        </w:rPr>
        <w:t>uvy o poskytnutí podpory, veřejné soutěže a programu, jak jsou tyto pojmy uvedeny v čl. II, odst. 1 Smlouvy, s výjimkou pojmů výslovně v textu této Smlouvy definovaných.</w:t>
      </w:r>
    </w:p>
    <w:p w:rsidR="00EA03ED" w:rsidRDefault="00123CF9">
      <w:pPr>
        <w:pStyle w:val="Zkladntext"/>
        <w:numPr>
          <w:ilvl w:val="0"/>
          <w:numId w:val="14"/>
        </w:numPr>
        <w:tabs>
          <w:tab w:val="left" w:pos="667"/>
        </w:tabs>
        <w:spacing w:after="0"/>
        <w:ind w:firstLine="0"/>
        <w:jc w:val="both"/>
      </w:pPr>
      <w:r>
        <w:rPr>
          <w:rStyle w:val="ZkladntextChar"/>
        </w:rPr>
        <w:t>Smluvní strany nejsou oprávněny postoupit práva a povinnosti založené touto Smlouvou</w:t>
      </w:r>
    </w:p>
    <w:p w:rsidR="00EA03ED" w:rsidRDefault="00123CF9">
      <w:pPr>
        <w:pStyle w:val="Zkladntext"/>
        <w:spacing w:after="260"/>
        <w:ind w:firstLine="680"/>
        <w:jc w:val="both"/>
      </w:pPr>
      <w:r>
        <w:rPr>
          <w:rStyle w:val="ZkladntextChar"/>
        </w:rPr>
        <w:t>n</w:t>
      </w:r>
      <w:r>
        <w:rPr>
          <w:rStyle w:val="ZkladntextChar"/>
        </w:rPr>
        <w:t>a třetí osobu ani provést zápočet pohledávek.</w:t>
      </w:r>
    </w:p>
    <w:p w:rsidR="00EA03ED" w:rsidRDefault="00123CF9">
      <w:pPr>
        <w:pStyle w:val="Zkladntext"/>
        <w:numPr>
          <w:ilvl w:val="0"/>
          <w:numId w:val="14"/>
        </w:numPr>
        <w:tabs>
          <w:tab w:val="left" w:pos="667"/>
        </w:tabs>
        <w:spacing w:after="0"/>
        <w:ind w:firstLine="0"/>
        <w:jc w:val="both"/>
      </w:pPr>
      <w:r>
        <w:rPr>
          <w:rStyle w:val="ZkladntextChar"/>
        </w:rPr>
        <w:t>Neplatnost jakéhokoliv ustanovení této Smlouvy se nedotýká platnosti této Smlouvy jako</w:t>
      </w:r>
    </w:p>
    <w:p w:rsidR="00EA03ED" w:rsidRDefault="00123CF9">
      <w:pPr>
        <w:pStyle w:val="Zkladntext"/>
        <w:spacing w:after="260"/>
        <w:ind w:firstLine="680"/>
        <w:jc w:val="both"/>
      </w:pPr>
      <w:r>
        <w:rPr>
          <w:rStyle w:val="ZkladntextChar"/>
        </w:rPr>
        <w:t>celku nebo platnosti kterékoliv jiné části této Smlouvy.</w:t>
      </w:r>
    </w:p>
    <w:p w:rsidR="00EA03ED" w:rsidRDefault="00123CF9">
      <w:pPr>
        <w:pStyle w:val="Zkladntext"/>
        <w:numPr>
          <w:ilvl w:val="0"/>
          <w:numId w:val="14"/>
        </w:numPr>
        <w:tabs>
          <w:tab w:val="left" w:pos="667"/>
        </w:tabs>
        <w:spacing w:after="260"/>
        <w:ind w:firstLine="0"/>
        <w:jc w:val="both"/>
      </w:pPr>
      <w:r>
        <w:rPr>
          <w:rStyle w:val="ZkladntextChar"/>
        </w:rPr>
        <w:t>Veškeré změny této Smlouvy se provádí písemnými a vzestupně číslov</w:t>
      </w:r>
      <w:r>
        <w:rPr>
          <w:rStyle w:val="ZkladntextChar"/>
        </w:rPr>
        <w:t>anými dodatky.</w:t>
      </w:r>
    </w:p>
    <w:p w:rsidR="00EA03ED" w:rsidRDefault="00123CF9">
      <w:pPr>
        <w:pStyle w:val="Zkladntext"/>
        <w:numPr>
          <w:ilvl w:val="0"/>
          <w:numId w:val="14"/>
        </w:numPr>
        <w:tabs>
          <w:tab w:val="left" w:pos="667"/>
        </w:tabs>
        <w:spacing w:after="0"/>
        <w:ind w:firstLine="0"/>
        <w:jc w:val="both"/>
      </w:pPr>
      <w:r>
        <w:rPr>
          <w:rStyle w:val="ZkladntextChar"/>
        </w:rPr>
        <w:t>Smluvní strany prohlašují, že jsou srozuměny se skutečností, že jsou osobami povinnými</w:t>
      </w:r>
    </w:p>
    <w:p w:rsidR="00EA03ED" w:rsidRDefault="00123CF9">
      <w:pPr>
        <w:pStyle w:val="Zkladntext"/>
        <w:spacing w:after="260"/>
        <w:ind w:left="680"/>
        <w:jc w:val="both"/>
      </w:pPr>
      <w:r>
        <w:rPr>
          <w:rStyle w:val="ZkladntextChar"/>
        </w:rPr>
        <w:t xml:space="preserve">ve smyslu zákona č. 106/1999 Sb., o svobodném přístupu k informacím, ve znění pozdějších předpisů, a jsou tak povinny o této Smlouvě a právním vztahu jí </w:t>
      </w:r>
      <w:r>
        <w:rPr>
          <w:rStyle w:val="ZkladntextChar"/>
        </w:rPr>
        <w:t>založeným zpřístupňovat všechny informace, které zákon ze zpřístupňování nevylučuje, výslovně berou dále na vědomí, že tato Smlouva bude po jejím uzavření uveřejněna v registru smluv podle zákona č. 340/2015 Sb., o zvláštních podmínkách účinnosti některých</w:t>
      </w:r>
      <w:r>
        <w:rPr>
          <w:rStyle w:val="ZkladntextChar"/>
        </w:rPr>
        <w:t xml:space="preserve"> smluv, uveřejňování těchto smluv a o registru smluv (dále jen jako „zákon o registru smluv“), ve znění pozdějších předpisů.</w:t>
      </w:r>
    </w:p>
    <w:p w:rsidR="00EA03ED" w:rsidRDefault="00123CF9">
      <w:pPr>
        <w:pStyle w:val="Zkladntext"/>
        <w:numPr>
          <w:ilvl w:val="0"/>
          <w:numId w:val="14"/>
        </w:numPr>
        <w:tabs>
          <w:tab w:val="left" w:pos="667"/>
        </w:tabs>
        <w:spacing w:after="0"/>
        <w:ind w:firstLine="0"/>
        <w:jc w:val="both"/>
      </w:pPr>
      <w:r>
        <w:rPr>
          <w:rStyle w:val="ZkladntextChar"/>
        </w:rPr>
        <w:t>Smluvní strany svými podpisy níže stvrzují, že se seznámily se všemi pro tuto Smlouvu</w:t>
      </w:r>
    </w:p>
    <w:p w:rsidR="00EA03ED" w:rsidRDefault="00123CF9">
      <w:pPr>
        <w:pStyle w:val="Zkladntext"/>
        <w:spacing w:after="260"/>
        <w:ind w:left="680"/>
        <w:jc w:val="both"/>
      </w:pPr>
      <w:r>
        <w:rPr>
          <w:rStyle w:val="ZkladntextChar"/>
        </w:rPr>
        <w:t>relevantními podklady (zejm. Smlouvou o posky</w:t>
      </w:r>
      <w:r>
        <w:rPr>
          <w:rStyle w:val="ZkladntextChar"/>
        </w:rPr>
        <w:t>tnutí podpory, podmínkami veřejné soutěže a programu, jak jsou tyto pojmy uvedeny v čl. II, odst. 1 této Smlouvy, Smlouvou o účasti na řešení projektu), s jejich obsahem souhlasí a Smlouvu uzavírají na základě své svobodné a vážné vůle v úmyslu se těmito p</w:t>
      </w:r>
      <w:r>
        <w:rPr>
          <w:rStyle w:val="ZkladntextChar"/>
        </w:rPr>
        <w:t>odklady řídit.</w:t>
      </w:r>
    </w:p>
    <w:p w:rsidR="00EA03ED" w:rsidRDefault="00123CF9">
      <w:pPr>
        <w:pStyle w:val="Zkladntext"/>
        <w:numPr>
          <w:ilvl w:val="0"/>
          <w:numId w:val="14"/>
        </w:numPr>
        <w:tabs>
          <w:tab w:val="left" w:pos="667"/>
        </w:tabs>
        <w:spacing w:after="260"/>
        <w:ind w:left="680" w:hanging="680"/>
        <w:jc w:val="both"/>
        <w:sectPr w:rsidR="00EA03ED">
          <w:footerReference w:type="default" r:id="rId7"/>
          <w:pgSz w:w="11900" w:h="16840"/>
          <w:pgMar w:top="850" w:right="1239" w:bottom="1274" w:left="1383" w:header="422" w:footer="3" w:gutter="0"/>
          <w:pgNumType w:start="1"/>
          <w:cols w:space="720"/>
          <w:noEndnote/>
          <w:docGrid w:linePitch="360"/>
        </w:sectPr>
      </w:pPr>
      <w:r>
        <w:rPr>
          <w:rStyle w:val="ZkladntextChar"/>
        </w:rPr>
        <w:t>Smlouva je uzavřena podpisem zástupce poslední ze Smluvních stran a nabývá účinnosti dnem jejího uveřejnění v re</w:t>
      </w:r>
      <w:r>
        <w:rPr>
          <w:rStyle w:val="ZkladntextChar"/>
        </w:rPr>
        <w:t xml:space="preserve">gistru smluv podle zákona č. 340/2015 Sb., o zvláštních podmínkách účinnosti některých smluv, uveřejňování těchto smluv a o registru smluv (zákon o registru smluv) a uzavírá se na dobu 10 let ode dne uveřejnění. Uveřejnění Smlouvy v registru smluv provede </w:t>
      </w:r>
      <w:r>
        <w:rPr>
          <w:rStyle w:val="ZkladntextChar"/>
        </w:rPr>
        <w:t>VŠCHT.</w:t>
      </w:r>
    </w:p>
    <w:p w:rsidR="00EA03ED" w:rsidRDefault="00123CF9">
      <w:pPr>
        <w:pStyle w:val="Zkladntext"/>
        <w:framePr w:w="312" w:h="274" w:wrap="none" w:hAnchor="page" w:x="1398" w:y="20"/>
        <w:spacing w:after="0"/>
        <w:ind w:firstLine="0"/>
        <w:rPr>
          <w:sz w:val="22"/>
          <w:szCs w:val="22"/>
        </w:rPr>
      </w:pPr>
      <w:r>
        <w:rPr>
          <w:rStyle w:val="ZkladntextChar"/>
          <w:b/>
          <w:bCs/>
          <w:sz w:val="22"/>
          <w:szCs w:val="22"/>
        </w:rPr>
        <w:t>11.</w:t>
      </w:r>
    </w:p>
    <w:p w:rsidR="00EA03ED" w:rsidRDefault="00123CF9">
      <w:pPr>
        <w:pStyle w:val="Zkladntext"/>
        <w:framePr w:w="8578" w:h="302" w:wrap="none" w:hAnchor="page" w:x="2080" w:y="1"/>
        <w:spacing w:after="0"/>
        <w:ind w:firstLine="0"/>
      </w:pPr>
      <w:r>
        <w:rPr>
          <w:rStyle w:val="ZkladntextChar"/>
        </w:rPr>
        <w:t>Smluvní strany prohlašují, že si tuto smlouvu před jejím podpisem přečetli, že byla</w:t>
      </w:r>
    </w:p>
    <w:p w:rsidR="00EA03ED" w:rsidRDefault="00123CF9">
      <w:pPr>
        <w:pStyle w:val="Zkladntext"/>
        <w:framePr w:w="8597" w:h="274" w:wrap="none" w:hAnchor="page" w:x="2065" w:y="303"/>
        <w:spacing w:after="0"/>
        <w:ind w:firstLine="0"/>
      </w:pPr>
      <w:r>
        <w:rPr>
          <w:rStyle w:val="ZkladntextChar"/>
        </w:rPr>
        <w:t>uzavřena po řádném uvážení, svobodně a vážně, určitě a srozumitelně, nikoli v tísni za</w:t>
      </w:r>
    </w:p>
    <w:p w:rsidR="00EA03ED" w:rsidRDefault="00123CF9">
      <w:pPr>
        <w:pStyle w:val="Zkladntext"/>
        <w:framePr w:w="8582" w:h="278" w:wrap="none" w:hAnchor="page" w:x="2065" w:y="577"/>
        <w:spacing w:after="0"/>
        <w:ind w:firstLine="0"/>
      </w:pPr>
      <w:r>
        <w:rPr>
          <w:rStyle w:val="ZkladntextChar"/>
        </w:rPr>
        <w:t xml:space="preserve">nápadně nevýhodných podmínek, s jejím obsahem bezvýhradně souhlasí a na </w:t>
      </w:r>
      <w:r>
        <w:rPr>
          <w:rStyle w:val="ZkladntextChar"/>
        </w:rPr>
        <w:t>důkaz toho</w:t>
      </w:r>
    </w:p>
    <w:p w:rsidR="00EA03ED" w:rsidRDefault="00123CF9">
      <w:pPr>
        <w:pStyle w:val="Zkladntext"/>
        <w:framePr w:w="1320" w:h="302" w:wrap="none" w:hAnchor="page" w:x="2046" w:y="855"/>
        <w:spacing w:after="0"/>
        <w:ind w:firstLine="0"/>
      </w:pPr>
      <w:r>
        <w:rPr>
          <w:rStyle w:val="ZkladntextChar"/>
        </w:rPr>
        <w:t>ji podepisují.</w:t>
      </w:r>
    </w:p>
    <w:p w:rsidR="00EA03ED" w:rsidRDefault="00123CF9">
      <w:pPr>
        <w:pStyle w:val="Zkladntext"/>
        <w:framePr w:w="216" w:h="226" w:wrap="none" w:hAnchor="page" w:x="1441" w:y="2123"/>
        <w:spacing w:after="0"/>
        <w:ind w:firstLine="0"/>
        <w:rPr>
          <w:sz w:val="22"/>
          <w:szCs w:val="22"/>
        </w:rPr>
      </w:pPr>
      <w:r>
        <w:rPr>
          <w:rStyle w:val="ZkladntextChar"/>
          <w:sz w:val="22"/>
          <w:szCs w:val="22"/>
        </w:rPr>
        <w:t>V</w:t>
      </w:r>
    </w:p>
    <w:p w:rsidR="00EA03ED" w:rsidRDefault="00123CF9">
      <w:pPr>
        <w:pStyle w:val="Zkladntext"/>
        <w:framePr w:w="2539" w:h="226" w:wrap="none" w:hAnchor="page" w:x="1676" w:y="2123"/>
        <w:tabs>
          <w:tab w:val="right" w:leader="dot" w:pos="1282"/>
          <w:tab w:val="left" w:leader="dot" w:pos="2482"/>
        </w:tabs>
        <w:spacing w:after="0"/>
        <w:ind w:firstLine="0"/>
        <w:rPr>
          <w:sz w:val="22"/>
          <w:szCs w:val="22"/>
        </w:rPr>
      </w:pPr>
      <w:r>
        <w:rPr>
          <w:rStyle w:val="ZkladntextChar"/>
          <w:sz w:val="22"/>
          <w:szCs w:val="22"/>
        </w:rPr>
        <w:tab/>
        <w:t>dne</w:t>
      </w:r>
      <w:r>
        <w:rPr>
          <w:rStyle w:val="ZkladntextChar"/>
          <w:sz w:val="22"/>
          <w:szCs w:val="22"/>
        </w:rPr>
        <w:tab/>
      </w:r>
    </w:p>
    <w:p w:rsidR="00EA03ED" w:rsidRDefault="00123CF9">
      <w:pPr>
        <w:pStyle w:val="Zkladntext"/>
        <w:framePr w:w="1973" w:h="552" w:wrap="none" w:hAnchor="page" w:x="8204" w:y="2348"/>
        <w:spacing w:after="0"/>
        <w:ind w:firstLine="0"/>
        <w:rPr>
          <w:sz w:val="22"/>
          <w:szCs w:val="22"/>
        </w:rPr>
      </w:pPr>
      <w:r>
        <w:rPr>
          <w:rStyle w:val="ZkladntextChar"/>
          <w:sz w:val="22"/>
          <w:szCs w:val="22"/>
        </w:rPr>
        <w:t>jednatel GEMA s.r.o.</w:t>
      </w:r>
    </w:p>
    <w:p w:rsidR="00EA03ED" w:rsidRDefault="00123CF9">
      <w:pPr>
        <w:pStyle w:val="Zkladntext"/>
        <w:framePr w:w="2328" w:h="254" w:wrap="none" w:hAnchor="page" w:x="1441" w:y="3649"/>
        <w:tabs>
          <w:tab w:val="left" w:leader="dot" w:pos="2270"/>
        </w:tabs>
        <w:spacing w:after="0"/>
        <w:ind w:firstLine="0"/>
        <w:rPr>
          <w:sz w:val="22"/>
          <w:szCs w:val="22"/>
        </w:rPr>
      </w:pPr>
      <w:r>
        <w:rPr>
          <w:rStyle w:val="ZkladntextChar"/>
          <w:sz w:val="22"/>
          <w:szCs w:val="22"/>
        </w:rPr>
        <w:t>V Praze dne</w:t>
      </w:r>
      <w:r>
        <w:rPr>
          <w:rStyle w:val="ZkladntextChar"/>
          <w:sz w:val="22"/>
          <w:szCs w:val="22"/>
        </w:rPr>
        <w:tab/>
      </w:r>
    </w:p>
    <w:p w:rsidR="00EA03ED" w:rsidRDefault="00123CF9">
      <w:pPr>
        <w:pStyle w:val="Zkladntext"/>
        <w:framePr w:w="2669" w:h="533" w:wrap="none" w:hAnchor="page" w:x="7816" w:y="3908"/>
        <w:spacing w:after="0"/>
        <w:ind w:firstLine="0"/>
        <w:jc w:val="center"/>
        <w:rPr>
          <w:sz w:val="22"/>
          <w:szCs w:val="22"/>
        </w:rPr>
      </w:pPr>
      <w:r>
        <w:rPr>
          <w:rStyle w:val="ZkladntextChar"/>
          <w:sz w:val="22"/>
          <w:szCs w:val="22"/>
        </w:rPr>
        <w:br/>
        <w:t>prorektor pro VaV, VŠCH</w:t>
      </w:r>
      <w:r>
        <w:rPr>
          <w:rStyle w:val="ZkladntextChar"/>
          <w:sz w:val="22"/>
          <w:szCs w:val="22"/>
        </w:rPr>
        <w:t>T</w:t>
      </w:r>
    </w:p>
    <w:p w:rsidR="00EA03ED" w:rsidRDefault="00EA03ED">
      <w:pPr>
        <w:spacing w:line="360" w:lineRule="exact"/>
      </w:pPr>
    </w:p>
    <w:p w:rsidR="00EA03ED" w:rsidRDefault="00EA03ED">
      <w:pPr>
        <w:spacing w:line="360" w:lineRule="exact"/>
      </w:pPr>
    </w:p>
    <w:p w:rsidR="00EA03ED" w:rsidRDefault="00EA03ED">
      <w:pPr>
        <w:spacing w:line="360" w:lineRule="exact"/>
      </w:pPr>
    </w:p>
    <w:p w:rsidR="00EA03ED" w:rsidRDefault="00EA03ED">
      <w:pPr>
        <w:spacing w:line="360" w:lineRule="exact"/>
      </w:pPr>
    </w:p>
    <w:p w:rsidR="00EA03ED" w:rsidRDefault="00EA03ED">
      <w:pPr>
        <w:spacing w:line="360" w:lineRule="exact"/>
      </w:pPr>
    </w:p>
    <w:p w:rsidR="00EA03ED" w:rsidRDefault="00EA03ED">
      <w:pPr>
        <w:spacing w:line="360" w:lineRule="exact"/>
      </w:pPr>
    </w:p>
    <w:p w:rsidR="00EA03ED" w:rsidRDefault="00EA03ED">
      <w:pPr>
        <w:spacing w:line="360" w:lineRule="exact"/>
      </w:pPr>
    </w:p>
    <w:p w:rsidR="00EA03ED" w:rsidRDefault="00EA03ED">
      <w:pPr>
        <w:spacing w:line="360" w:lineRule="exact"/>
      </w:pPr>
    </w:p>
    <w:p w:rsidR="00EA03ED" w:rsidRDefault="00EA03ED">
      <w:pPr>
        <w:spacing w:line="360" w:lineRule="exact"/>
      </w:pPr>
    </w:p>
    <w:p w:rsidR="00EA03ED" w:rsidRDefault="00123CF9">
      <w:pPr>
        <w:spacing w:line="360" w:lineRule="exact"/>
      </w:pPr>
      <w:r>
        <w:t>29.4.2024</w:t>
      </w:r>
      <w:bookmarkStart w:id="16" w:name="_GoBack"/>
      <w:bookmarkEnd w:id="16"/>
    </w:p>
    <w:p w:rsidR="00EA03ED" w:rsidRDefault="00EA03ED">
      <w:pPr>
        <w:spacing w:line="360" w:lineRule="exact"/>
      </w:pPr>
    </w:p>
    <w:p w:rsidR="00EA03ED" w:rsidRDefault="00EA03ED">
      <w:pPr>
        <w:spacing w:after="479" w:line="1" w:lineRule="exact"/>
      </w:pPr>
    </w:p>
    <w:p w:rsidR="00EA03ED" w:rsidRDefault="00EA03ED">
      <w:pPr>
        <w:spacing w:line="1" w:lineRule="exact"/>
      </w:pPr>
    </w:p>
    <w:sectPr w:rsidR="00EA03ED">
      <w:pgSz w:w="11900" w:h="16840"/>
      <w:pgMar w:top="855" w:right="1239" w:bottom="789" w:left="1397" w:header="42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23CF9">
      <w:r>
        <w:separator/>
      </w:r>
    </w:p>
  </w:endnote>
  <w:endnote w:type="continuationSeparator" w:id="0">
    <w:p w:rsidR="00000000" w:rsidRDefault="0012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ED" w:rsidRDefault="00123CF9">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3801110</wp:posOffset>
              </wp:positionH>
              <wp:positionV relativeFrom="page">
                <wp:posOffset>10132060</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rsidR="00EA03ED" w:rsidRDefault="00123CF9">
                          <w:pPr>
                            <w:pStyle w:val="Headerorfooter20"/>
                            <w:rPr>
                              <w:sz w:val="22"/>
                              <w:szCs w:val="22"/>
                            </w:rPr>
                          </w:pPr>
                          <w:r>
                            <w:fldChar w:fldCharType="begin"/>
                          </w:r>
                          <w:r>
                            <w:instrText xml:space="preserve"> PAGE \* MERGEFORMAT </w:instrText>
                          </w:r>
                          <w:r>
                            <w:fldChar w:fldCharType="separate"/>
                          </w:r>
                          <w:r w:rsidRPr="00123CF9">
                            <w:rPr>
                              <w:rStyle w:val="Headerorfooter2"/>
                              <w:rFonts w:ascii="Arial" w:eastAsia="Arial" w:hAnsi="Arial" w:cs="Arial"/>
                              <w:noProof/>
                              <w:sz w:val="22"/>
                              <w:szCs w:val="22"/>
                            </w:rPr>
                            <w:t>8</w:t>
                          </w:r>
                          <w:r>
                            <w:rPr>
                              <w:rStyle w:val="Headerorfooter2"/>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9.3pt;margin-top:797.8pt;width:2.9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" filled="f" stroked="f">
              <v:textbox style="mso-fit-shape-to-text:t" inset="0,0,0,0">
                <w:txbxContent>
                  <w:p w:rsidR="00EA03ED" w:rsidRDefault="00123CF9">
                    <w:pPr>
                      <w:pStyle w:val="Headerorfooter20"/>
                      <w:rPr>
                        <w:sz w:val="22"/>
                        <w:szCs w:val="22"/>
                      </w:rPr>
                    </w:pPr>
                    <w:r>
                      <w:fldChar w:fldCharType="begin"/>
                    </w:r>
                    <w:r>
                      <w:instrText xml:space="preserve"> PAGE \* MERGEFORMAT </w:instrText>
                    </w:r>
                    <w:r>
                      <w:fldChar w:fldCharType="separate"/>
                    </w:r>
                    <w:r w:rsidRPr="00123CF9">
                      <w:rPr>
                        <w:rStyle w:val="Headerorfooter2"/>
                        <w:rFonts w:ascii="Arial" w:eastAsia="Arial" w:hAnsi="Arial" w:cs="Arial"/>
                        <w:noProof/>
                        <w:sz w:val="22"/>
                        <w:szCs w:val="22"/>
                      </w:rPr>
                      <w:t>8</w:t>
                    </w:r>
                    <w:r>
                      <w:rPr>
                        <w:rStyle w:val="Headerorfooter2"/>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ED" w:rsidRDefault="00EA03ED"/>
  </w:footnote>
  <w:footnote w:type="continuationSeparator" w:id="0">
    <w:p w:rsidR="00EA03ED" w:rsidRDefault="00EA03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91C"/>
    <w:multiLevelType w:val="multilevel"/>
    <w:tmpl w:val="8CD2C5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37158"/>
    <w:multiLevelType w:val="multilevel"/>
    <w:tmpl w:val="018A74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D192B"/>
    <w:multiLevelType w:val="multilevel"/>
    <w:tmpl w:val="875C7B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40AFF"/>
    <w:multiLevelType w:val="multilevel"/>
    <w:tmpl w:val="08EE07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5E7068"/>
    <w:multiLevelType w:val="multilevel"/>
    <w:tmpl w:val="4314CF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0765ED"/>
    <w:multiLevelType w:val="multilevel"/>
    <w:tmpl w:val="FED01C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581870"/>
    <w:multiLevelType w:val="multilevel"/>
    <w:tmpl w:val="875A2E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784C88"/>
    <w:multiLevelType w:val="multilevel"/>
    <w:tmpl w:val="8E18A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225ADC"/>
    <w:multiLevelType w:val="multilevel"/>
    <w:tmpl w:val="CCDCAE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19416E"/>
    <w:multiLevelType w:val="multilevel"/>
    <w:tmpl w:val="C532B9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707025"/>
    <w:multiLevelType w:val="multilevel"/>
    <w:tmpl w:val="2BE672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F32370"/>
    <w:multiLevelType w:val="multilevel"/>
    <w:tmpl w:val="65FAC3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6F2481"/>
    <w:multiLevelType w:val="multilevel"/>
    <w:tmpl w:val="54EEB2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B04A09"/>
    <w:multiLevelType w:val="multilevel"/>
    <w:tmpl w:val="F4B2E5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0"/>
  </w:num>
  <w:num w:numId="4">
    <w:abstractNumId w:val="8"/>
  </w:num>
  <w:num w:numId="5">
    <w:abstractNumId w:val="6"/>
  </w:num>
  <w:num w:numId="6">
    <w:abstractNumId w:val="7"/>
  </w:num>
  <w:num w:numId="7">
    <w:abstractNumId w:val="5"/>
  </w:num>
  <w:num w:numId="8">
    <w:abstractNumId w:val="1"/>
  </w:num>
  <w:num w:numId="9">
    <w:abstractNumId w:val="13"/>
  </w:num>
  <w:num w:numId="10">
    <w:abstractNumId w:val="3"/>
  </w:num>
  <w:num w:numId="11">
    <w:abstractNumId w:val="10"/>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ED"/>
    <w:rsid w:val="00123CF9"/>
    <w:rsid w:val="00EA0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71A7"/>
  <w15:docId w15:val="{10F2E1BC-5C68-42D7-A0C6-D90417FE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32"/>
      <w:szCs w:val="3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28"/>
      <w:szCs w:val="28"/>
      <w:u w:val="none"/>
    </w:rPr>
  </w:style>
  <w:style w:type="character" w:customStyle="1" w:styleId="Bodytext3">
    <w:name w:val="Body text (3)_"/>
    <w:basedOn w:val="Standardnpsmoodstavce"/>
    <w:link w:val="Bodytext30"/>
    <w:rPr>
      <w:rFonts w:ascii="Segoe UI" w:eastAsia="Segoe UI" w:hAnsi="Segoe UI" w:cs="Segoe UI"/>
      <w:b w:val="0"/>
      <w:bCs w:val="0"/>
      <w:i w:val="0"/>
      <w:iCs w:val="0"/>
      <w:smallCaps w:val="0"/>
      <w:strike w:val="0"/>
      <w:sz w:val="17"/>
      <w:szCs w:val="17"/>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8"/>
      <w:szCs w:val="8"/>
      <w:u w:val="none"/>
    </w:rPr>
  </w:style>
  <w:style w:type="paragraph" w:customStyle="1" w:styleId="Heading10">
    <w:name w:val="Heading #1"/>
    <w:basedOn w:val="Normln"/>
    <w:link w:val="Heading1"/>
    <w:pPr>
      <w:jc w:val="center"/>
      <w:outlineLvl w:val="0"/>
    </w:pPr>
    <w:rPr>
      <w:rFonts w:ascii="Times New Roman" w:eastAsia="Times New Roman" w:hAnsi="Times New Roman" w:cs="Times New Roman"/>
      <w:b/>
      <w:bCs/>
      <w:sz w:val="32"/>
      <w:szCs w:val="32"/>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styleId="Zkladntext">
    <w:name w:val="Body Text"/>
    <w:basedOn w:val="Normln"/>
    <w:link w:val="ZkladntextChar"/>
    <w:qFormat/>
    <w:pPr>
      <w:spacing w:after="220"/>
      <w:ind w:firstLine="20"/>
    </w:pPr>
    <w:rPr>
      <w:rFonts w:ascii="Times New Roman" w:eastAsia="Times New Roman" w:hAnsi="Times New Roman" w:cs="Times New Roman"/>
    </w:rPr>
  </w:style>
  <w:style w:type="paragraph" w:customStyle="1" w:styleId="Heading30">
    <w:name w:val="Heading #3"/>
    <w:basedOn w:val="Normln"/>
    <w:link w:val="Heading3"/>
    <w:pPr>
      <w:spacing w:after="180"/>
      <w:jc w:val="center"/>
      <w:outlineLvl w:val="2"/>
    </w:pPr>
    <w:rPr>
      <w:rFonts w:ascii="Times New Roman" w:eastAsia="Times New Roman" w:hAnsi="Times New Roman" w:cs="Times New Roman"/>
      <w:b/>
      <w:bCs/>
    </w:rPr>
  </w:style>
  <w:style w:type="paragraph" w:customStyle="1" w:styleId="Tablecaption0">
    <w:name w:val="Table caption"/>
    <w:basedOn w:val="Normln"/>
    <w:link w:val="Tablecaption"/>
    <w:rPr>
      <w:rFonts w:ascii="Times New Roman" w:eastAsia="Times New Roman" w:hAnsi="Times New Roman" w:cs="Times New Roman"/>
    </w:rPr>
  </w:style>
  <w:style w:type="paragraph" w:customStyle="1" w:styleId="Other0">
    <w:name w:val="Other"/>
    <w:basedOn w:val="Normln"/>
    <w:link w:val="Other"/>
    <w:pPr>
      <w:spacing w:after="220"/>
      <w:ind w:firstLine="20"/>
    </w:pPr>
    <w:rPr>
      <w:rFonts w:ascii="Times New Roman" w:eastAsia="Times New Roman" w:hAnsi="Times New Roman" w:cs="Times New Roman"/>
    </w:rPr>
  </w:style>
  <w:style w:type="paragraph" w:customStyle="1" w:styleId="Heading20">
    <w:name w:val="Heading #2"/>
    <w:basedOn w:val="Normln"/>
    <w:link w:val="Heading2"/>
    <w:pPr>
      <w:spacing w:line="314" w:lineRule="auto"/>
      <w:outlineLvl w:val="1"/>
    </w:pPr>
    <w:rPr>
      <w:rFonts w:ascii="Arial" w:eastAsia="Arial" w:hAnsi="Arial" w:cs="Arial"/>
      <w:sz w:val="28"/>
      <w:szCs w:val="28"/>
    </w:rPr>
  </w:style>
  <w:style w:type="paragraph" w:customStyle="1" w:styleId="Bodytext30">
    <w:name w:val="Body text (3)"/>
    <w:basedOn w:val="Normln"/>
    <w:link w:val="Bodytext3"/>
    <w:pPr>
      <w:spacing w:line="233" w:lineRule="auto"/>
    </w:pPr>
    <w:rPr>
      <w:rFonts w:ascii="Segoe UI" w:eastAsia="Segoe UI" w:hAnsi="Segoe UI" w:cs="Segoe UI"/>
      <w:sz w:val="17"/>
      <w:szCs w:val="17"/>
    </w:rPr>
  </w:style>
  <w:style w:type="paragraph" w:customStyle="1" w:styleId="Bodytext40">
    <w:name w:val="Body text (4)"/>
    <w:basedOn w:val="Normln"/>
    <w:link w:val="Bodytext4"/>
    <w:pPr>
      <w:jc w:val="center"/>
    </w:pPr>
    <w:rPr>
      <w:rFonts w:ascii="Arial" w:eastAsia="Arial" w:hAnsi="Arial" w:cs="Arial"/>
      <w:sz w:val="20"/>
      <w:szCs w:val="20"/>
    </w:rPr>
  </w:style>
  <w:style w:type="paragraph" w:customStyle="1" w:styleId="Bodytext20">
    <w:name w:val="Body text (2)"/>
    <w:basedOn w:val="Normln"/>
    <w:link w:val="Bodytext2"/>
    <w:pPr>
      <w:spacing w:line="228" w:lineRule="auto"/>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2913</Words>
  <Characters>17187</Characters>
  <Application>Microsoft Office Word</Application>
  <DocSecurity>0</DocSecurity>
  <Lines>143</Lines>
  <Paragraphs>40</Paragraphs>
  <ScaleCrop>false</ScaleCrop>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sdružení</dc:title>
  <dc:subject/>
  <dc:creator>orlova</dc:creator>
  <cp:keywords/>
  <cp:lastModifiedBy>Pospisilova Iveta</cp:lastModifiedBy>
  <cp:revision>2</cp:revision>
  <dcterms:created xsi:type="dcterms:W3CDTF">2024-04-29T09:25:00Z</dcterms:created>
  <dcterms:modified xsi:type="dcterms:W3CDTF">2024-04-29T09:28:00Z</dcterms:modified>
</cp:coreProperties>
</file>