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18E6" w14:textId="77777777" w:rsidR="008675D5" w:rsidRDefault="008675D5" w:rsidP="008675D5">
      <w:pPr>
        <w:pStyle w:val="StylDoprava"/>
        <w:rPr>
          <w:rFonts w:cs="Arial"/>
          <w:sz w:val="22"/>
          <w:szCs w:val="22"/>
        </w:rPr>
      </w:pPr>
      <w:r>
        <w:rPr>
          <w:rFonts w:cs="Arial"/>
          <w:sz w:val="22"/>
          <w:szCs w:val="22"/>
        </w:rPr>
        <w:t>Č.j. SPU 108504/2024/PIS</w:t>
      </w:r>
    </w:p>
    <w:p w14:paraId="26E9FDEE" w14:textId="79E67800" w:rsidR="008675D5" w:rsidRDefault="008675D5" w:rsidP="008675D5">
      <w:pPr>
        <w:pStyle w:val="StylDoprava"/>
        <w:rPr>
          <w:rFonts w:cs="Arial"/>
          <w:sz w:val="22"/>
          <w:szCs w:val="22"/>
        </w:rPr>
      </w:pPr>
      <w:r>
        <w:rPr>
          <w:rFonts w:cs="Arial"/>
          <w:sz w:val="22"/>
          <w:szCs w:val="22"/>
        </w:rPr>
        <w:t>UID:</w:t>
      </w:r>
      <w:r w:rsidR="00956FAE">
        <w:rPr>
          <w:rFonts w:cs="Arial"/>
          <w:sz w:val="22"/>
          <w:szCs w:val="22"/>
        </w:rPr>
        <w:t xml:space="preserve"> </w:t>
      </w:r>
      <w:r>
        <w:rPr>
          <w:rFonts w:cs="Arial"/>
          <w:sz w:val="22"/>
          <w:szCs w:val="22"/>
        </w:rPr>
        <w:t>spuess9209b00e</w:t>
      </w:r>
    </w:p>
    <w:p w14:paraId="79BF6D26"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Česká republika - Státní pozemkový úřad</w:t>
      </w:r>
    </w:p>
    <w:p w14:paraId="3FCB34E7"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1024/11a,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71B9638C"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Ing. Jiří Papež, ředitel Krajského pozemkového úřadu pro Plzeňský kraj</w:t>
      </w:r>
    </w:p>
    <w:p w14:paraId="702CE5B2"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náměstí Generála Píky 8, 32600 Plzeň</w:t>
      </w:r>
    </w:p>
    <w:p w14:paraId="0574D6FA"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6E67EB4A" w14:textId="0AF52704" w:rsidR="000164A2" w:rsidRPr="005123A9" w:rsidRDefault="000164A2" w:rsidP="000164A2">
      <w:pPr>
        <w:widowControl/>
        <w:rPr>
          <w:rFonts w:ascii="Arial" w:hAnsi="Arial" w:cs="Arial"/>
          <w:sz w:val="22"/>
          <w:szCs w:val="22"/>
        </w:rPr>
      </w:pPr>
      <w:r w:rsidRPr="005123A9">
        <w:rPr>
          <w:rFonts w:ascii="Arial" w:hAnsi="Arial" w:cs="Arial"/>
          <w:sz w:val="22"/>
          <w:szCs w:val="22"/>
        </w:rPr>
        <w:t>DIČ: CZ01312774</w:t>
      </w:r>
    </w:p>
    <w:p w14:paraId="23BA781C" w14:textId="77777777" w:rsidR="00D74F11" w:rsidRDefault="00D74F11" w:rsidP="00D74F11">
      <w:pPr>
        <w:ind w:left="-810" w:firstLine="810"/>
        <w:rPr>
          <w:rFonts w:ascii="Arial" w:hAnsi="Arial" w:cs="Arial"/>
          <w:sz w:val="22"/>
          <w:szCs w:val="22"/>
        </w:rPr>
      </w:pPr>
      <w:r>
        <w:rPr>
          <w:rFonts w:ascii="Arial" w:hAnsi="Arial" w:cs="Arial"/>
          <w:sz w:val="22"/>
          <w:szCs w:val="22"/>
        </w:rPr>
        <w:t>ID DS: z49per3</w:t>
      </w:r>
    </w:p>
    <w:p w14:paraId="439E9852"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36466CF0" w14:textId="77777777" w:rsidR="000F674E" w:rsidRPr="005123A9" w:rsidRDefault="000F674E">
      <w:pPr>
        <w:widowControl/>
        <w:rPr>
          <w:rFonts w:ascii="Arial" w:hAnsi="Arial" w:cs="Arial"/>
          <w:color w:val="000000"/>
          <w:sz w:val="22"/>
          <w:szCs w:val="22"/>
        </w:rPr>
      </w:pPr>
    </w:p>
    <w:p w14:paraId="1181AD4A" w14:textId="77777777" w:rsidR="00956FAE" w:rsidRDefault="00956FAE">
      <w:pPr>
        <w:widowControl/>
        <w:rPr>
          <w:rFonts w:ascii="Arial" w:hAnsi="Arial" w:cs="Arial"/>
          <w:color w:val="000000"/>
          <w:sz w:val="22"/>
          <w:szCs w:val="22"/>
        </w:rPr>
      </w:pPr>
    </w:p>
    <w:p w14:paraId="46CE0349" w14:textId="245CA70F"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6860E806" w14:textId="77777777" w:rsidR="000F674E" w:rsidRPr="005123A9" w:rsidRDefault="000F674E">
      <w:pPr>
        <w:widowControl/>
        <w:rPr>
          <w:rFonts w:ascii="Arial" w:hAnsi="Arial" w:cs="Arial"/>
          <w:color w:val="000000"/>
          <w:sz w:val="22"/>
          <w:szCs w:val="22"/>
        </w:rPr>
      </w:pPr>
    </w:p>
    <w:p w14:paraId="0967508C" w14:textId="77777777" w:rsidR="00956FAE" w:rsidRDefault="00956FAE" w:rsidP="00956FAE">
      <w:pPr>
        <w:widowControl/>
        <w:rPr>
          <w:rFonts w:ascii="Arial" w:hAnsi="Arial" w:cs="Arial"/>
          <w:b/>
          <w:color w:val="000000"/>
          <w:sz w:val="22"/>
          <w:szCs w:val="22"/>
        </w:rPr>
      </w:pPr>
    </w:p>
    <w:p w14:paraId="034F0F57" w14:textId="77777777" w:rsidR="00E86EBE" w:rsidRDefault="00E86EBE" w:rsidP="00E86EBE">
      <w:pPr>
        <w:widowControl/>
        <w:rPr>
          <w:rFonts w:ascii="Arial" w:hAnsi="Arial" w:cs="Arial"/>
          <w:color w:val="000000"/>
          <w:sz w:val="22"/>
          <w:szCs w:val="22"/>
        </w:rPr>
      </w:pPr>
      <w:r>
        <w:rPr>
          <w:rFonts w:ascii="Arial" w:hAnsi="Arial" w:cs="Arial"/>
          <w:b/>
          <w:color w:val="000000"/>
          <w:sz w:val="22"/>
          <w:szCs w:val="22"/>
        </w:rPr>
        <w:t>Plzeňský kraj</w:t>
      </w:r>
      <w:r>
        <w:rPr>
          <w:rFonts w:ascii="Arial" w:hAnsi="Arial" w:cs="Arial"/>
          <w:color w:val="000000"/>
          <w:sz w:val="22"/>
          <w:szCs w:val="22"/>
        </w:rPr>
        <w:t>, sídlo Škroupova 18, Plzeň, PSČ 306 13, IČO 70890366</w:t>
      </w:r>
    </w:p>
    <w:p w14:paraId="0B0C21B3" w14:textId="77777777" w:rsidR="00E86EBE" w:rsidRDefault="00E86EBE" w:rsidP="00E86EBE">
      <w:pPr>
        <w:widowControl/>
        <w:rPr>
          <w:rFonts w:ascii="Arial" w:hAnsi="Arial" w:cs="Arial"/>
          <w:color w:val="000000"/>
          <w:sz w:val="22"/>
          <w:szCs w:val="22"/>
        </w:rPr>
      </w:pPr>
      <w:r>
        <w:rPr>
          <w:rFonts w:ascii="Arial" w:hAnsi="Arial" w:cs="Arial"/>
          <w:color w:val="000000"/>
          <w:sz w:val="22"/>
          <w:szCs w:val="22"/>
        </w:rPr>
        <w:t>zastoupený panem Martinem Záhořem – náměstkem hejtmana Plzeňského kraje pro oblast sociálních věcí, investic a majetku, na základě plné moci ze dne 23.11.2022</w:t>
      </w:r>
    </w:p>
    <w:p w14:paraId="6B758022" w14:textId="77777777" w:rsidR="00E86EBE" w:rsidRDefault="00E86EBE" w:rsidP="00E86EBE">
      <w:pPr>
        <w:widowControl/>
        <w:rPr>
          <w:rFonts w:ascii="Arial" w:hAnsi="Arial" w:cs="Arial"/>
          <w:color w:val="000000"/>
          <w:sz w:val="22"/>
          <w:szCs w:val="22"/>
        </w:rPr>
      </w:pPr>
      <w:r>
        <w:rPr>
          <w:rFonts w:ascii="Arial" w:hAnsi="Arial" w:cs="Arial"/>
          <w:color w:val="000000"/>
          <w:sz w:val="22"/>
          <w:szCs w:val="22"/>
        </w:rPr>
        <w:t>(dále jen "n a b y v a t e l")</w:t>
      </w:r>
    </w:p>
    <w:p w14:paraId="447D6471" w14:textId="77777777" w:rsidR="000F674E" w:rsidRPr="005123A9" w:rsidRDefault="000F674E">
      <w:pPr>
        <w:widowControl/>
        <w:rPr>
          <w:rFonts w:ascii="Arial" w:hAnsi="Arial" w:cs="Arial"/>
          <w:color w:val="000000"/>
          <w:sz w:val="22"/>
          <w:szCs w:val="22"/>
        </w:rPr>
      </w:pPr>
    </w:p>
    <w:p w14:paraId="19832EA7" w14:textId="77777777" w:rsidR="000F674E" w:rsidRPr="005123A9" w:rsidRDefault="000F674E">
      <w:pPr>
        <w:widowControl/>
        <w:rPr>
          <w:rFonts w:ascii="Arial" w:hAnsi="Arial" w:cs="Arial"/>
          <w:sz w:val="22"/>
          <w:szCs w:val="22"/>
        </w:rPr>
      </w:pPr>
    </w:p>
    <w:p w14:paraId="58A169D9"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436697FA" w14:textId="77777777" w:rsidR="000F674E" w:rsidRPr="005123A9" w:rsidRDefault="000F674E">
      <w:pPr>
        <w:pStyle w:val="para"/>
        <w:widowControl/>
        <w:rPr>
          <w:rFonts w:ascii="Arial" w:hAnsi="Arial" w:cs="Arial"/>
          <w:sz w:val="22"/>
          <w:szCs w:val="22"/>
        </w:rPr>
      </w:pPr>
    </w:p>
    <w:p w14:paraId="51E12C1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4666034A" w14:textId="77777777" w:rsidR="000F674E" w:rsidRPr="005123A9" w:rsidRDefault="000F674E">
      <w:pPr>
        <w:widowControl/>
        <w:rPr>
          <w:rFonts w:ascii="Arial" w:hAnsi="Arial" w:cs="Arial"/>
          <w:b/>
          <w:bCs/>
          <w:sz w:val="22"/>
          <w:szCs w:val="22"/>
        </w:rPr>
      </w:pPr>
    </w:p>
    <w:p w14:paraId="529914E9"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1001972431</w:t>
      </w:r>
    </w:p>
    <w:p w14:paraId="55C3FF1E" w14:textId="77777777" w:rsidR="000F674E" w:rsidRPr="005123A9" w:rsidRDefault="000F674E">
      <w:pPr>
        <w:widowControl/>
        <w:rPr>
          <w:rFonts w:ascii="Arial" w:hAnsi="Arial" w:cs="Arial"/>
          <w:sz w:val="22"/>
          <w:szCs w:val="22"/>
        </w:rPr>
      </w:pPr>
    </w:p>
    <w:p w14:paraId="5B1EFEE2" w14:textId="77777777" w:rsidR="000F674E" w:rsidRDefault="000F674E">
      <w:pPr>
        <w:pStyle w:val="para"/>
        <w:widowControl/>
        <w:rPr>
          <w:rFonts w:ascii="Arial" w:hAnsi="Arial" w:cs="Arial"/>
          <w:sz w:val="22"/>
          <w:szCs w:val="22"/>
        </w:rPr>
      </w:pPr>
      <w:r w:rsidRPr="005123A9">
        <w:rPr>
          <w:rFonts w:ascii="Arial" w:hAnsi="Arial" w:cs="Arial"/>
          <w:sz w:val="22"/>
          <w:szCs w:val="22"/>
        </w:rPr>
        <w:t>I.</w:t>
      </w:r>
    </w:p>
    <w:p w14:paraId="2B5C5375" w14:textId="77777777" w:rsidR="00956FAE" w:rsidRPr="005123A9" w:rsidRDefault="00956FAE">
      <w:pPr>
        <w:pStyle w:val="para"/>
        <w:widowControl/>
        <w:rPr>
          <w:rFonts w:ascii="Arial" w:hAnsi="Arial" w:cs="Arial"/>
          <w:sz w:val="22"/>
          <w:szCs w:val="22"/>
        </w:rPr>
      </w:pPr>
    </w:p>
    <w:p w14:paraId="4F250DE6" w14:textId="19969702"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Plzeňský kraj, Katastrální pracoviště Tachov na LV 10 002:</w:t>
      </w:r>
    </w:p>
    <w:p w14:paraId="5B931CAD"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5BFF6CF"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206C3480"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226C90C"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14:paraId="54FBB430"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Planá</w:t>
      </w:r>
      <w:r w:rsidRPr="005123A9">
        <w:rPr>
          <w:rFonts w:ascii="Arial" w:hAnsi="Arial" w:cs="Arial"/>
          <w:sz w:val="18"/>
          <w:szCs w:val="18"/>
        </w:rPr>
        <w:tab/>
      </w:r>
      <w:proofErr w:type="spellStart"/>
      <w:r w:rsidRPr="005123A9">
        <w:rPr>
          <w:rFonts w:ascii="Arial" w:hAnsi="Arial" w:cs="Arial"/>
          <w:sz w:val="18"/>
          <w:szCs w:val="18"/>
        </w:rPr>
        <w:t>Planá</w:t>
      </w:r>
      <w:proofErr w:type="spellEnd"/>
      <w:r w:rsidRPr="005123A9">
        <w:rPr>
          <w:rFonts w:ascii="Arial" w:hAnsi="Arial" w:cs="Arial"/>
          <w:sz w:val="18"/>
          <w:szCs w:val="18"/>
        </w:rPr>
        <w:t xml:space="preserve"> u Mariánských Lázní</w:t>
      </w:r>
      <w:r w:rsidRPr="005123A9">
        <w:rPr>
          <w:rFonts w:ascii="Arial" w:hAnsi="Arial" w:cs="Arial"/>
          <w:sz w:val="18"/>
          <w:szCs w:val="18"/>
        </w:rPr>
        <w:tab/>
        <w:t>1622/97</w:t>
      </w:r>
      <w:r w:rsidRPr="005123A9">
        <w:rPr>
          <w:rFonts w:ascii="Arial" w:hAnsi="Arial" w:cs="Arial"/>
          <w:sz w:val="18"/>
          <w:szCs w:val="18"/>
        </w:rPr>
        <w:tab/>
        <w:t>orná půda</w:t>
      </w:r>
    </w:p>
    <w:p w14:paraId="573C85C1"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Nově vytvořeno GP: číslo 2604-89/2023 ze dne 13.10.2023 z parcely č. KN 1622/1</w:t>
      </w:r>
    </w:p>
    <w:p w14:paraId="47E421AB"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15EC6DD2"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2A3DDCD2" w14:textId="77777777" w:rsidR="000F674E" w:rsidRPr="005123A9" w:rsidRDefault="000F674E">
      <w:pPr>
        <w:widowControl/>
        <w:rPr>
          <w:rFonts w:ascii="Arial" w:hAnsi="Arial" w:cs="Arial"/>
          <w:sz w:val="22"/>
          <w:szCs w:val="22"/>
        </w:rPr>
      </w:pPr>
    </w:p>
    <w:p w14:paraId="224D1B5D" w14:textId="77777777" w:rsidR="000F674E" w:rsidRDefault="000F674E">
      <w:pPr>
        <w:pStyle w:val="para"/>
        <w:widowControl/>
        <w:rPr>
          <w:rFonts w:ascii="Arial" w:hAnsi="Arial" w:cs="Arial"/>
          <w:sz w:val="22"/>
          <w:szCs w:val="22"/>
        </w:rPr>
      </w:pPr>
      <w:r w:rsidRPr="005123A9">
        <w:rPr>
          <w:rFonts w:ascii="Arial" w:hAnsi="Arial" w:cs="Arial"/>
          <w:sz w:val="22"/>
          <w:szCs w:val="22"/>
        </w:rPr>
        <w:t>II.</w:t>
      </w:r>
    </w:p>
    <w:p w14:paraId="1620ECED" w14:textId="77777777" w:rsidR="00956FAE" w:rsidRPr="005123A9" w:rsidRDefault="00956FAE">
      <w:pPr>
        <w:pStyle w:val="para"/>
        <w:widowControl/>
        <w:rPr>
          <w:rFonts w:ascii="Arial" w:hAnsi="Arial" w:cs="Arial"/>
          <w:sz w:val="22"/>
          <w:szCs w:val="22"/>
        </w:rPr>
      </w:pPr>
    </w:p>
    <w:p w14:paraId="031F85AC"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3 písmeno b)</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6B57C484" w14:textId="77777777" w:rsidR="00782C07" w:rsidRPr="005123A9" w:rsidRDefault="00782C07" w:rsidP="00782C07">
      <w:pPr>
        <w:pStyle w:val="vnintext"/>
        <w:rPr>
          <w:rFonts w:ascii="Arial" w:hAnsi="Arial" w:cs="Arial"/>
          <w:sz w:val="22"/>
          <w:szCs w:val="22"/>
        </w:rPr>
      </w:pPr>
    </w:p>
    <w:p w14:paraId="211ADC2A" w14:textId="77777777" w:rsidR="000F674E" w:rsidRDefault="000F674E">
      <w:pPr>
        <w:pStyle w:val="para"/>
        <w:widowControl/>
        <w:rPr>
          <w:rFonts w:ascii="Arial" w:hAnsi="Arial" w:cs="Arial"/>
          <w:sz w:val="22"/>
          <w:szCs w:val="22"/>
        </w:rPr>
      </w:pPr>
      <w:r w:rsidRPr="005123A9">
        <w:rPr>
          <w:rFonts w:ascii="Arial" w:hAnsi="Arial" w:cs="Arial"/>
          <w:sz w:val="22"/>
          <w:szCs w:val="22"/>
        </w:rPr>
        <w:t>III.</w:t>
      </w:r>
    </w:p>
    <w:p w14:paraId="64A9EE4C" w14:textId="77777777" w:rsidR="00956FAE" w:rsidRPr="005123A9" w:rsidRDefault="00956FAE">
      <w:pPr>
        <w:pStyle w:val="para"/>
        <w:widowControl/>
        <w:rPr>
          <w:rFonts w:ascii="Arial" w:hAnsi="Arial" w:cs="Arial"/>
          <w:sz w:val="22"/>
          <w:szCs w:val="22"/>
        </w:rPr>
      </w:pPr>
    </w:p>
    <w:p w14:paraId="1E7D0A81"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stavu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440EF321" w14:textId="77777777" w:rsidR="00956FAE" w:rsidRDefault="00956FAE">
      <w:pPr>
        <w:pStyle w:val="para"/>
        <w:widowControl/>
        <w:rPr>
          <w:rFonts w:ascii="Arial" w:hAnsi="Arial" w:cs="Arial"/>
          <w:sz w:val="22"/>
          <w:szCs w:val="22"/>
        </w:rPr>
      </w:pPr>
    </w:p>
    <w:p w14:paraId="40009312" w14:textId="77777777" w:rsidR="000E4B50" w:rsidRDefault="000E4B50">
      <w:pPr>
        <w:pStyle w:val="para"/>
        <w:widowControl/>
        <w:rPr>
          <w:rFonts w:ascii="Arial" w:hAnsi="Arial" w:cs="Arial"/>
          <w:sz w:val="22"/>
          <w:szCs w:val="22"/>
        </w:rPr>
      </w:pPr>
    </w:p>
    <w:p w14:paraId="7219081F" w14:textId="090FD8E6" w:rsidR="000F674E" w:rsidRDefault="000F674E">
      <w:pPr>
        <w:pStyle w:val="para"/>
        <w:widowControl/>
        <w:rPr>
          <w:rFonts w:ascii="Arial" w:hAnsi="Arial" w:cs="Arial"/>
          <w:sz w:val="22"/>
          <w:szCs w:val="22"/>
        </w:rPr>
      </w:pPr>
      <w:r w:rsidRPr="005123A9">
        <w:rPr>
          <w:rFonts w:ascii="Arial" w:hAnsi="Arial" w:cs="Arial"/>
          <w:sz w:val="22"/>
          <w:szCs w:val="22"/>
        </w:rPr>
        <w:t>IV.</w:t>
      </w:r>
    </w:p>
    <w:p w14:paraId="20BC5F2B" w14:textId="77777777" w:rsidR="00956FAE" w:rsidRPr="005123A9" w:rsidRDefault="00956FAE">
      <w:pPr>
        <w:pStyle w:val="para"/>
        <w:widowControl/>
        <w:rPr>
          <w:rFonts w:ascii="Arial" w:hAnsi="Arial" w:cs="Arial"/>
          <w:sz w:val="22"/>
          <w:szCs w:val="22"/>
        </w:rPr>
      </w:pPr>
    </w:p>
    <w:p w14:paraId="4559873F" w14:textId="7777777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k zastavění veřejně prospěšnou stavbou, převádí na nabyvatele bezúplatně.</w:t>
      </w:r>
    </w:p>
    <w:p w14:paraId="16A64AA4" w14:textId="77777777" w:rsidR="005A734C" w:rsidRPr="007B7B6F" w:rsidRDefault="005A734C" w:rsidP="00695F4D">
      <w:pPr>
        <w:pStyle w:val="vnintext0"/>
        <w:ind w:firstLine="0"/>
        <w:rPr>
          <w:rFonts w:ascii="Arial"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5A734C" w:rsidRPr="007B7B6F" w14:paraId="39E19EF0" w14:textId="77777777" w:rsidTr="009D6C48">
        <w:tc>
          <w:tcPr>
            <w:tcW w:w="3261" w:type="dxa"/>
            <w:hideMark/>
          </w:tcPr>
          <w:p w14:paraId="048A2563" w14:textId="77777777" w:rsidR="005A734C" w:rsidRPr="007B7B6F" w:rsidRDefault="005A734C" w:rsidP="009D6C48">
            <w:pPr>
              <w:tabs>
                <w:tab w:val="left" w:pos="709"/>
              </w:tabs>
              <w:spacing w:line="276" w:lineRule="auto"/>
              <w:jc w:val="both"/>
              <w:rPr>
                <w:rFonts w:ascii="Arial" w:hAnsi="Arial" w:cs="Arial"/>
                <w:sz w:val="18"/>
                <w:szCs w:val="18"/>
                <w:lang w:eastAsia="en-US"/>
              </w:rPr>
            </w:pPr>
            <w:r w:rsidRPr="007B7B6F">
              <w:rPr>
                <w:rFonts w:ascii="Arial" w:hAnsi="Arial" w:cs="Arial"/>
                <w:sz w:val="18"/>
                <w:szCs w:val="18"/>
                <w:lang w:eastAsia="en-US"/>
              </w:rPr>
              <w:t xml:space="preserve">Katastrální území </w:t>
            </w:r>
          </w:p>
        </w:tc>
        <w:tc>
          <w:tcPr>
            <w:tcW w:w="2551" w:type="dxa"/>
            <w:hideMark/>
          </w:tcPr>
          <w:p w14:paraId="42C8F618" w14:textId="77777777" w:rsidR="005A734C" w:rsidRPr="007B7B6F" w:rsidRDefault="005A734C" w:rsidP="009D6C48">
            <w:pPr>
              <w:tabs>
                <w:tab w:val="left" w:pos="709"/>
              </w:tabs>
              <w:spacing w:line="276" w:lineRule="auto"/>
              <w:jc w:val="both"/>
              <w:rPr>
                <w:rFonts w:ascii="Arial" w:hAnsi="Arial" w:cs="Arial"/>
                <w:sz w:val="18"/>
                <w:szCs w:val="18"/>
                <w:lang w:eastAsia="en-US"/>
              </w:rPr>
            </w:pPr>
            <w:proofErr w:type="spellStart"/>
            <w:r w:rsidRPr="007B7B6F">
              <w:rPr>
                <w:rFonts w:ascii="Arial" w:hAnsi="Arial" w:cs="Arial"/>
                <w:sz w:val="18"/>
                <w:szCs w:val="18"/>
                <w:lang w:eastAsia="en-US"/>
              </w:rPr>
              <w:t>Parc</w:t>
            </w:r>
            <w:proofErr w:type="spellEnd"/>
            <w:r w:rsidRPr="007B7B6F">
              <w:rPr>
                <w:rFonts w:ascii="Arial" w:hAnsi="Arial" w:cs="Arial"/>
                <w:sz w:val="18"/>
                <w:szCs w:val="18"/>
                <w:lang w:eastAsia="en-US"/>
              </w:rPr>
              <w:t>. č.</w:t>
            </w:r>
          </w:p>
        </w:tc>
        <w:tc>
          <w:tcPr>
            <w:tcW w:w="3260" w:type="dxa"/>
            <w:hideMark/>
          </w:tcPr>
          <w:p w14:paraId="3295DA3A" w14:textId="77777777" w:rsidR="005A734C" w:rsidRPr="007B7B6F" w:rsidRDefault="005A734C" w:rsidP="009D6C48">
            <w:pPr>
              <w:spacing w:line="276" w:lineRule="auto"/>
              <w:rPr>
                <w:rFonts w:ascii="Arial" w:hAnsi="Arial" w:cs="Arial"/>
                <w:sz w:val="18"/>
                <w:szCs w:val="18"/>
                <w:lang w:eastAsia="en-US"/>
              </w:rPr>
            </w:pPr>
            <w:r w:rsidRPr="007B7B6F">
              <w:rPr>
                <w:rFonts w:ascii="Arial" w:hAnsi="Arial" w:cs="Arial"/>
                <w:sz w:val="18"/>
                <w:szCs w:val="18"/>
                <w:lang w:eastAsia="en-US"/>
              </w:rPr>
              <w:t>Účetní ocenění v Kč</w:t>
            </w:r>
          </w:p>
        </w:tc>
      </w:tr>
      <w:tr w:rsidR="005A734C" w:rsidRPr="007B7B6F" w14:paraId="42F0C453" w14:textId="77777777" w:rsidTr="009D6C48">
        <w:tc>
          <w:tcPr>
            <w:tcW w:w="3261" w:type="dxa"/>
            <w:hideMark/>
          </w:tcPr>
          <w:p w14:paraId="1F9B3C0D" w14:textId="77777777" w:rsidR="005A734C" w:rsidRPr="007B7B6F" w:rsidRDefault="005A734C" w:rsidP="00676A32">
            <w:pPr>
              <w:pStyle w:val="vnintext0"/>
              <w:ind w:firstLine="0"/>
              <w:jc w:val="left"/>
              <w:rPr>
                <w:rFonts w:ascii="Arial" w:hAnsi="Arial" w:cs="Arial"/>
                <w:sz w:val="18"/>
                <w:szCs w:val="18"/>
              </w:rPr>
            </w:pPr>
            <w:r w:rsidRPr="007B7B6F">
              <w:rPr>
                <w:rFonts w:ascii="Arial" w:hAnsi="Arial" w:cs="Arial"/>
                <w:sz w:val="18"/>
                <w:szCs w:val="18"/>
              </w:rPr>
              <w:t>Planá u Mariánských Lázní</w:t>
            </w:r>
          </w:p>
        </w:tc>
        <w:tc>
          <w:tcPr>
            <w:tcW w:w="2551" w:type="dxa"/>
            <w:hideMark/>
          </w:tcPr>
          <w:p w14:paraId="215B708D" w14:textId="77777777" w:rsidR="005A734C" w:rsidRPr="007B7B6F" w:rsidRDefault="005A734C" w:rsidP="00676A32">
            <w:pPr>
              <w:pStyle w:val="vnintext0"/>
              <w:ind w:firstLine="0"/>
              <w:jc w:val="left"/>
              <w:rPr>
                <w:rFonts w:ascii="Arial" w:hAnsi="Arial" w:cs="Arial"/>
                <w:sz w:val="18"/>
                <w:szCs w:val="18"/>
              </w:rPr>
            </w:pPr>
            <w:r w:rsidRPr="007B7B6F">
              <w:rPr>
                <w:rFonts w:ascii="Arial" w:hAnsi="Arial" w:cs="Arial"/>
                <w:sz w:val="18"/>
                <w:szCs w:val="18"/>
              </w:rPr>
              <w:t>KN 1622/97</w:t>
            </w:r>
          </w:p>
        </w:tc>
        <w:tc>
          <w:tcPr>
            <w:tcW w:w="3260" w:type="dxa"/>
            <w:hideMark/>
          </w:tcPr>
          <w:p w14:paraId="4BF9A30B" w14:textId="77777777" w:rsidR="005A734C" w:rsidRPr="007B7B6F" w:rsidRDefault="005A734C" w:rsidP="00676A32">
            <w:pPr>
              <w:pStyle w:val="vnintext0"/>
              <w:ind w:firstLine="0"/>
              <w:jc w:val="left"/>
              <w:rPr>
                <w:rFonts w:ascii="Arial" w:hAnsi="Arial" w:cs="Arial"/>
                <w:sz w:val="18"/>
                <w:szCs w:val="18"/>
              </w:rPr>
            </w:pPr>
            <w:r w:rsidRPr="007B7B6F">
              <w:rPr>
                <w:rFonts w:ascii="Arial" w:hAnsi="Arial" w:cs="Arial"/>
                <w:sz w:val="18"/>
                <w:szCs w:val="18"/>
              </w:rPr>
              <w:t>166 747,56 Kč</w:t>
            </w:r>
          </w:p>
        </w:tc>
      </w:tr>
    </w:tbl>
    <w:p w14:paraId="29A86A23" w14:textId="77777777" w:rsidR="00676A32" w:rsidRPr="007B7B6F" w:rsidRDefault="00676A32" w:rsidP="00676A32">
      <w:pPr>
        <w:pStyle w:val="vnintext0"/>
        <w:ind w:firstLine="0"/>
        <w:rPr>
          <w:rFonts w:ascii="Arial" w:hAnsi="Arial" w:cs="Arial"/>
          <w:sz w:val="18"/>
          <w:szCs w:val="18"/>
        </w:rPr>
      </w:pPr>
    </w:p>
    <w:p w14:paraId="3CFC8D38" w14:textId="2403B41D" w:rsidR="008F106A" w:rsidRPr="00123341" w:rsidRDefault="00956FAE" w:rsidP="008F106A">
      <w:pPr>
        <w:pStyle w:val="vnintext0"/>
        <w:ind w:firstLine="0"/>
        <w:rPr>
          <w:rFonts w:ascii="Arial" w:hAnsi="Arial" w:cs="Arial"/>
          <w:sz w:val="22"/>
          <w:szCs w:val="22"/>
        </w:rPr>
      </w:pPr>
      <w:r>
        <w:rPr>
          <w:rFonts w:ascii="Arial" w:hAnsi="Arial" w:cs="Arial"/>
          <w:sz w:val="22"/>
          <w:szCs w:val="22"/>
        </w:rPr>
        <w:t xml:space="preserve">      </w:t>
      </w:r>
      <w:r w:rsidR="009366DA" w:rsidRPr="004E4596">
        <w:rPr>
          <w:rFonts w:ascii="Arial" w:hAnsi="Arial" w:cs="Arial"/>
          <w:sz w:val="22"/>
          <w:szCs w:val="22"/>
        </w:rPr>
        <w:t>2)</w:t>
      </w:r>
      <w:r w:rsidR="008F106A" w:rsidRPr="008F106A">
        <w:rPr>
          <w:rFonts w:ascii="Arial" w:hAnsi="Arial" w:cs="Arial"/>
          <w:sz w:val="22"/>
          <w:szCs w:val="22"/>
        </w:rPr>
        <w:t xml:space="preserve"> </w:t>
      </w:r>
      <w:r w:rsidR="008F106A" w:rsidRPr="00123341">
        <w:rPr>
          <w:rFonts w:ascii="Arial" w:hAnsi="Arial" w:cs="Arial"/>
          <w:sz w:val="22"/>
          <w:szCs w:val="22"/>
        </w:rPr>
        <w:t>V případě změny územně plánovací dokumentace, která by v rámci hlavního funkčního využití plochy neumožnila naplnění účelu převodu pozemku uvedeného v článku IV. písm. 1), či změny rozhodnutí o umístění stavby, na základě kterého došlo k bezúplatnému převodu pozemku do vlastnictví kraje podle § 7 písm.</w:t>
      </w:r>
      <w:r w:rsidR="008F106A" w:rsidRPr="00123341">
        <w:rPr>
          <w:rFonts w:ascii="Arial" w:hAnsi="Arial" w:cs="Arial"/>
          <w:i/>
          <w:iCs/>
          <w:sz w:val="22"/>
          <w:szCs w:val="22"/>
        </w:rPr>
        <w:t xml:space="preserve"> b), </w:t>
      </w:r>
      <w:r w:rsidR="008F106A" w:rsidRPr="00123341">
        <w:rPr>
          <w:rFonts w:ascii="Arial" w:hAnsi="Arial" w:cs="Arial"/>
          <w:sz w:val="22"/>
          <w:szCs w:val="22"/>
        </w:rPr>
        <w:t>kterým by zamýšlená stavba nebyla veřejně prospěšnou stavbou, je kraj povinen zemědělský pozemek převést zpět za stejných podmínek, za jakých byl na kraj převeden, a to ve lhůtě 6 měsíců ode dne nabytí účinnosti změny územního plánu nebo změny regulačního plánu nebo ode dne nabytí právní moci změny o umístění stavby. Jestliže nebude možné pozemek převést zpět, protože je ve vlastnictví třetí osoby, je kraj povinen ve stejné lhůtě poskytnout Státnímu pozemkovému úřadu finanční náhradu ve výši ceny pozemku zjištěné podle cenového předpisu platného ke dni uzavření smlouvy, podle které byl pozemek kraji převeden, a podle současného způsobu využití pozemku.</w:t>
      </w:r>
    </w:p>
    <w:p w14:paraId="3FC26247" w14:textId="77777777" w:rsidR="000F674E" w:rsidRPr="005123A9" w:rsidRDefault="008F106A" w:rsidP="00240A48">
      <w:pPr>
        <w:jc w:val="both"/>
        <w:rPr>
          <w:rFonts w:ascii="Arial" w:hAnsi="Arial" w:cs="Arial"/>
          <w:sz w:val="22"/>
          <w:szCs w:val="22"/>
        </w:rPr>
      </w:pPr>
      <w:r w:rsidRPr="008F106A">
        <w:rPr>
          <w:rFonts w:ascii="Arial" w:hAnsi="Arial" w:cs="Arial"/>
          <w:sz w:val="22"/>
          <w:szCs w:val="22"/>
        </w:rPr>
        <w:t>Tato povinnost platí po dobu 5 let ode dne provedení vkladu vlastnického práva</w:t>
      </w:r>
      <w:r w:rsidRPr="008F106A">
        <w:rPr>
          <w:rFonts w:ascii="Arial" w:hAnsi="Arial" w:cs="Arial"/>
          <w:sz w:val="22"/>
          <w:szCs w:val="22"/>
        </w:rPr>
        <w:br/>
        <w:t>k zemědělskému pozemku do katastru nemovitostí ve prospěch kraje</w:t>
      </w:r>
      <w:r w:rsidRPr="00123341">
        <w:rPr>
          <w:rFonts w:ascii="Arial" w:hAnsi="Arial" w:cs="Arial"/>
        </w:rPr>
        <w:t>.</w:t>
      </w:r>
      <w:r w:rsidR="000F674E" w:rsidRPr="005123A9">
        <w:rPr>
          <w:rFonts w:ascii="Arial" w:hAnsi="Arial" w:cs="Arial"/>
          <w:sz w:val="22"/>
          <w:szCs w:val="22"/>
        </w:rPr>
        <w:t xml:space="preserve"> </w:t>
      </w:r>
    </w:p>
    <w:p w14:paraId="1F411BD5" w14:textId="77777777"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1FD56C49" w14:textId="77777777" w:rsidR="000F674E" w:rsidRPr="005123A9" w:rsidRDefault="000F674E">
      <w:pPr>
        <w:pStyle w:val="vnitrniText"/>
        <w:widowControl/>
        <w:rPr>
          <w:rFonts w:ascii="Arial" w:hAnsi="Arial" w:cs="Arial"/>
          <w:sz w:val="22"/>
          <w:szCs w:val="22"/>
        </w:rPr>
      </w:pPr>
    </w:p>
    <w:p w14:paraId="59A7DEF2" w14:textId="77777777" w:rsidR="000F674E" w:rsidRDefault="000F674E">
      <w:pPr>
        <w:pStyle w:val="para"/>
        <w:widowControl/>
        <w:rPr>
          <w:rFonts w:ascii="Arial" w:hAnsi="Arial" w:cs="Arial"/>
          <w:sz w:val="22"/>
          <w:szCs w:val="22"/>
        </w:rPr>
      </w:pPr>
      <w:r w:rsidRPr="005123A9">
        <w:rPr>
          <w:rFonts w:ascii="Arial" w:hAnsi="Arial" w:cs="Arial"/>
          <w:sz w:val="22"/>
          <w:szCs w:val="22"/>
        </w:rPr>
        <w:t>V.</w:t>
      </w:r>
    </w:p>
    <w:p w14:paraId="73BFA862" w14:textId="77777777" w:rsidR="00956FAE" w:rsidRPr="005123A9" w:rsidRDefault="00956FAE">
      <w:pPr>
        <w:pStyle w:val="para"/>
        <w:widowControl/>
        <w:rPr>
          <w:rFonts w:ascii="Arial" w:hAnsi="Arial" w:cs="Arial"/>
          <w:sz w:val="22"/>
          <w:szCs w:val="22"/>
        </w:rPr>
      </w:pPr>
    </w:p>
    <w:p w14:paraId="1820CD1F"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3D69E49F"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27470BE" w14:textId="215065C3" w:rsidR="000F674E" w:rsidRPr="005123A9" w:rsidRDefault="000F674E">
      <w:pPr>
        <w:pStyle w:val="vnitrniText"/>
        <w:widowControl/>
        <w:rPr>
          <w:rFonts w:ascii="Arial" w:hAnsi="Arial" w:cs="Arial"/>
          <w:sz w:val="22"/>
          <w:szCs w:val="22"/>
        </w:rPr>
      </w:pPr>
      <w:r w:rsidRPr="005123A9">
        <w:rPr>
          <w:rFonts w:ascii="Arial" w:hAnsi="Arial" w:cs="Arial"/>
          <w:sz w:val="22"/>
          <w:szCs w:val="22"/>
        </w:rPr>
        <w:t>2)  Užívací vztah k převáděnému pozemku je řešen: nájemní smlouvou č.29N23/31, kterou s SPÚ, resp. dříve PF ČR uzavřela DUDA farma Planá s.r.o., jakožto nájemce. S obsahem nájemní smlouvy byl nabyvatel seznámen před podpisem této smlouvy, což stvrzuje svým podpisem.</w:t>
      </w:r>
    </w:p>
    <w:p w14:paraId="6815FFB7" w14:textId="77777777" w:rsidR="000F674E" w:rsidRPr="005123A9" w:rsidRDefault="000F674E">
      <w:pPr>
        <w:pStyle w:val="vnitrniText"/>
        <w:widowControl/>
        <w:rPr>
          <w:rFonts w:ascii="Arial" w:hAnsi="Arial" w:cs="Arial"/>
          <w:sz w:val="22"/>
          <w:szCs w:val="22"/>
        </w:rPr>
      </w:pPr>
    </w:p>
    <w:p w14:paraId="2EFFEF64" w14:textId="17A53BDA"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 3) Převáděný pozemek je součástí společenstevní honitby, jejímž držitelem je Honební spole</w:t>
      </w:r>
      <w:r w:rsidR="00956FAE">
        <w:rPr>
          <w:rFonts w:ascii="Arial" w:hAnsi="Arial" w:cs="Arial"/>
          <w:sz w:val="22"/>
          <w:szCs w:val="22"/>
        </w:rPr>
        <w:t>č</w:t>
      </w:r>
      <w:r w:rsidRPr="005123A9">
        <w:rPr>
          <w:rFonts w:ascii="Arial" w:hAnsi="Arial" w:cs="Arial"/>
          <w:sz w:val="22"/>
          <w:szCs w:val="22"/>
        </w:rPr>
        <w:t>enstvo Otín. Tento pozemek je ve smyslu zákona č. 503/2012 Sb., o Státním pozemkovém úřadu, ve znění pozdějších předpisů, v režimu přičlenění.</w:t>
      </w:r>
    </w:p>
    <w:p w14:paraId="2B8F95FD" w14:textId="77777777" w:rsidR="000F674E" w:rsidRPr="005123A9" w:rsidRDefault="00C97A7C">
      <w:pPr>
        <w:pStyle w:val="vnitrniText"/>
        <w:widowControl/>
        <w:rPr>
          <w:rFonts w:ascii="Arial" w:hAnsi="Arial" w:cs="Arial"/>
          <w:sz w:val="22"/>
          <w:szCs w:val="22"/>
          <w:lang w:val="en-US"/>
        </w:rPr>
      </w:pPr>
      <w:r>
        <w:rPr>
          <w:rFonts w:ascii="Arial" w:hAnsi="Arial" w:cs="Arial"/>
          <w:sz w:val="22"/>
          <w:szCs w:val="22"/>
        </w:rPr>
        <w:t>4)</w:t>
      </w:r>
      <w:r w:rsidR="00697524">
        <w:rPr>
          <w:rFonts w:ascii="Arial" w:hAnsi="Arial" w:cs="Arial"/>
          <w:sz w:val="22"/>
          <w:szCs w:val="22"/>
        </w:rPr>
        <w:t xml:space="preserve"> </w:t>
      </w:r>
      <w:r>
        <w:rPr>
          <w:rFonts w:ascii="Arial" w:hAnsi="Arial" w:cs="Arial"/>
          <w:sz w:val="22"/>
          <w:szCs w:val="22"/>
        </w:rPr>
        <w:t xml:space="preserve">Nabyvatel nabývá pozemek ve smyslu § 1918 zákona č. 89/2012 Sb., </w:t>
      </w:r>
      <w:r w:rsidRPr="00AF080F">
        <w:rPr>
          <w:rFonts w:ascii="Arial" w:hAnsi="Arial" w:cs="Arial"/>
          <w:sz w:val="22"/>
          <w:szCs w:val="22"/>
        </w:rPr>
        <w:t>O</w:t>
      </w:r>
      <w:r>
        <w:rPr>
          <w:rFonts w:ascii="Arial" w:hAnsi="Arial" w:cs="Arial"/>
          <w:sz w:val="22"/>
          <w:szCs w:val="22"/>
        </w:rPr>
        <w:t>bčanský zákoník tak, jak stojí a leží. V souladu s ustanovením § 1916 odst. 2 zákona č. 89/2012 Sb. Občanský zákoník se pak nabyvatel vzdává svého práva z vadného plnění a zavazuje se, že nebude po převádějícím uplatňovat jakákoliv práva z vad převáděného pozemku.</w:t>
      </w:r>
    </w:p>
    <w:p w14:paraId="3E79C967" w14:textId="77777777" w:rsidR="000F674E" w:rsidRPr="005123A9" w:rsidRDefault="000F674E">
      <w:pPr>
        <w:pStyle w:val="vnitrniText"/>
        <w:widowControl/>
        <w:rPr>
          <w:rFonts w:ascii="Arial" w:hAnsi="Arial" w:cs="Arial"/>
          <w:sz w:val="22"/>
          <w:szCs w:val="22"/>
        </w:rPr>
      </w:pPr>
    </w:p>
    <w:p w14:paraId="61303AA0" w14:textId="77777777" w:rsidR="000F674E" w:rsidRDefault="000F674E">
      <w:pPr>
        <w:pStyle w:val="para"/>
        <w:widowControl/>
        <w:rPr>
          <w:rFonts w:ascii="Arial" w:hAnsi="Arial" w:cs="Arial"/>
          <w:sz w:val="22"/>
          <w:szCs w:val="22"/>
        </w:rPr>
      </w:pPr>
      <w:r w:rsidRPr="005123A9">
        <w:rPr>
          <w:rFonts w:ascii="Arial" w:hAnsi="Arial" w:cs="Arial"/>
          <w:sz w:val="22"/>
          <w:szCs w:val="22"/>
        </w:rPr>
        <w:t>VI.</w:t>
      </w:r>
    </w:p>
    <w:p w14:paraId="47A337FF" w14:textId="77777777" w:rsidR="00956FAE" w:rsidRPr="005123A9" w:rsidRDefault="00956FAE">
      <w:pPr>
        <w:pStyle w:val="para"/>
        <w:widowControl/>
        <w:rPr>
          <w:rFonts w:ascii="Arial" w:hAnsi="Arial" w:cs="Arial"/>
          <w:sz w:val="22"/>
          <w:szCs w:val="22"/>
        </w:rPr>
      </w:pPr>
    </w:p>
    <w:p w14:paraId="1245ED89" w14:textId="77777777" w:rsidR="000F674E"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65669E9C" w14:textId="77777777" w:rsidR="004B2896" w:rsidRPr="005123A9" w:rsidRDefault="004B2896">
      <w:pPr>
        <w:pStyle w:val="vnitrniText"/>
        <w:widowControl/>
        <w:rPr>
          <w:rFonts w:ascii="Arial" w:hAnsi="Arial" w:cs="Arial"/>
          <w:sz w:val="22"/>
          <w:szCs w:val="22"/>
        </w:rPr>
      </w:pPr>
    </w:p>
    <w:p w14:paraId="1FB65958" w14:textId="77777777" w:rsidR="004268A4" w:rsidRDefault="004268A4" w:rsidP="004268A4">
      <w:pPr>
        <w:pStyle w:val="vnintext0"/>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lastRenderedPageBreak/>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2CCA8D3" w14:textId="77777777" w:rsidR="00956FAE" w:rsidRDefault="00956FAE" w:rsidP="00E86EBE">
      <w:pPr>
        <w:pStyle w:val="vnintext0"/>
        <w:tabs>
          <w:tab w:val="clear" w:pos="709"/>
        </w:tabs>
        <w:ind w:firstLine="0"/>
        <w:rPr>
          <w:rFonts w:ascii="Arial" w:hAnsi="Arial" w:cs="Arial"/>
          <w:sz w:val="22"/>
          <w:szCs w:val="22"/>
        </w:rPr>
      </w:pPr>
    </w:p>
    <w:p w14:paraId="318E3DC4" w14:textId="77777777" w:rsidR="004268A4" w:rsidRPr="0003365A" w:rsidRDefault="004268A4" w:rsidP="004268A4">
      <w:pPr>
        <w:pStyle w:val="vnintext0"/>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38E455E8" w14:textId="77777777" w:rsidR="004268A4" w:rsidRPr="0003365A" w:rsidRDefault="004268A4" w:rsidP="004268A4">
      <w:pPr>
        <w:pStyle w:val="vnintext0"/>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2AC0669F" w14:textId="77777777" w:rsidR="000F674E" w:rsidRPr="005123A9" w:rsidRDefault="000F674E">
      <w:pPr>
        <w:pStyle w:val="vnitrniText"/>
        <w:widowControl/>
        <w:rPr>
          <w:rFonts w:ascii="Arial" w:hAnsi="Arial" w:cs="Arial"/>
          <w:b/>
          <w:bCs/>
          <w:sz w:val="22"/>
          <w:szCs w:val="22"/>
        </w:rPr>
      </w:pPr>
    </w:p>
    <w:p w14:paraId="322DA439" w14:textId="77777777" w:rsidR="000F674E" w:rsidRDefault="000F674E">
      <w:pPr>
        <w:pStyle w:val="para"/>
        <w:widowControl/>
        <w:rPr>
          <w:rFonts w:ascii="Arial" w:hAnsi="Arial" w:cs="Arial"/>
          <w:sz w:val="22"/>
          <w:szCs w:val="22"/>
        </w:rPr>
      </w:pPr>
      <w:r w:rsidRPr="005123A9">
        <w:rPr>
          <w:rFonts w:ascii="Arial" w:hAnsi="Arial" w:cs="Arial"/>
          <w:sz w:val="22"/>
          <w:szCs w:val="22"/>
        </w:rPr>
        <w:t>VII.</w:t>
      </w:r>
    </w:p>
    <w:p w14:paraId="5B93190C" w14:textId="77777777" w:rsidR="00956FAE" w:rsidRPr="005123A9" w:rsidRDefault="00956FAE">
      <w:pPr>
        <w:pStyle w:val="para"/>
        <w:widowControl/>
        <w:rPr>
          <w:rFonts w:ascii="Arial" w:hAnsi="Arial" w:cs="Arial"/>
          <w:sz w:val="22"/>
          <w:szCs w:val="22"/>
        </w:rPr>
      </w:pPr>
    </w:p>
    <w:p w14:paraId="1C01FCF8"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13527CE7" w14:textId="4C9D0ED4"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3 písmeno b)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změny územního plánu č.  2A m</w:t>
      </w:r>
      <w:r w:rsidR="00956FAE">
        <w:rPr>
          <w:rFonts w:ascii="Arial" w:hAnsi="Arial" w:cs="Arial"/>
          <w:sz w:val="22"/>
          <w:szCs w:val="22"/>
        </w:rPr>
        <w:t>ě</w:t>
      </w:r>
      <w:r w:rsidRPr="005123A9">
        <w:rPr>
          <w:rFonts w:ascii="Arial" w:hAnsi="Arial" w:cs="Arial"/>
          <w:sz w:val="22"/>
          <w:szCs w:val="22"/>
        </w:rPr>
        <w:t>sta Planá ze dne 31.5.2023.</w:t>
      </w:r>
    </w:p>
    <w:p w14:paraId="5E8E7658" w14:textId="77777777" w:rsidR="00D26AE9" w:rsidRDefault="00D26AE9">
      <w:pPr>
        <w:widowControl/>
        <w:ind w:firstLine="426"/>
        <w:jc w:val="both"/>
        <w:rPr>
          <w:rFonts w:ascii="Arial" w:hAnsi="Arial" w:cs="Arial"/>
          <w:sz w:val="22"/>
          <w:szCs w:val="22"/>
        </w:rPr>
      </w:pPr>
      <w:r w:rsidRPr="005123A9">
        <w:rPr>
          <w:rFonts w:ascii="Arial" w:hAnsi="Arial" w:cs="Arial"/>
          <w:sz w:val="22"/>
          <w:szCs w:val="22"/>
        </w:rPr>
        <w:t>Nabyvatel prohlašuje, že nabytí pozemku odsouhlasilo zastupitelstvo Plzeňského kraje dne 5.2.2024 usnesením č. 1540/24.</w:t>
      </w:r>
    </w:p>
    <w:p w14:paraId="1A5EF24D" w14:textId="77777777" w:rsidR="00CD64E1" w:rsidRPr="00AC5134" w:rsidRDefault="00CD64E1" w:rsidP="00CD64E1">
      <w:pPr>
        <w:pStyle w:val="vnintext0"/>
        <w:ind w:firstLine="425"/>
        <w:rPr>
          <w:rFonts w:ascii="Arial" w:hAnsi="Arial" w:cs="Arial"/>
          <w:bCs/>
          <w:sz w:val="22"/>
          <w:szCs w:val="22"/>
        </w:rPr>
      </w:pPr>
    </w:p>
    <w:p w14:paraId="47822FC4" w14:textId="77777777" w:rsidR="00011AD3"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686F4A18" w14:textId="77777777" w:rsidR="00FA0709" w:rsidRPr="005123A9" w:rsidRDefault="00FA0709">
      <w:pPr>
        <w:pStyle w:val="vnitrniText"/>
        <w:widowControl/>
        <w:rPr>
          <w:rFonts w:ascii="Arial" w:hAnsi="Arial" w:cs="Arial"/>
          <w:sz w:val="22"/>
          <w:szCs w:val="22"/>
        </w:rPr>
      </w:pPr>
    </w:p>
    <w:p w14:paraId="107A5709" w14:textId="77777777" w:rsidR="00FA0709" w:rsidRDefault="00FA0709" w:rsidP="00FA0709">
      <w:pPr>
        <w:pStyle w:val="para"/>
        <w:widowControl/>
        <w:rPr>
          <w:rFonts w:ascii="Arial" w:hAnsi="Arial" w:cs="Arial"/>
          <w:sz w:val="22"/>
          <w:szCs w:val="22"/>
        </w:rPr>
      </w:pPr>
      <w:r w:rsidRPr="005123A9">
        <w:rPr>
          <w:rFonts w:ascii="Arial" w:hAnsi="Arial" w:cs="Arial"/>
          <w:sz w:val="22"/>
          <w:szCs w:val="22"/>
        </w:rPr>
        <w:t>VIII.</w:t>
      </w:r>
    </w:p>
    <w:p w14:paraId="459C2711" w14:textId="77777777" w:rsidR="00956FAE" w:rsidRPr="005123A9" w:rsidRDefault="00956FAE" w:rsidP="00FA0709">
      <w:pPr>
        <w:pStyle w:val="para"/>
        <w:widowControl/>
        <w:rPr>
          <w:rFonts w:ascii="Arial" w:hAnsi="Arial" w:cs="Arial"/>
          <w:sz w:val="22"/>
          <w:szCs w:val="22"/>
        </w:rPr>
      </w:pPr>
    </w:p>
    <w:p w14:paraId="40699F5B"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2F132A8B" w14:textId="1935AFE0" w:rsidR="00FA0709" w:rsidRPr="005123A9" w:rsidRDefault="00E86EBE" w:rsidP="00E86EBE">
      <w:pPr>
        <w:pStyle w:val="vnitrniText"/>
        <w:widowControl/>
        <w:ind w:firstLine="0"/>
        <w:rPr>
          <w:rFonts w:ascii="Arial" w:hAnsi="Arial" w:cs="Arial"/>
          <w:sz w:val="22"/>
          <w:szCs w:val="22"/>
        </w:rPr>
      </w:pPr>
      <w:r>
        <w:rPr>
          <w:rFonts w:ascii="Arial" w:hAnsi="Arial" w:cs="Arial"/>
          <w:sz w:val="22"/>
          <w:szCs w:val="22"/>
        </w:rPr>
        <w:t xml:space="preserve">      </w:t>
      </w:r>
      <w:r w:rsidR="00FA0709" w:rsidRPr="005123A9">
        <w:rPr>
          <w:rFonts w:ascii="Arial" w:hAnsi="Arial" w:cs="Arial"/>
          <w:sz w:val="22"/>
          <w:szCs w:val="22"/>
        </w:rPr>
        <w:t xml:space="preserve"> </w:t>
      </w:r>
      <w:r>
        <w:rPr>
          <w:rFonts w:ascii="Arial" w:hAnsi="Arial" w:cs="Arial"/>
          <w:sz w:val="22"/>
          <w:szCs w:val="22"/>
        </w:rPr>
        <w:t>2) Tato smlouva je vyhotovena v elektronické podobě s připojením elektronických podpisů oprávněných osob smluvních stran a je určena pro převádějícího, nabyvatele a příslušný katastrální úřad.</w:t>
      </w:r>
    </w:p>
    <w:p w14:paraId="0D53F116"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1215E14F" w14:textId="6C7EA17E" w:rsidR="000D4FF8" w:rsidRDefault="000D4FF8" w:rsidP="004B2896">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r w:rsidR="004B2896">
        <w:rPr>
          <w:rFonts w:ascii="Arial" w:hAnsi="Arial" w:cs="Arial"/>
          <w:sz w:val="22"/>
          <w:szCs w:val="22"/>
        </w:rPr>
        <w:t xml:space="preserve"> </w:t>
      </w:r>
      <w:r w:rsidR="00A504B2">
        <w:rPr>
          <w:rFonts w:ascii="Arial" w:hAnsi="Arial" w:cs="Arial"/>
          <w:sz w:val="22"/>
          <w:szCs w:val="22"/>
        </w:rPr>
        <w:t xml:space="preserve">Obě smluvní strany se zavazují, že budou postupovat v souladu se zákonem č. 110/2019 Sb., o zpracování osobních údajů, a platným </w:t>
      </w:r>
      <w:r>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9A65DEC" w14:textId="77777777" w:rsidR="00956FAE" w:rsidRDefault="00956FAE" w:rsidP="004B2896">
      <w:pPr>
        <w:pStyle w:val="para"/>
        <w:widowControl/>
        <w:jc w:val="left"/>
        <w:rPr>
          <w:rFonts w:ascii="Arial" w:hAnsi="Arial" w:cs="Arial"/>
          <w:sz w:val="22"/>
          <w:szCs w:val="22"/>
        </w:rPr>
      </w:pPr>
    </w:p>
    <w:p w14:paraId="28E617B9" w14:textId="333B011C" w:rsidR="00956FAE" w:rsidRDefault="00956FAE" w:rsidP="00956FAE">
      <w:pPr>
        <w:pStyle w:val="para"/>
        <w:widowControl/>
        <w:rPr>
          <w:rFonts w:ascii="Arial" w:hAnsi="Arial" w:cs="Arial"/>
          <w:sz w:val="22"/>
          <w:szCs w:val="22"/>
        </w:rPr>
      </w:pPr>
      <w:r w:rsidRPr="005123A9">
        <w:rPr>
          <w:rFonts w:ascii="Arial" w:hAnsi="Arial" w:cs="Arial"/>
          <w:sz w:val="22"/>
          <w:szCs w:val="22"/>
        </w:rPr>
        <w:t>IX.</w:t>
      </w:r>
    </w:p>
    <w:p w14:paraId="5FFE77C8" w14:textId="77777777" w:rsidR="00956FAE" w:rsidRPr="005123A9" w:rsidRDefault="00956FAE" w:rsidP="00956FAE">
      <w:pPr>
        <w:pStyle w:val="para"/>
        <w:widowControl/>
        <w:rPr>
          <w:rFonts w:ascii="Arial" w:hAnsi="Arial" w:cs="Arial"/>
          <w:sz w:val="22"/>
          <w:szCs w:val="22"/>
        </w:rPr>
      </w:pPr>
    </w:p>
    <w:p w14:paraId="1E28EE33" w14:textId="77777777" w:rsidR="00956FAE" w:rsidRPr="005123A9" w:rsidRDefault="00956FAE" w:rsidP="00956FA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346D3C6" w14:textId="77777777" w:rsidR="00956FAE" w:rsidRPr="005123A9" w:rsidRDefault="00956FAE" w:rsidP="00956FAE">
      <w:pPr>
        <w:widowControl/>
        <w:rPr>
          <w:rFonts w:ascii="Arial" w:hAnsi="Arial" w:cs="Arial"/>
          <w:sz w:val="22"/>
          <w:szCs w:val="22"/>
        </w:rPr>
      </w:pPr>
    </w:p>
    <w:p w14:paraId="6F372413" w14:textId="77777777" w:rsidR="00956FAE" w:rsidRPr="005123A9" w:rsidRDefault="00956FAE" w:rsidP="00956FAE">
      <w:pPr>
        <w:widowControl/>
        <w:rPr>
          <w:rFonts w:ascii="Arial" w:hAnsi="Arial" w:cs="Arial"/>
          <w:sz w:val="22"/>
          <w:szCs w:val="22"/>
        </w:rPr>
      </w:pPr>
    </w:p>
    <w:p w14:paraId="316FE23E" w14:textId="24F5E53A" w:rsidR="00956FAE" w:rsidRPr="005123A9" w:rsidRDefault="00956FAE" w:rsidP="00956FAE">
      <w:pPr>
        <w:widowControl/>
        <w:tabs>
          <w:tab w:val="left" w:pos="5103"/>
        </w:tabs>
        <w:rPr>
          <w:rFonts w:ascii="Arial" w:hAnsi="Arial" w:cs="Arial"/>
          <w:sz w:val="22"/>
          <w:szCs w:val="22"/>
        </w:rPr>
      </w:pPr>
      <w:r w:rsidRPr="005123A9">
        <w:rPr>
          <w:rFonts w:ascii="Arial" w:hAnsi="Arial" w:cs="Arial"/>
          <w:sz w:val="22"/>
          <w:szCs w:val="22"/>
        </w:rPr>
        <w:t>V Plzni dne</w:t>
      </w:r>
      <w:r w:rsidR="00E86EBE">
        <w:rPr>
          <w:rFonts w:ascii="Arial" w:hAnsi="Arial" w:cs="Arial"/>
          <w:sz w:val="22"/>
          <w:szCs w:val="22"/>
        </w:rPr>
        <w:t xml:space="preserve"> 23.4.2024</w:t>
      </w:r>
      <w:r w:rsidRPr="005123A9">
        <w:rPr>
          <w:rFonts w:ascii="Arial" w:hAnsi="Arial" w:cs="Arial"/>
          <w:sz w:val="22"/>
          <w:szCs w:val="22"/>
        </w:rPr>
        <w:tab/>
        <w:t>V</w:t>
      </w:r>
      <w:r>
        <w:rPr>
          <w:rFonts w:ascii="Arial" w:hAnsi="Arial" w:cs="Arial"/>
          <w:sz w:val="22"/>
          <w:szCs w:val="22"/>
        </w:rPr>
        <w:t xml:space="preserve"> Plzni dne </w:t>
      </w:r>
      <w:r w:rsidR="00E86EBE">
        <w:rPr>
          <w:rFonts w:ascii="Arial" w:hAnsi="Arial" w:cs="Arial"/>
          <w:sz w:val="22"/>
          <w:szCs w:val="22"/>
        </w:rPr>
        <w:t>10.4.2024</w:t>
      </w:r>
    </w:p>
    <w:p w14:paraId="2C472962" w14:textId="77777777" w:rsidR="00956FAE" w:rsidRPr="005123A9" w:rsidRDefault="00956FAE" w:rsidP="00956FAE">
      <w:pPr>
        <w:pStyle w:val="adresa"/>
        <w:widowControl/>
        <w:rPr>
          <w:rFonts w:ascii="Arial" w:hAnsi="Arial" w:cs="Arial"/>
          <w:sz w:val="22"/>
          <w:szCs w:val="22"/>
        </w:rPr>
      </w:pPr>
    </w:p>
    <w:p w14:paraId="410B6BAB" w14:textId="77777777" w:rsidR="00956FAE" w:rsidRPr="005123A9" w:rsidRDefault="00956FAE" w:rsidP="00956FAE">
      <w:pPr>
        <w:pStyle w:val="adresa"/>
        <w:widowControl/>
        <w:rPr>
          <w:rFonts w:ascii="Arial" w:hAnsi="Arial" w:cs="Arial"/>
          <w:sz w:val="22"/>
          <w:szCs w:val="22"/>
        </w:rPr>
      </w:pPr>
    </w:p>
    <w:p w14:paraId="6E2E5B81" w14:textId="77777777" w:rsidR="00956FAE" w:rsidRPr="005123A9" w:rsidRDefault="00956FAE" w:rsidP="00956FAE">
      <w:pPr>
        <w:pStyle w:val="adresa"/>
        <w:widowControl/>
        <w:rPr>
          <w:rFonts w:ascii="Arial" w:hAnsi="Arial" w:cs="Arial"/>
          <w:sz w:val="22"/>
          <w:szCs w:val="22"/>
        </w:rPr>
      </w:pPr>
    </w:p>
    <w:p w14:paraId="037962A5" w14:textId="77777777" w:rsidR="00956FAE" w:rsidRPr="005123A9" w:rsidRDefault="00956FAE" w:rsidP="00956FAE">
      <w:pPr>
        <w:pStyle w:val="adresa"/>
        <w:widowControl/>
        <w:rPr>
          <w:rFonts w:ascii="Arial" w:hAnsi="Arial" w:cs="Arial"/>
          <w:sz w:val="22"/>
          <w:szCs w:val="22"/>
        </w:rPr>
      </w:pPr>
    </w:p>
    <w:p w14:paraId="62CA144E" w14:textId="77777777" w:rsidR="00956FAE" w:rsidRPr="005123A9" w:rsidRDefault="00956FAE" w:rsidP="00956FA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4004AA14" w14:textId="77777777" w:rsidR="00E86EBE" w:rsidRDefault="00E86EBE" w:rsidP="00E86EBE">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Plzeňský kraj</w:t>
      </w:r>
    </w:p>
    <w:p w14:paraId="0DFDA380" w14:textId="77777777" w:rsidR="00E86EBE" w:rsidRDefault="00E86EBE" w:rsidP="00E86EBE">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t>náměstek hejtmana Plzeňského kraje pro</w:t>
      </w:r>
    </w:p>
    <w:p w14:paraId="56761DFF" w14:textId="77777777" w:rsidR="00E86EBE" w:rsidRDefault="00E86EBE" w:rsidP="00E86EBE">
      <w:pPr>
        <w:widowControl/>
        <w:ind w:left="5104" w:hanging="5104"/>
        <w:rPr>
          <w:rFonts w:ascii="Arial" w:hAnsi="Arial" w:cs="Arial"/>
          <w:sz w:val="22"/>
          <w:szCs w:val="22"/>
        </w:rPr>
      </w:pPr>
      <w:r>
        <w:rPr>
          <w:rFonts w:ascii="Arial" w:hAnsi="Arial" w:cs="Arial"/>
          <w:sz w:val="22"/>
          <w:szCs w:val="22"/>
        </w:rPr>
        <w:t>pro Plzeňský kraj                                                        oblast sociálních věcí, investic a majetku</w:t>
      </w:r>
    </w:p>
    <w:p w14:paraId="0C6997D5" w14:textId="77777777" w:rsidR="00E86EBE" w:rsidRDefault="00E86EBE" w:rsidP="00E86EBE">
      <w:pPr>
        <w:widowControl/>
        <w:ind w:left="5104" w:hanging="5104"/>
        <w:rPr>
          <w:rFonts w:ascii="Arial" w:hAnsi="Arial" w:cs="Arial"/>
          <w:sz w:val="22"/>
          <w:szCs w:val="22"/>
        </w:rPr>
      </w:pPr>
      <w:r>
        <w:rPr>
          <w:rFonts w:ascii="Arial" w:hAnsi="Arial" w:cs="Arial"/>
          <w:sz w:val="22"/>
          <w:szCs w:val="22"/>
        </w:rPr>
        <w:t>Ing. Jiří Papež</w:t>
      </w:r>
      <w:r>
        <w:rPr>
          <w:rFonts w:ascii="Arial" w:hAnsi="Arial" w:cs="Arial"/>
          <w:sz w:val="22"/>
          <w:szCs w:val="22"/>
        </w:rPr>
        <w:tab/>
        <w:t>pan Martin Záhoř</w:t>
      </w:r>
    </w:p>
    <w:p w14:paraId="49F271D6" w14:textId="77777777" w:rsidR="00E86EBE" w:rsidRDefault="00E86EBE" w:rsidP="00E86EBE">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t>nabyvatel</w:t>
      </w:r>
    </w:p>
    <w:p w14:paraId="3114E556" w14:textId="77777777" w:rsidR="000F674E" w:rsidRPr="005123A9" w:rsidRDefault="000F674E">
      <w:pPr>
        <w:widowControl/>
        <w:ind w:left="5104" w:hanging="5104"/>
        <w:rPr>
          <w:rFonts w:ascii="Arial" w:hAnsi="Arial" w:cs="Arial"/>
          <w:sz w:val="22"/>
          <w:szCs w:val="22"/>
        </w:rPr>
      </w:pPr>
    </w:p>
    <w:p w14:paraId="09AEEE3C" w14:textId="77777777" w:rsidR="000F674E" w:rsidRPr="005123A9" w:rsidRDefault="000F674E">
      <w:pPr>
        <w:pStyle w:val="adresa"/>
        <w:widowControl/>
        <w:rPr>
          <w:rFonts w:ascii="Arial" w:hAnsi="Arial" w:cs="Arial"/>
          <w:sz w:val="22"/>
          <w:szCs w:val="22"/>
        </w:rPr>
      </w:pPr>
    </w:p>
    <w:p w14:paraId="16F62D0C"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6101031</w:t>
      </w:r>
      <w:r w:rsidRPr="005123A9">
        <w:rPr>
          <w:rFonts w:ascii="Arial" w:hAnsi="Arial" w:cs="Arial"/>
          <w:color w:val="000000"/>
          <w:sz w:val="22"/>
          <w:szCs w:val="22"/>
        </w:rPr>
        <w:br/>
      </w:r>
    </w:p>
    <w:p w14:paraId="6E7FEA6A"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3C50CFBB"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Plzeňský kraj</w:t>
      </w:r>
    </w:p>
    <w:p w14:paraId="033E1014"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Ing. Michal Dolejší</w:t>
      </w:r>
    </w:p>
    <w:p w14:paraId="20237B5D" w14:textId="77777777" w:rsidR="00FD1919" w:rsidRPr="005123A9" w:rsidRDefault="00FD1919">
      <w:pPr>
        <w:widowControl/>
        <w:tabs>
          <w:tab w:val="left" w:pos="120"/>
        </w:tabs>
        <w:jc w:val="both"/>
        <w:rPr>
          <w:rFonts w:ascii="Arial" w:hAnsi="Arial" w:cs="Arial"/>
          <w:sz w:val="22"/>
          <w:szCs w:val="22"/>
        </w:rPr>
      </w:pPr>
    </w:p>
    <w:p w14:paraId="0C40521D"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Bc. Jan Píša</w:t>
      </w:r>
    </w:p>
    <w:p w14:paraId="1A9AE646" w14:textId="77777777" w:rsidR="000F674E" w:rsidRPr="005123A9" w:rsidRDefault="000F674E">
      <w:pPr>
        <w:widowControl/>
        <w:jc w:val="both"/>
        <w:rPr>
          <w:rFonts w:ascii="Arial" w:hAnsi="Arial" w:cs="Arial"/>
          <w:sz w:val="22"/>
          <w:szCs w:val="22"/>
        </w:rPr>
      </w:pPr>
    </w:p>
    <w:p w14:paraId="268EBDA9" w14:textId="77777777" w:rsidR="000F674E" w:rsidRPr="005123A9" w:rsidRDefault="000F674E">
      <w:pPr>
        <w:widowControl/>
        <w:rPr>
          <w:rFonts w:ascii="Arial" w:hAnsi="Arial" w:cs="Arial"/>
          <w:sz w:val="22"/>
          <w:szCs w:val="22"/>
        </w:rPr>
      </w:pPr>
    </w:p>
    <w:p w14:paraId="6D783CF7" w14:textId="77777777" w:rsidR="00501E97" w:rsidRPr="005123A9" w:rsidRDefault="00501E97" w:rsidP="00501E97">
      <w:pPr>
        <w:widowControl/>
        <w:jc w:val="both"/>
        <w:rPr>
          <w:rFonts w:ascii="Arial" w:hAnsi="Arial" w:cs="Arial"/>
          <w:sz w:val="22"/>
          <w:szCs w:val="22"/>
        </w:rPr>
      </w:pPr>
    </w:p>
    <w:p w14:paraId="574B5E57" w14:textId="77777777"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DE5C" w14:textId="77777777" w:rsidR="0090237D" w:rsidRDefault="0090237D">
      <w:r>
        <w:separator/>
      </w:r>
    </w:p>
  </w:endnote>
  <w:endnote w:type="continuationSeparator" w:id="0">
    <w:p w14:paraId="1F7B4528" w14:textId="77777777" w:rsidR="0090237D" w:rsidRDefault="0090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8FC7" w14:textId="77777777" w:rsidR="0090237D" w:rsidRDefault="0090237D">
      <w:r>
        <w:separator/>
      </w:r>
    </w:p>
  </w:footnote>
  <w:footnote w:type="continuationSeparator" w:id="0">
    <w:p w14:paraId="1FCF4880" w14:textId="77777777" w:rsidR="0090237D" w:rsidRDefault="0090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1628"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74E"/>
    <w:rsid w:val="00011AD3"/>
    <w:rsid w:val="000164A2"/>
    <w:rsid w:val="0003365A"/>
    <w:rsid w:val="00035BE1"/>
    <w:rsid w:val="00040100"/>
    <w:rsid w:val="00054A79"/>
    <w:rsid w:val="00061AFD"/>
    <w:rsid w:val="000A1977"/>
    <w:rsid w:val="000D4FF8"/>
    <w:rsid w:val="000E4B50"/>
    <w:rsid w:val="000F674E"/>
    <w:rsid w:val="00107B1E"/>
    <w:rsid w:val="00110AFF"/>
    <w:rsid w:val="00123341"/>
    <w:rsid w:val="00136B70"/>
    <w:rsid w:val="00175955"/>
    <w:rsid w:val="001A609E"/>
    <w:rsid w:val="00240A48"/>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E0B79"/>
    <w:rsid w:val="003F64D6"/>
    <w:rsid w:val="00402472"/>
    <w:rsid w:val="0041107B"/>
    <w:rsid w:val="004268A4"/>
    <w:rsid w:val="00495C9D"/>
    <w:rsid w:val="00497819"/>
    <w:rsid w:val="004B2896"/>
    <w:rsid w:val="004E4596"/>
    <w:rsid w:val="00501E97"/>
    <w:rsid w:val="005123A9"/>
    <w:rsid w:val="00533D85"/>
    <w:rsid w:val="00546BA8"/>
    <w:rsid w:val="005A734C"/>
    <w:rsid w:val="005C7EEF"/>
    <w:rsid w:val="0065302D"/>
    <w:rsid w:val="006704D9"/>
    <w:rsid w:val="006763E0"/>
    <w:rsid w:val="00676A32"/>
    <w:rsid w:val="00690118"/>
    <w:rsid w:val="00695F4D"/>
    <w:rsid w:val="00697524"/>
    <w:rsid w:val="006D72A5"/>
    <w:rsid w:val="006E7FBE"/>
    <w:rsid w:val="006F42BE"/>
    <w:rsid w:val="006F60C3"/>
    <w:rsid w:val="00782C07"/>
    <w:rsid w:val="007A0FC8"/>
    <w:rsid w:val="007A4C9B"/>
    <w:rsid w:val="007B7B6F"/>
    <w:rsid w:val="007C4BBA"/>
    <w:rsid w:val="007D57CD"/>
    <w:rsid w:val="007F426D"/>
    <w:rsid w:val="00821CA3"/>
    <w:rsid w:val="00825E2D"/>
    <w:rsid w:val="00825F84"/>
    <w:rsid w:val="00841366"/>
    <w:rsid w:val="008675D5"/>
    <w:rsid w:val="0086777B"/>
    <w:rsid w:val="008D5263"/>
    <w:rsid w:val="008F106A"/>
    <w:rsid w:val="0090237D"/>
    <w:rsid w:val="00910573"/>
    <w:rsid w:val="00914293"/>
    <w:rsid w:val="009249A6"/>
    <w:rsid w:val="009366DA"/>
    <w:rsid w:val="00956FAE"/>
    <w:rsid w:val="00987824"/>
    <w:rsid w:val="009D6C48"/>
    <w:rsid w:val="00A13B66"/>
    <w:rsid w:val="00A31C3B"/>
    <w:rsid w:val="00A504B2"/>
    <w:rsid w:val="00A53C68"/>
    <w:rsid w:val="00AC5134"/>
    <w:rsid w:val="00AD7FDB"/>
    <w:rsid w:val="00AE5523"/>
    <w:rsid w:val="00AF080F"/>
    <w:rsid w:val="00AF45A3"/>
    <w:rsid w:val="00B1430A"/>
    <w:rsid w:val="00B25867"/>
    <w:rsid w:val="00B3615A"/>
    <w:rsid w:val="00B555D0"/>
    <w:rsid w:val="00B73338"/>
    <w:rsid w:val="00B77330"/>
    <w:rsid w:val="00C34702"/>
    <w:rsid w:val="00C9419D"/>
    <w:rsid w:val="00C97A7C"/>
    <w:rsid w:val="00CA00A2"/>
    <w:rsid w:val="00CB76BB"/>
    <w:rsid w:val="00CD64E1"/>
    <w:rsid w:val="00CF023C"/>
    <w:rsid w:val="00CF076C"/>
    <w:rsid w:val="00D02BDA"/>
    <w:rsid w:val="00D13A0C"/>
    <w:rsid w:val="00D26AE9"/>
    <w:rsid w:val="00D30B5D"/>
    <w:rsid w:val="00D726A5"/>
    <w:rsid w:val="00D74F11"/>
    <w:rsid w:val="00D75276"/>
    <w:rsid w:val="00D821FA"/>
    <w:rsid w:val="00D911D5"/>
    <w:rsid w:val="00DB3E9C"/>
    <w:rsid w:val="00DF2489"/>
    <w:rsid w:val="00E32B55"/>
    <w:rsid w:val="00E53FE2"/>
    <w:rsid w:val="00E64CAC"/>
    <w:rsid w:val="00E86EBE"/>
    <w:rsid w:val="00E9112B"/>
    <w:rsid w:val="00EB0AD5"/>
    <w:rsid w:val="00EC4B62"/>
    <w:rsid w:val="00F23DB4"/>
    <w:rsid w:val="00F27A8C"/>
    <w:rsid w:val="00F344DA"/>
    <w:rsid w:val="00F53A92"/>
    <w:rsid w:val="00F72B4E"/>
    <w:rsid w:val="00F844E4"/>
    <w:rsid w:val="00FA0709"/>
    <w:rsid w:val="00FB17B4"/>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09762"/>
  <w14:defaultImageDpi w14:val="0"/>
  <w15:docId w15:val="{89FAD11B-5C5C-4698-A1F0-E93C3618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428">
      <w:bodyDiv w:val="1"/>
      <w:marLeft w:val="0"/>
      <w:marRight w:val="0"/>
      <w:marTop w:val="0"/>
      <w:marBottom w:val="0"/>
      <w:divBdr>
        <w:top w:val="none" w:sz="0" w:space="0" w:color="auto"/>
        <w:left w:val="none" w:sz="0" w:space="0" w:color="auto"/>
        <w:bottom w:val="none" w:sz="0" w:space="0" w:color="auto"/>
        <w:right w:val="none" w:sz="0" w:space="0" w:color="auto"/>
      </w:divBdr>
    </w:div>
    <w:div w:id="1725441641">
      <w:bodyDiv w:val="1"/>
      <w:marLeft w:val="0"/>
      <w:marRight w:val="0"/>
      <w:marTop w:val="0"/>
      <w:marBottom w:val="0"/>
      <w:divBdr>
        <w:top w:val="none" w:sz="0" w:space="0" w:color="auto"/>
        <w:left w:val="none" w:sz="0" w:space="0" w:color="auto"/>
        <w:bottom w:val="none" w:sz="0" w:space="0" w:color="auto"/>
        <w:right w:val="none" w:sz="0" w:space="0" w:color="auto"/>
      </w:divBdr>
    </w:div>
    <w:div w:id="1737776376">
      <w:marLeft w:val="0"/>
      <w:marRight w:val="0"/>
      <w:marTop w:val="0"/>
      <w:marBottom w:val="0"/>
      <w:divBdr>
        <w:top w:val="none" w:sz="0" w:space="0" w:color="auto"/>
        <w:left w:val="none" w:sz="0" w:space="0" w:color="auto"/>
        <w:bottom w:val="none" w:sz="0" w:space="0" w:color="auto"/>
        <w:right w:val="none" w:sz="0" w:space="0" w:color="auto"/>
      </w:divBdr>
    </w:div>
    <w:div w:id="1737776377">
      <w:marLeft w:val="0"/>
      <w:marRight w:val="0"/>
      <w:marTop w:val="0"/>
      <w:marBottom w:val="0"/>
      <w:divBdr>
        <w:top w:val="none" w:sz="0" w:space="0" w:color="auto"/>
        <w:left w:val="none" w:sz="0" w:space="0" w:color="auto"/>
        <w:bottom w:val="none" w:sz="0" w:space="0" w:color="auto"/>
        <w:right w:val="none" w:sz="0" w:space="0" w:color="auto"/>
      </w:divBdr>
    </w:div>
    <w:div w:id="1737776378">
      <w:marLeft w:val="0"/>
      <w:marRight w:val="0"/>
      <w:marTop w:val="0"/>
      <w:marBottom w:val="0"/>
      <w:divBdr>
        <w:top w:val="none" w:sz="0" w:space="0" w:color="auto"/>
        <w:left w:val="none" w:sz="0" w:space="0" w:color="auto"/>
        <w:bottom w:val="none" w:sz="0" w:space="0" w:color="auto"/>
        <w:right w:val="none" w:sz="0" w:space="0" w:color="auto"/>
      </w:divBdr>
    </w:div>
    <w:div w:id="1737776379">
      <w:marLeft w:val="0"/>
      <w:marRight w:val="0"/>
      <w:marTop w:val="0"/>
      <w:marBottom w:val="0"/>
      <w:divBdr>
        <w:top w:val="none" w:sz="0" w:space="0" w:color="auto"/>
        <w:left w:val="none" w:sz="0" w:space="0" w:color="auto"/>
        <w:bottom w:val="none" w:sz="0" w:space="0" w:color="auto"/>
        <w:right w:val="none" w:sz="0" w:space="0" w:color="auto"/>
      </w:divBdr>
    </w:div>
    <w:div w:id="1737776380">
      <w:marLeft w:val="0"/>
      <w:marRight w:val="0"/>
      <w:marTop w:val="0"/>
      <w:marBottom w:val="0"/>
      <w:divBdr>
        <w:top w:val="none" w:sz="0" w:space="0" w:color="auto"/>
        <w:left w:val="none" w:sz="0" w:space="0" w:color="auto"/>
        <w:bottom w:val="none" w:sz="0" w:space="0" w:color="auto"/>
        <w:right w:val="none" w:sz="0" w:space="0" w:color="auto"/>
      </w:divBdr>
    </w:div>
    <w:div w:id="1737776381">
      <w:marLeft w:val="0"/>
      <w:marRight w:val="0"/>
      <w:marTop w:val="0"/>
      <w:marBottom w:val="0"/>
      <w:divBdr>
        <w:top w:val="none" w:sz="0" w:space="0" w:color="auto"/>
        <w:left w:val="none" w:sz="0" w:space="0" w:color="auto"/>
        <w:bottom w:val="none" w:sz="0" w:space="0" w:color="auto"/>
        <w:right w:val="none" w:sz="0" w:space="0" w:color="auto"/>
      </w:divBdr>
    </w:div>
    <w:div w:id="1737776382">
      <w:marLeft w:val="0"/>
      <w:marRight w:val="0"/>
      <w:marTop w:val="0"/>
      <w:marBottom w:val="0"/>
      <w:divBdr>
        <w:top w:val="none" w:sz="0" w:space="0" w:color="auto"/>
        <w:left w:val="none" w:sz="0" w:space="0" w:color="auto"/>
        <w:bottom w:val="none" w:sz="0" w:space="0" w:color="auto"/>
        <w:right w:val="none" w:sz="0" w:space="0" w:color="auto"/>
      </w:divBdr>
    </w:div>
    <w:div w:id="1737776383">
      <w:marLeft w:val="0"/>
      <w:marRight w:val="0"/>
      <w:marTop w:val="0"/>
      <w:marBottom w:val="0"/>
      <w:divBdr>
        <w:top w:val="none" w:sz="0" w:space="0" w:color="auto"/>
        <w:left w:val="none" w:sz="0" w:space="0" w:color="auto"/>
        <w:bottom w:val="none" w:sz="0" w:space="0" w:color="auto"/>
        <w:right w:val="none" w:sz="0" w:space="0" w:color="auto"/>
      </w:divBdr>
    </w:div>
    <w:div w:id="1737776384">
      <w:marLeft w:val="0"/>
      <w:marRight w:val="0"/>
      <w:marTop w:val="0"/>
      <w:marBottom w:val="0"/>
      <w:divBdr>
        <w:top w:val="none" w:sz="0" w:space="0" w:color="auto"/>
        <w:left w:val="none" w:sz="0" w:space="0" w:color="auto"/>
        <w:bottom w:val="none" w:sz="0" w:space="0" w:color="auto"/>
        <w:right w:val="none" w:sz="0" w:space="0" w:color="auto"/>
      </w:divBdr>
    </w:div>
    <w:div w:id="1737776385">
      <w:marLeft w:val="0"/>
      <w:marRight w:val="0"/>
      <w:marTop w:val="0"/>
      <w:marBottom w:val="0"/>
      <w:divBdr>
        <w:top w:val="none" w:sz="0" w:space="0" w:color="auto"/>
        <w:left w:val="none" w:sz="0" w:space="0" w:color="auto"/>
        <w:bottom w:val="none" w:sz="0" w:space="0" w:color="auto"/>
        <w:right w:val="none" w:sz="0" w:space="0" w:color="auto"/>
      </w:divBdr>
    </w:div>
    <w:div w:id="17838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1447</Words>
  <Characters>8541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Píša Jan Bc.</dc:creator>
  <cp:keywords/>
  <dc:description/>
  <cp:lastModifiedBy>Píša Jan Bc.</cp:lastModifiedBy>
  <cp:revision>4</cp:revision>
  <cp:lastPrinted>2024-04-23T08:18:00Z</cp:lastPrinted>
  <dcterms:created xsi:type="dcterms:W3CDTF">2024-04-23T08:28:00Z</dcterms:created>
  <dcterms:modified xsi:type="dcterms:W3CDTF">2024-04-29T05:38:00Z</dcterms:modified>
</cp:coreProperties>
</file>