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Mezi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níže uvedenými smluvními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stranami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uzavírá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tento</w:t>
        <w:br/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 xml:space="preserve">Dodatek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 xml:space="preserve">č.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 xml:space="preserve">5 ke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 xml:space="preserve">Smlouvě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 xml:space="preserve">o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 xml:space="preserve">dílo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E1763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servis a opravy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zdvihacích zařízení (dále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jen „Dodatek“)</w:t>
      </w:r>
    </w:p>
    <w:tbl>
      <w:tblPr>
        <w:tblOverlap w:val="never"/>
        <w:jc w:val="center"/>
        <w:tblLayout w:type="fixed"/>
      </w:tblPr>
      <w:tblGrid>
        <w:gridCol w:w="4747"/>
        <w:gridCol w:w="5746"/>
      </w:tblGrid>
      <w:tr>
        <w:trPr>
          <w:trHeight w:val="8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Česká republika - Státní zemědělská a potravinářská inspekce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(dále jen objednatel)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Sídlo,- ulice,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Květná 504/15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Sídlo,- PSČ, město: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603 00 Brno - Pisárky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75014149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Daňové identifikační číslo: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CZ75014149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 kterou jedná: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Ing. Petr Cuhra, ředitel inspektorátu v Praze</w:t>
            </w:r>
          </w:p>
        </w:tc>
      </w:tr>
      <w:tr>
        <w:trPr>
          <w:trHeight w:val="86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 věcech technických/oprav oprávněn jednat: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xxxxxxxxxxx xxxxxxxxxxxx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Adresa pro zasílání faktur/oznámení: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Státní zemědělská a potravinářská inspekce, Inspektorát v Praze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 Opravnou 6/300, 150 00 Praha 5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Adresa zařízení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SZPI, Za Opravnou 300/6, 150 00, Praha 5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Zhotovitel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Obchodní firma: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OTIS a.s.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(dále jen zhotovitel)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Sídlo - ulice, číslo: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Sídlo - PSČ, město: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J. Opletala 3506/45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690 02 Břeclav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Rejstříkový soud: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Krajský soud v Brně, spisová značka B 536, zápis ze dne 30. září 1991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423 24 254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Daňové 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CZ423 24 254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Číslo účtu / kód banky: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Obchodní zástupce: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 věcech smluvních - kontakty: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servisního střediska: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 věcech technických - kontakty na VSS: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xxxxxxxxxxx</w:t>
            </w:r>
          </w:p>
        </w:tc>
      </w:tr>
      <w:tr>
        <w:trPr>
          <w:trHeight w:val="10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Kontaktní adresa pobočky: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Otis a.s.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Budova Smíchoff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Plzeňská 3350/18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150 00 PRAHA 5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Datum účinnosti dodatku od: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1.4.2024</w:t>
            </w:r>
          </w:p>
        </w:tc>
      </w:tr>
      <w:tr>
        <w:trPr>
          <w:trHeight w:val="432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Hlášení provozních poruch: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xxxxxxxx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3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i/>
          <w:i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ustanovení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uzavřely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Smlouvu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dílo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E1763 na servis a opravy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zdvihacích zařízení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 1. 5. 2005,Dodatek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 1.8.2017,Dodatek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 1.4.2018, 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 1.4.2022,dodatek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 1.4.2023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jejímž základě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zhotovitel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zavázal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objednatele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provádět servisní činnosti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zdvihacích zařízení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objektu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Státní zemědělská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potravinářská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inspekce, Za Opravnou, Praha 5, 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podmínek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Smlouvě sjednaných,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objednatel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zavázal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zaplatit za tuto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činnost odměnu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sjednané výši.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i/>
          <w:i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dodatku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after="160" w:line="18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strany se dohodly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úpravě paušální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po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zohlednění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inflace 10% za rok 2023. V souvislosti s touto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změnou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aktualizuje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čl.5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Smlouvy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Seznam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zařízení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který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nahrazen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Přílohou č.1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 tomuto Dodatku.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after="360" w:line="18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ustanovení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body smlouvy,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dodatků, tímto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Dodatkem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neupravené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nebo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nezrušené, zůstávají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platnosti.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953" w:val="left"/>
          <w:tab w:pos="3081" w:val="left"/>
          <w:tab w:pos="4458" w:val="left"/>
        </w:tabs>
        <w:bidi w:val="0"/>
        <w:spacing w:before="0" w:after="0" w:line="240" w:lineRule="auto"/>
        <w:ind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V</w:t>
        <w:tab/>
        <w:t>V</w:t>
        <w:tab/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4</w:t>
        <w:tab/>
      </w:r>
      <w:r>
        <w:rPr>
          <w:rFonts w:ascii="Arial" w:eastAsia="Arial" w:hAnsi="Arial" w:cs="Arial"/>
          <w:b w:val="0"/>
          <w:bCs w:val="0"/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r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7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3.1.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Tento Dodatek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nabývá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platnosti dnem podpisu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oběma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stranami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dnem 1.4.2024.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3" w:val="left"/>
        </w:tabs>
        <w:bidi w:val="0"/>
        <w:spacing w:before="0" w:after="160" w:line="185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Tento 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 je vyhotoven ve 2 stejnopisech, oba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platností originálu,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nichž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jeden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obdrží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objednatel a jeden zhotovitel.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3" w:val="left"/>
        </w:tabs>
        <w:bidi w:val="0"/>
        <w:spacing w:before="0" w:after="100" w:line="185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Objednatel i zhotovitel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uzavírají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tento Dodatek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základě pravé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svobodné vůle,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nikoli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tísni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nápadně nevýhodných podmínek, což stvrzují svými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podpisy.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3" w:val="left"/>
        </w:tabs>
        <w:bidi w:val="0"/>
        <w:spacing w:before="0" w:after="680" w:line="23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Objednatel podpisem tohoto dodatku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uděluje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zhotoviteli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svobodný, výslovný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informovaný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souhlas, aby v souladu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zákonem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480/2004 Sb.,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některých službách informační společnosti,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platném znění,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nařízením Evropského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parlamentu a Rady (EU) 2016/679 ze dne 27. dubna 2016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fyzických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v souvislosti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zpracováním osobních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volném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pohybu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těchto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zákonem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110/2019 Sb.,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zpracování osobních údajů,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platném znění, příp. dalšími obecně závaznými právními předpisy zpracovával kontaktní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osobní údaje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objednatele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fyzických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jejichž prostřednictvím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objednatel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 uzavření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nebo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plnění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tohoto dodatku,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zejména jméno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příjmení, kontaktní či jiné e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maily,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telefonní čísla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IP adresy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účely zasílání aktuálních obchodních informací, obchodních 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nabídek, příp. newsletterů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zhotovitele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týkající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jeho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produktů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služeb (dále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„obchodní sdělení“).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Objednatel bere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vědomí, že poskytnutý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souhlas 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dáván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bez ohledu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trvání spolupráce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Smlouvy, 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níž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tento dodatek, a 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oprávněn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kdykoli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svůj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souhlas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zasíláním obchodních sdělení písemně či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jinak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prokazatelně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odvolat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(např. prostřednictvím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emailu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tomto dodatku nebo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Smlouvě,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níž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dodatek zhotoven,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emailu, ze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bylo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obchodní 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objednateli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zasláno).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Praze dne V Praze dne</w:t>
      </w:r>
    </w:p>
    <w:p>
      <w:pPr>
        <w:widowControl w:val="0"/>
        <w:spacing w:line="1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214" w:left="717" w:right="691" w:bottom="1364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5600" distB="295275" distL="0" distR="0" simplePos="0" relativeHeight="125829378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355600</wp:posOffset>
                </wp:positionV>
                <wp:extent cx="1679575" cy="17399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Razítko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a podpis objednatele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88.75pt;margin-top:28.pt;width:132.25pt;height:13.699999999999999pt;z-index:-125829375;mso-wrap-distance-left:0;mso-wrap-distance-top:28.pt;mso-wrap-distance-right:0;mso-wrap-distance-bottom:2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Razítko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 podpis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1510" distB="0" distL="0" distR="0" simplePos="0" relativeHeight="125829380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651510</wp:posOffset>
                </wp:positionV>
                <wp:extent cx="902335" cy="17399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Ing. Petr Cuhra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12.75pt;margin-top:51.299999999999997pt;width:71.049999999999997pt;height:13.699999999999999pt;z-index:-125829373;mso-wrap-distance-left:0;mso-wrap-distance-top:51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Ing. Petr Cuhra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146050" distL="0" distR="0" simplePos="0" relativeHeight="125829382" behindDoc="0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355600</wp:posOffset>
                </wp:positionV>
                <wp:extent cx="1654810" cy="32321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Razítko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a podpis zhotovitele xxxxxxxxxx Branch Manager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60.19999999999999pt;margin-top:28.pt;width:130.30000000000001pt;height:25.449999999999999pt;z-index:-125829371;mso-wrap-distance-left:0;mso-wrap-distance-top:28.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Razítko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 podpis zhotovitele xxxxxxxxxx Branch Manager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82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4" w:left="0" w:right="0" w:bottom="14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4" w:left="792" w:right="802" w:bottom="14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ředitel inspektorátu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Praze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č.1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Seznam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zařízení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902"/>
        <w:gridCol w:w="1099"/>
        <w:gridCol w:w="2659"/>
        <w:gridCol w:w="1550"/>
        <w:gridCol w:w="922"/>
        <w:gridCol w:w="1834"/>
        <w:gridCol w:w="2486"/>
        <w:gridCol w:w="1205"/>
        <w:gridCol w:w="1205"/>
        <w:gridCol w:w="1296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Jednotka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Výrobní číslo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Typ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zařízení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Nosnost / rychlost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Počet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stanic /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nástupišť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 xml:space="preserve">Rok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uvedení výtahu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 xml:space="preserve">do provozu nebo te r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mín poslední odborné zkoušky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 xml:space="preserve">Druh kategorie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výtahu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Lhůty provádění odborné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 xml:space="preserve">prohl. / prevent.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údržba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 xml:space="preserve">(periody jsou uvedeny v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měsících)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Název,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adresa budovy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Cena v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Kč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/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měsíc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pro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práce podléhající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DPH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Celková měsíční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cena za jednotku v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Kč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bez DPH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12 %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21 %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24251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C5NE3629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EG 630/0,18 2/2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B/I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6/3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Za Opravnou 300/6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765,00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765,00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</w:tr>
      <w:tr>
        <w:trPr>
          <w:trHeight w:val="312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Celková měsíční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cena v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Kč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bez DPH: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765,00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765,00</w:t>
            </w:r>
          </w:p>
        </w:tc>
      </w:tr>
      <w:tr>
        <w:trPr>
          <w:trHeight w:val="403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Výpočet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ceny za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měsíc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dle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předmětu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smlouvy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vč.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DPH</w:t>
            </w:r>
          </w:p>
        </w:tc>
      </w:tr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Cena s DPH</w:t>
            </w:r>
          </w:p>
        </w:tc>
      </w:tr>
      <w:tr>
        <w:trPr>
          <w:trHeight w:val="3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Služby předmětu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smlouvy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podléhající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12 %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0,00</w:t>
            </w:r>
          </w:p>
        </w:tc>
      </w:tr>
      <w:tr>
        <w:trPr>
          <w:trHeight w:val="3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Služby předmětu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smlouvy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podléhající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21 %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160,65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925,65</w:t>
            </w:r>
          </w:p>
        </w:tc>
      </w:tr>
      <w:tr>
        <w:trPr>
          <w:trHeight w:val="394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Cena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předmětu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smlouvy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765,00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160,65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925,65</w:t>
            </w:r>
          </w:p>
        </w:tc>
      </w:tr>
    </w:tbl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6840" w:h="11900" w:orient="landscape"/>
      <w:pgMar w:top="2352" w:left="850" w:right="831" w:bottom="23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10077450</wp:posOffset>
              </wp:positionV>
              <wp:extent cx="1261745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17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</w:rPr>
                            <w:t xml:space="preserve">Platnost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formuláře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</w:rPr>
                            <w:t>od 1.12.2020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3.399999999999999pt;margin-top:793.5pt;width:99.349999999999994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</w:rPr>
                      <w:t xml:space="preserve">Platnost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formuláře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</w:rPr>
                      <w:t>od 1.12.2020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3394710</wp:posOffset>
              </wp:positionH>
              <wp:positionV relativeFrom="page">
                <wp:posOffset>10193020</wp:posOffset>
              </wp:positionV>
              <wp:extent cx="3267710" cy="1308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77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1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 / 3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7E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7.30000000000001pt;margin-top:802.60000000000002pt;width:257.30000000000001pt;height:10.3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1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 / 3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7E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529590</wp:posOffset>
              </wp:positionH>
              <wp:positionV relativeFrom="page">
                <wp:posOffset>10041890</wp:posOffset>
              </wp:positionV>
              <wp:extent cx="651954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195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700000000000003pt;margin-top:790.70000000000005pt;width:51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6852285</wp:posOffset>
              </wp:positionV>
              <wp:extent cx="1261745" cy="8255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17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</w:rPr>
                            <w:t xml:space="preserve">Platnost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formuláře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</w:rPr>
                            <w:t>od 1.12.2020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2.75pt;margin-top:539.54999999999995pt;width:99.349999999999994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</w:rPr>
                      <w:t xml:space="preserve">Platnost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formuláře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</w:rPr>
                      <w:t>od 1.12.2020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4953635</wp:posOffset>
              </wp:positionH>
              <wp:positionV relativeFrom="page">
                <wp:posOffset>6967855</wp:posOffset>
              </wp:positionV>
              <wp:extent cx="4831080" cy="13081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3108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 / 3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7E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90.05000000000001pt;margin-top:548.64999999999998pt;width:380.39999999999998pt;height:10.30000000000000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 / 3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7E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6816725</wp:posOffset>
              </wp:positionV>
              <wp:extent cx="965327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653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100000000000001pt;margin-top:536.75pt;width:76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396875</wp:posOffset>
              </wp:positionV>
              <wp:extent cx="1304290" cy="4146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414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97D"/>
                              <w:spacing w:val="0"/>
                              <w:w w:val="100"/>
                              <w:position w:val="0"/>
                              <w:sz w:val="90"/>
                              <w:szCs w:val="90"/>
                              <w:shd w:val="clear" w:color="auto" w:fill="auto"/>
                            </w:rPr>
                            <w:t>OTIS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299999999999997pt;margin-top:31.25pt;width:102.7pt;height:32.6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97D"/>
                        <w:spacing w:val="0"/>
                        <w:w w:val="100"/>
                        <w:position w:val="0"/>
                        <w:sz w:val="90"/>
                        <w:szCs w:val="90"/>
                        <w:shd w:val="clear" w:color="auto" w:fill="auto"/>
                      </w:rPr>
                      <w:t>OTIS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4184650</wp:posOffset>
              </wp:positionH>
              <wp:positionV relativeFrom="page">
                <wp:posOffset>454660</wp:posOffset>
              </wp:positionV>
              <wp:extent cx="2411095" cy="5607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1095" cy="560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 xml:space="preserve">Typ smlouvy: 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 xml:space="preserve">ZÁKLADNÍ 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OL“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smlouvy: E1763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SML/2005/074/1/6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9.5pt;margin-top:35.799999999999997pt;width:189.84999999999999pt;height:44.1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 xml:space="preserve">Typ smlouvy: </w:t>
                    </w:r>
                    <w:r>
                      <w:rPr>
                        <w:rFonts w:ascii="Arial" w:eastAsia="Arial" w:hAnsi="Arial" w:cs="Arial"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ZÁKLADNÍ </w:t>
                    </w:r>
                    <w:r>
                      <w:rPr>
                        <w:rFonts w:ascii="Arial" w:eastAsia="Arial" w:hAnsi="Arial" w:cs="Arial"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„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OL“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Číslo </w:t>
                    </w: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smlouvy: E1763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SML/2005/074/1/6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478790</wp:posOffset>
              </wp:positionV>
              <wp:extent cx="1304290" cy="41465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4146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97D"/>
                              <w:spacing w:val="0"/>
                              <w:w w:val="100"/>
                              <w:position w:val="0"/>
                              <w:sz w:val="90"/>
                              <w:szCs w:val="90"/>
                              <w:shd w:val="clear" w:color="auto" w:fill="auto"/>
                            </w:rPr>
                            <w:t>OTIS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4.700000000000003pt;margin-top:37.700000000000003pt;width:102.7pt;height:32.6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0"/>
                        <w:szCs w:val="9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97D"/>
                        <w:spacing w:val="0"/>
                        <w:w w:val="100"/>
                        <w:position w:val="0"/>
                        <w:sz w:val="90"/>
                        <w:szCs w:val="90"/>
                        <w:shd w:val="clear" w:color="auto" w:fill="auto"/>
                      </w:rPr>
                      <w:t>OTIS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7309485</wp:posOffset>
              </wp:positionH>
              <wp:positionV relativeFrom="page">
                <wp:posOffset>542925</wp:posOffset>
              </wp:positionV>
              <wp:extent cx="2411095" cy="56070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1095" cy="560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 xml:space="preserve">Typ smlouvy: 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 xml:space="preserve">ZÁKLADNÍ 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72C4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OL“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smlouvy: E1763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</w:rPr>
                            <w:t>SML/2005/074/1/6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75.54999999999995pt;margin-top:42.75pt;width:189.84999999999999pt;height:44.1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 xml:space="preserve">Typ smlouvy: </w:t>
                    </w:r>
                    <w:r>
                      <w:rPr>
                        <w:rFonts w:ascii="Arial" w:eastAsia="Arial" w:hAnsi="Arial" w:cs="Arial"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ZÁKLADNÍ </w:t>
                    </w:r>
                    <w:r>
                      <w:rPr>
                        <w:rFonts w:ascii="Arial" w:eastAsia="Arial" w:hAnsi="Arial" w:cs="Arial"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„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72C4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OL“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Číslo </w:t>
                    </w: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smlouvy: E1763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7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</w:rPr>
                      <w:t>SML/2005/074/1/6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2"/>
      <w:numFmt w:val="decimal"/>
      <w:lvlText w:val="3.%1.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30">
    <w:name w:val="Základní text (3)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80" w:line="37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spacing w:after="5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9">
    <w:name w:val="Základní text (3)"/>
    <w:basedOn w:val="Normal"/>
    <w:link w:val="CharStyle30"/>
    <w:pPr>
      <w:widowControl w:val="0"/>
      <w:shd w:val="clear" w:color="auto" w:fill="FFFFFF"/>
      <w:ind w:left="14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Mezi níže uvedenými smluvními stranami se uzavírá tato</dc:title>
  <dc:subject/>
  <dc:creator>vonal</dc:creator>
  <cp:keywords/>
</cp:coreProperties>
</file>