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AF" w:rsidRDefault="007E5E01">
      <w:pPr>
        <w:pStyle w:val="Zkladntext"/>
        <w:shd w:val="clear" w:color="auto" w:fill="auto"/>
        <w:spacing w:after="4140" w:line="240" w:lineRule="auto"/>
        <w:jc w:val="center"/>
      </w:pPr>
      <w:r>
        <w:rPr>
          <w:b/>
          <w:bCs/>
        </w:rPr>
        <w:t>RÁMCOVÁ DOHODA NA DODÁVKU PESTICIDŮ</w:t>
      </w:r>
      <w:r>
        <w:rPr>
          <w:b/>
          <w:bCs/>
        </w:rPr>
        <w:br/>
        <w:t>2024</w:t>
      </w:r>
    </w:p>
    <w:p w:rsidR="001C50AF" w:rsidRDefault="007E5E01">
      <w:pPr>
        <w:pStyle w:val="Zkladntext"/>
        <w:shd w:val="clear" w:color="auto" w:fill="auto"/>
        <w:spacing w:after="720" w:line="240" w:lineRule="auto"/>
      </w:pPr>
      <w:r>
        <w:t>uzavřená mezi</w:t>
      </w:r>
    </w:p>
    <w:p w:rsidR="001C50AF" w:rsidRDefault="007E5E01">
      <w:pPr>
        <w:pStyle w:val="Zkladntext"/>
        <w:shd w:val="clear" w:color="auto" w:fill="auto"/>
        <w:spacing w:after="240" w:line="240" w:lineRule="auto"/>
      </w:pPr>
      <w:r>
        <w:rPr>
          <w:b/>
          <w:bCs/>
        </w:rPr>
        <w:t>Výzkumným ústavem živočišné výroby, v.v.i.</w:t>
      </w:r>
    </w:p>
    <w:p w:rsidR="001C50AF" w:rsidRDefault="007E5E01">
      <w:pPr>
        <w:pStyle w:val="Zkladntext"/>
        <w:shd w:val="clear" w:color="auto" w:fill="auto"/>
        <w:spacing w:after="240" w:line="240" w:lineRule="auto"/>
      </w:pPr>
      <w:r>
        <w:rPr>
          <w:b/>
          <w:bCs/>
        </w:rPr>
        <w:t>a</w:t>
      </w:r>
    </w:p>
    <w:p w:rsidR="001C50AF" w:rsidRDefault="007E5E01">
      <w:pPr>
        <w:pStyle w:val="Zkladntext"/>
        <w:shd w:val="clear" w:color="auto" w:fill="auto"/>
        <w:spacing w:after="0" w:line="240" w:lineRule="auto"/>
        <w:sectPr w:rsidR="001C50AF">
          <w:pgSz w:w="11900" w:h="16840"/>
          <w:pgMar w:top="4622" w:right="1554" w:bottom="4622" w:left="1572" w:header="4194" w:footer="3" w:gutter="0"/>
          <w:pgNumType w:start="1"/>
          <w:cols w:space="720"/>
          <w:noEndnote/>
          <w:docGrid w:linePitch="360"/>
        </w:sectPr>
      </w:pPr>
      <w:r>
        <w:rPr>
          <w:b/>
          <w:bCs/>
          <w:lang w:val="en-US" w:eastAsia="en-US" w:bidi="en-US"/>
        </w:rPr>
        <w:t xml:space="preserve">ADW AGRO, </w:t>
      </w:r>
      <w:r>
        <w:rPr>
          <w:b/>
          <w:bCs/>
        </w:rPr>
        <w:t>a.s.</w:t>
      </w:r>
    </w:p>
    <w:p w:rsidR="001C50AF" w:rsidRDefault="007E5E01">
      <w:pPr>
        <w:pStyle w:val="Heading10"/>
        <w:keepNext/>
        <w:keepLines/>
        <w:shd w:val="clear" w:color="auto" w:fill="auto"/>
        <w:spacing w:after="200" w:line="240" w:lineRule="auto"/>
      </w:pPr>
      <w:bookmarkStart w:id="0" w:name="bookmark0"/>
      <w:bookmarkStart w:id="1" w:name="bookmark1"/>
      <w:r>
        <w:lastRenderedPageBreak/>
        <w:t>Výzkumný ústav živočišné výroby, v.v.i.</w:t>
      </w:r>
      <w:bookmarkEnd w:id="0"/>
      <w:bookmarkEnd w:id="1"/>
    </w:p>
    <w:p w:rsidR="001C50AF" w:rsidRDefault="007E5E01">
      <w:pPr>
        <w:pStyle w:val="Zkladntext"/>
        <w:shd w:val="clear" w:color="auto" w:fill="auto"/>
        <w:spacing w:after="200" w:line="290" w:lineRule="auto"/>
        <w:jc w:val="both"/>
      </w:pPr>
      <w:r>
        <w:t xml:space="preserve">se sídlem Přátelství 815, Praha Uhříněves, PSČ 104 00, IČ 00027014, DIČ CZ00027014, zastoupena ředitelem Dr. Ing. Pavlem Čermákem, č. </w:t>
      </w:r>
      <w:proofErr w:type="gramStart"/>
      <w:r>
        <w:t xml:space="preserve">účtu: </w:t>
      </w:r>
      <w:r w:rsidR="00087034">
        <w:t xml:space="preserve">  </w:t>
      </w:r>
      <w:proofErr w:type="gramEnd"/>
      <w:r w:rsidR="00087034">
        <w:t xml:space="preserve">                      </w:t>
      </w:r>
      <w:r>
        <w:t xml:space="preserve">, e-mail: </w:t>
      </w:r>
      <w:hyperlink r:id="rId7" w:history="1"/>
      <w:r w:rsidR="00087034">
        <w:t xml:space="preserve">                      </w:t>
      </w:r>
    </w:p>
    <w:p w:rsidR="001C50AF" w:rsidRDefault="007E5E01">
      <w:pPr>
        <w:pStyle w:val="Zkladntext"/>
        <w:shd w:val="clear" w:color="auto" w:fill="auto"/>
        <w:spacing w:after="680" w:line="290" w:lineRule="auto"/>
        <w:jc w:val="both"/>
      </w:pPr>
      <w:r>
        <w:t xml:space="preserve">(dále jen </w:t>
      </w:r>
      <w:r>
        <w:rPr>
          <w:b/>
          <w:bCs/>
        </w:rPr>
        <w:t>„objednatel")</w:t>
      </w:r>
    </w:p>
    <w:p w:rsidR="001C50AF" w:rsidRDefault="007E5E01">
      <w:pPr>
        <w:pStyle w:val="Heading10"/>
        <w:keepNext/>
        <w:keepLines/>
        <w:shd w:val="clear" w:color="auto" w:fill="auto"/>
        <w:spacing w:after="200" w:line="286" w:lineRule="auto"/>
      </w:pPr>
      <w:bookmarkStart w:id="2" w:name="bookmark2"/>
      <w:bookmarkStart w:id="3" w:name="bookmark3"/>
      <w:r>
        <w:rPr>
          <w:lang w:val="en-US" w:eastAsia="en-US" w:bidi="en-US"/>
        </w:rPr>
        <w:t xml:space="preserve">ADW AGRO, </w:t>
      </w:r>
      <w:r>
        <w:t>a.s.</w:t>
      </w:r>
      <w:bookmarkEnd w:id="2"/>
      <w:bookmarkEnd w:id="3"/>
    </w:p>
    <w:p w:rsidR="001C50AF" w:rsidRDefault="007E5E01">
      <w:pPr>
        <w:pStyle w:val="Zkladntext"/>
        <w:shd w:val="clear" w:color="auto" w:fill="auto"/>
        <w:spacing w:after="200" w:line="286" w:lineRule="auto"/>
        <w:jc w:val="both"/>
      </w:pPr>
      <w:r>
        <w:t>se sídl</w:t>
      </w:r>
      <w:r>
        <w:t xml:space="preserve">em č.p. 76, 675 21 Krahulov, IČ 28348982, DIČ CZ28348982, spis. zn. B 5887 vedená u Krajského soudu v Brně, zastoupená </w:t>
      </w:r>
      <w:r w:rsidR="00087034">
        <w:t xml:space="preserve">                         </w:t>
      </w:r>
      <w:proofErr w:type="gramStart"/>
      <w:r w:rsidR="00087034">
        <w:t xml:space="preserve">  </w:t>
      </w:r>
      <w:r>
        <w:t>,</w:t>
      </w:r>
      <w:proofErr w:type="gramEnd"/>
      <w:r>
        <w:t xml:space="preserve"> předsedou správní rady, č. účtu </w:t>
      </w:r>
      <w:r w:rsidR="00087034">
        <w:t xml:space="preserve">                             </w:t>
      </w:r>
      <w:r>
        <w:t xml:space="preserve">, e-mail </w:t>
      </w:r>
      <w:hyperlink r:id="rId8" w:history="1">
        <w:r>
          <w:rPr>
            <w:lang w:val="en-US" w:eastAsia="en-US" w:bidi="en-US"/>
          </w:rPr>
          <w:t>v</w:t>
        </w:r>
      </w:hyperlink>
      <w:r w:rsidR="00087034">
        <w:t xml:space="preserve">                  </w:t>
      </w:r>
    </w:p>
    <w:p w:rsidR="001C50AF" w:rsidRDefault="007E5E01">
      <w:pPr>
        <w:pStyle w:val="Zkladntext"/>
        <w:shd w:val="clear" w:color="auto" w:fill="auto"/>
        <w:spacing w:after="200" w:line="286" w:lineRule="auto"/>
        <w:jc w:val="both"/>
      </w:pPr>
      <w:r>
        <w:t>Dodavatel je plátcem DPH.</w:t>
      </w:r>
    </w:p>
    <w:p w:rsidR="001C50AF" w:rsidRDefault="007E5E01">
      <w:pPr>
        <w:pStyle w:val="Zkladntext"/>
        <w:shd w:val="clear" w:color="auto" w:fill="auto"/>
        <w:spacing w:after="200" w:line="286" w:lineRule="auto"/>
        <w:jc w:val="both"/>
      </w:pPr>
      <w:r>
        <w:t xml:space="preserve">(dále společně jen jako </w:t>
      </w:r>
      <w:r>
        <w:rPr>
          <w:b/>
          <w:bCs/>
        </w:rPr>
        <w:t>„dodavatel")</w:t>
      </w:r>
    </w:p>
    <w:p w:rsidR="001C50AF" w:rsidRDefault="007E5E01">
      <w:pPr>
        <w:pStyle w:val="Zkladntext"/>
        <w:shd w:val="clear" w:color="auto" w:fill="auto"/>
        <w:spacing w:after="680" w:line="286" w:lineRule="auto"/>
      </w:pPr>
      <w:r>
        <w:t xml:space="preserve">(objednatel a dodavatel dále společně jako </w:t>
      </w:r>
      <w:r>
        <w:rPr>
          <w:b/>
          <w:bCs/>
        </w:rPr>
        <w:t xml:space="preserve">„smluvní strany" </w:t>
      </w:r>
      <w:r>
        <w:t xml:space="preserve">nebo jednotlivě jako </w:t>
      </w:r>
      <w:r>
        <w:rPr>
          <w:b/>
          <w:bCs/>
        </w:rPr>
        <w:t>„smluvní strana")</w:t>
      </w:r>
    </w:p>
    <w:p w:rsidR="001C50AF" w:rsidRDefault="007E5E01">
      <w:pPr>
        <w:pStyle w:val="Zkladntext"/>
        <w:shd w:val="clear" w:color="auto" w:fill="auto"/>
        <w:spacing w:after="680" w:line="286" w:lineRule="auto"/>
      </w:pPr>
      <w:r>
        <w:t>uzavřeli níže uvedeného dne, měsíce a roku tuto</w:t>
      </w:r>
    </w:p>
    <w:p w:rsidR="001C50AF" w:rsidRDefault="007E5E01">
      <w:pPr>
        <w:pStyle w:val="Zkladntext"/>
        <w:shd w:val="clear" w:color="auto" w:fill="auto"/>
        <w:spacing w:after="760" w:line="240" w:lineRule="auto"/>
        <w:jc w:val="center"/>
      </w:pPr>
      <w:r>
        <w:rPr>
          <w:b/>
          <w:bCs/>
        </w:rPr>
        <w:t>rámcovou dohodu na dodávku pesticidů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120" w:line="269" w:lineRule="auto"/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7"/>
        </w:tabs>
        <w:ind w:left="760" w:hanging="400"/>
        <w:jc w:val="both"/>
      </w:pPr>
      <w:r>
        <w:t>V souladu s ustanovením § 53 a násl. zákona č. 134/2016 Sb., o zadávaní veřejných zakázek, ve znění pozdějších předpisů (dále jen „ZZVZ"), zadal objednatel, jakožto veřejný zadavatel, výběrové řízení na veřejnou zakázku s názvem Pesticidy</w:t>
      </w:r>
      <w:r>
        <w:t xml:space="preserve"> 2024.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20"/>
        </w:tabs>
        <w:spacing w:after="200" w:line="252" w:lineRule="auto"/>
        <w:ind w:left="760" w:hanging="400"/>
        <w:jc w:val="both"/>
      </w:pPr>
      <w:r>
        <w:t xml:space="preserve">Nabídka dodavatele splnila kvalifikační kritéria a byla vyhodnocena jako ekonomicky nejvýhodnější a na jejím základě smluvní strany uzavírají tuto rámcovou dohodu (dále jen </w:t>
      </w:r>
      <w:r>
        <w:rPr>
          <w:b/>
          <w:bCs/>
        </w:rPr>
        <w:t>„dohoda").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20"/>
        </w:tabs>
        <w:spacing w:after="200" w:line="286" w:lineRule="auto"/>
        <w:ind w:left="760" w:hanging="400"/>
        <w:jc w:val="both"/>
      </w:pPr>
      <w:r>
        <w:t>Účelem této dohody je stanovení podrobných obchodních podmínek pr</w:t>
      </w:r>
      <w:r>
        <w:t>o realizaci jednotlivých dílčích smluv/objednávek pesticidů (jak je tento pojem definován níže) objednatelem a stanovení dalších podmínek plnění.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120" w:line="269" w:lineRule="auto"/>
      </w:pPr>
      <w:bookmarkStart w:id="6" w:name="bookmark6"/>
      <w:bookmarkStart w:id="7" w:name="bookmark7"/>
      <w:r>
        <w:t>PŘEDMĚT DOHODY</w:t>
      </w:r>
      <w:bookmarkEnd w:id="6"/>
      <w:bookmarkEnd w:id="7"/>
    </w:p>
    <w:p w:rsidR="001C50AF" w:rsidRPr="007E5E01" w:rsidRDefault="007E5E01">
      <w:pPr>
        <w:pStyle w:val="Zkladntext"/>
        <w:numPr>
          <w:ilvl w:val="0"/>
          <w:numId w:val="2"/>
        </w:numPr>
        <w:shd w:val="clear" w:color="auto" w:fill="auto"/>
        <w:tabs>
          <w:tab w:val="left" w:pos="743"/>
        </w:tabs>
        <w:spacing w:after="1180" w:line="252" w:lineRule="auto"/>
        <w:ind w:left="700" w:hanging="700"/>
        <w:jc w:val="both"/>
      </w:pPr>
      <w:r>
        <w:t>Tato dohoda upravuje podmínky pro uzavíraní a plněni dílčích smluv / objednávek na dodávku pesticidů, jejichž výčet a množství je uvedeno v příloze č. 1 této dohody za podmínek a v rozsahu specifikovaném v zadávací dokumentaci k veřejné zakázce a této doho</w:t>
      </w:r>
      <w:r>
        <w:t xml:space="preserve">dě (dále jen </w:t>
      </w:r>
      <w:r>
        <w:rPr>
          <w:b/>
          <w:bCs/>
        </w:rPr>
        <w:t xml:space="preserve">„pesticidy" </w:t>
      </w:r>
      <w:r>
        <w:t xml:space="preserve">nebo </w:t>
      </w:r>
      <w:r>
        <w:rPr>
          <w:b/>
          <w:bCs/>
        </w:rPr>
        <w:t xml:space="preserve">„dodávky").                               </w:t>
      </w:r>
    </w:p>
    <w:p w:rsidR="007E5E01" w:rsidRDefault="007E5E01" w:rsidP="007E5E01">
      <w:pPr>
        <w:pStyle w:val="Zkladntext"/>
        <w:shd w:val="clear" w:color="auto" w:fill="auto"/>
        <w:tabs>
          <w:tab w:val="left" w:pos="743"/>
        </w:tabs>
        <w:spacing w:after="1180" w:line="252" w:lineRule="auto"/>
        <w:ind w:left="700"/>
        <w:jc w:val="both"/>
      </w:pPr>
    </w:p>
    <w:p w:rsidR="007E5E01" w:rsidRDefault="007E5E01" w:rsidP="007E5E01">
      <w:pPr>
        <w:pStyle w:val="Zkladntext"/>
        <w:shd w:val="clear" w:color="auto" w:fill="auto"/>
        <w:tabs>
          <w:tab w:val="left" w:pos="743"/>
        </w:tabs>
        <w:spacing w:after="1180" w:line="252" w:lineRule="auto"/>
        <w:ind w:left="700"/>
        <w:jc w:val="both"/>
      </w:pPr>
    </w:p>
    <w:p w:rsidR="001C50AF" w:rsidRDefault="001C50AF">
      <w:pPr>
        <w:jc w:val="right"/>
        <w:rPr>
          <w:sz w:val="2"/>
          <w:szCs w:val="2"/>
        </w:rPr>
      </w:pPr>
    </w:p>
    <w:p w:rsidR="001C50AF" w:rsidRDefault="007E5E01" w:rsidP="007E5E01">
      <w:pPr>
        <w:pStyle w:val="Zkladntext"/>
        <w:numPr>
          <w:ilvl w:val="0"/>
          <w:numId w:val="2"/>
        </w:numPr>
        <w:shd w:val="clear" w:color="auto" w:fill="auto"/>
        <w:tabs>
          <w:tab w:val="left" w:pos="746"/>
        </w:tabs>
        <w:spacing w:after="220" w:line="240" w:lineRule="auto"/>
        <w:jc w:val="both"/>
      </w:pPr>
      <w:r>
        <w:t>D</w:t>
      </w:r>
      <w:r>
        <w:t xml:space="preserve">odavatel se zavazuje řádně provést všechny dodávky pesticidů, dokončit je a předat objednateli    </w:t>
      </w:r>
      <w:r>
        <w:t>vždy v souladu s touto dohodou, příslušnými právními předpisy a normami vztahujícími se k předmětu dodávky.</w:t>
      </w:r>
    </w:p>
    <w:p w:rsidR="001C50AF" w:rsidRDefault="007E5E01">
      <w:pPr>
        <w:pStyle w:val="Zkladntext"/>
        <w:numPr>
          <w:ilvl w:val="0"/>
          <w:numId w:val="2"/>
        </w:numPr>
        <w:shd w:val="clear" w:color="auto" w:fill="auto"/>
        <w:tabs>
          <w:tab w:val="left" w:pos="746"/>
        </w:tabs>
        <w:spacing w:after="220" w:line="252" w:lineRule="auto"/>
        <w:ind w:left="720" w:hanging="720"/>
        <w:jc w:val="both"/>
      </w:pPr>
      <w:r>
        <w:t>Dodavatel se zavazuje dodávat objednateli pesticidy tak, že jednotlivé dodávky se budou odvíjet od aktuálních potřeb objednatele, které budou blíže specifikovány na základě dílčích smluv /objednávek.</w:t>
      </w:r>
    </w:p>
    <w:p w:rsidR="001C50AF" w:rsidRDefault="007E5E01">
      <w:pPr>
        <w:pStyle w:val="Zkladntext"/>
        <w:numPr>
          <w:ilvl w:val="0"/>
          <w:numId w:val="2"/>
        </w:numPr>
        <w:shd w:val="clear" w:color="auto" w:fill="auto"/>
        <w:tabs>
          <w:tab w:val="left" w:pos="746"/>
        </w:tabs>
        <w:spacing w:after="220" w:line="254" w:lineRule="auto"/>
        <w:ind w:left="720" w:hanging="720"/>
        <w:jc w:val="both"/>
      </w:pPr>
      <w:r>
        <w:t>Objednatel se zavazuje dodávku převzít do svého vlastnic</w:t>
      </w:r>
      <w:r>
        <w:t>tví a zaplatit objednateli sjednanou cenu dodávky.</w:t>
      </w:r>
    </w:p>
    <w:p w:rsidR="001C50AF" w:rsidRDefault="007E5E01">
      <w:pPr>
        <w:pStyle w:val="Zkladntext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54" w:lineRule="auto"/>
        <w:jc w:val="both"/>
      </w:pPr>
      <w:r>
        <w:t>Dodávka bude dodána v souladu s podmínkami této dohody, dále podmínkami zadávacího</w:t>
      </w:r>
    </w:p>
    <w:p w:rsidR="001C50AF" w:rsidRDefault="007E5E01">
      <w:pPr>
        <w:pStyle w:val="Zkladntext"/>
        <w:shd w:val="clear" w:color="auto" w:fill="auto"/>
        <w:spacing w:after="220" w:line="254" w:lineRule="auto"/>
        <w:ind w:left="760" w:firstLine="20"/>
        <w:jc w:val="both"/>
      </w:pPr>
      <w:r>
        <w:t>řízení a s nabídkou dodavatele. Nabídka dodavatele je platná a závazná pro plnění zakázky a předmětu této dohody.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after="100"/>
      </w:pPr>
      <w:bookmarkStart w:id="8" w:name="bookmark8"/>
      <w:bookmarkStart w:id="9" w:name="bookmark9"/>
      <w:r>
        <w:t xml:space="preserve">POSTUP </w:t>
      </w:r>
      <w:r>
        <w:t>UZAVÍRÁNÍ DÍLČÍCH SMLUV/OBJEDNÁVEK</w:t>
      </w:r>
      <w:bookmarkEnd w:id="8"/>
      <w:bookmarkEnd w:id="9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5"/>
        </w:tabs>
        <w:spacing w:after="100"/>
        <w:ind w:left="760" w:hanging="400"/>
        <w:jc w:val="both"/>
      </w:pPr>
      <w:r>
        <w:t>Objednatel bude poptávat pesticidy ze seznamu obsaženého v příloze č. 1 písemnou objednávkou. Za písemnou objednávku se považuje objednávka zaslaná prostřednictvím datové schránky či elektronicky prostřednictvím e-mailu k</w:t>
      </w:r>
      <w:r>
        <w:t xml:space="preserve">ontaktní osobě dodavatele </w:t>
      </w:r>
      <w:r w:rsidR="00F36506">
        <w:t xml:space="preserve">              </w:t>
      </w:r>
      <w:proofErr w:type="gramStart"/>
      <w:r w:rsidR="00F36506">
        <w:t xml:space="preserve">  </w:t>
      </w:r>
      <w:r>
        <w:t>,</w:t>
      </w:r>
      <w:proofErr w:type="gramEnd"/>
      <w:r>
        <w:t xml:space="preserve"> tel. </w:t>
      </w:r>
      <w:r w:rsidR="00F36506">
        <w:t xml:space="preserve">               </w:t>
      </w:r>
      <w:r>
        <w:t xml:space="preserve">, e-mail: </w:t>
      </w:r>
      <w:hyperlink r:id="rId9" w:history="1"/>
      <w:r w:rsidR="00F36506">
        <w:t xml:space="preserve">                 </w:t>
      </w:r>
      <w:r>
        <w:rPr>
          <w:lang w:val="en-US" w:eastAsia="en-US" w:bidi="en-US"/>
        </w:rPr>
        <w:t xml:space="preserve">. </w:t>
      </w:r>
      <w:r>
        <w:t>Písemná objednávka k plnění musí obsahovat zejména druh a požadované množství pesticidů, místo dodání a lhůtu pro dodání.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5"/>
        </w:tabs>
        <w:spacing w:after="100" w:line="290" w:lineRule="auto"/>
        <w:ind w:left="760" w:hanging="400"/>
        <w:jc w:val="both"/>
      </w:pPr>
      <w:r>
        <w:t>Dodavatel je povinen potvrdit objednávku písemně (datovou zprávou nebo emailem objednateli) do 24 hodin od jejího obdržení. Potvrzením objednávky je uzavřena dílčí smlouva/objednávka.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9"/>
        </w:tabs>
        <w:spacing w:after="220"/>
        <w:ind w:left="760" w:hanging="400"/>
        <w:jc w:val="both"/>
      </w:pPr>
      <w:r>
        <w:t xml:space="preserve">V případě prodlení dodavatele se splněním termínu plnění dle objednávky </w:t>
      </w:r>
      <w:r>
        <w:t>je objednatel oprávněn účtovat dodavateli smluvní pokutu ve výši 1.000, - Kč za každý den prodlení a okamžitě odstoupit od dohody. Smluvní pokuta bude účtována samostatně. Smluvní pokuta je splatná do třiceti (30) dnů ode dne doručení faktury k úhradě smlu</w:t>
      </w:r>
      <w:r>
        <w:t>vní pokuty dodavateli.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after="100"/>
      </w:pPr>
      <w:bookmarkStart w:id="10" w:name="bookmark10"/>
      <w:bookmarkStart w:id="11" w:name="bookmark11"/>
      <w:r>
        <w:t>DODACÍ PODMÍNKY</w:t>
      </w:r>
      <w:bookmarkEnd w:id="10"/>
      <w:bookmarkEnd w:id="11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5"/>
        </w:tabs>
        <w:spacing w:after="100"/>
        <w:ind w:left="760" w:hanging="400"/>
        <w:jc w:val="both"/>
      </w:pPr>
      <w:r>
        <w:t>Dodavatel je povinen dodat pesticidy nejpozději do třech (3) pracovních dnů od obdržení objednávky, nedohodnou-li se smluvní strany jinak. Řádným dodáním je dodání objednaného množství a druhu pesticidů odpovídajících</w:t>
      </w:r>
      <w:r>
        <w:t xml:space="preserve"> požadovanému složení a kvalitě.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9"/>
        </w:tabs>
        <w:spacing w:after="100" w:line="290" w:lineRule="auto"/>
        <w:ind w:left="760" w:hanging="400"/>
        <w:jc w:val="both"/>
      </w:pPr>
      <w:r>
        <w:t>Místem dodání je sídlo objednatele na adrese Přátelství 815, Praha Uhříněves. Náklady dodání pesticidů do místa plnění nese dodavatel.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9"/>
        </w:tabs>
        <w:spacing w:after="100" w:line="290" w:lineRule="auto"/>
        <w:ind w:left="760" w:hanging="400"/>
        <w:jc w:val="both"/>
      </w:pPr>
      <w:r>
        <w:t>Vlastnické právo ke pesticidům dodaným dodavatelem objednateli dle dohody přechází na ob</w:t>
      </w:r>
      <w:r>
        <w:t>jednatele jejich převzetím.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9"/>
        </w:tabs>
        <w:spacing w:after="220"/>
        <w:ind w:firstLine="360"/>
        <w:jc w:val="both"/>
      </w:pPr>
      <w:r>
        <w:t>Nebezpečí škody na pesticidech přejde na objednatele jejich převzetím.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after="100"/>
      </w:pPr>
      <w:bookmarkStart w:id="12" w:name="bookmark12"/>
      <w:bookmarkStart w:id="13" w:name="bookmark13"/>
      <w:r>
        <w:t>CENA A PLATEBNÍ PODMÍNKY</w:t>
      </w:r>
      <w:bookmarkEnd w:id="12"/>
      <w:bookmarkEnd w:id="13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 w:line="290" w:lineRule="auto"/>
        <w:ind w:left="760" w:hanging="400"/>
        <w:jc w:val="both"/>
      </w:pPr>
      <w:r>
        <w:t xml:space="preserve">Dodavatel je oprávněn fakturovat pesticidy (dodané zboží) nejdříve současně s dodávkou. Pro fakturaci jsou rozhodující ceny uvedené </w:t>
      </w:r>
      <w:r>
        <w:t>dodavatelem v příloze č. 1 dohody.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 w:line="290" w:lineRule="auto"/>
        <w:ind w:left="760" w:hanging="400"/>
        <w:jc w:val="both"/>
      </w:pPr>
      <w:r>
        <w:t>Faktura musí splňovat všechny náležitosti účetního a daňového dokladu a musí z ní být patrný druh a množství pesticidů, cena za jednotku a celková cena za objednané množství pesticidů.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 w:line="290" w:lineRule="auto"/>
        <w:ind w:left="760" w:hanging="400"/>
        <w:jc w:val="both"/>
      </w:pPr>
      <w:r>
        <w:t>Splatnost faktury činí třicet (30) d</w:t>
      </w:r>
      <w:r>
        <w:t>ní od jejího doručení objednateli. Objednatel uhradí cenu bezhotovostním převodem na bankovní účet dodavatele uvedený na faktuře.</w:t>
      </w:r>
    </w:p>
    <w:p w:rsidR="007E5E01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 w:line="286" w:lineRule="auto"/>
        <w:ind w:left="760" w:hanging="400"/>
        <w:jc w:val="both"/>
      </w:pPr>
      <w:r>
        <w:t>V případě prodlení objednatele s platbou je dodavatel oprávněn požadovat po objednateli smluvní pokutu ve výši 0,05 % z částky</w:t>
      </w:r>
      <w:r>
        <w:t xml:space="preserve"> připadající na neuhrazenou fakturu.                              </w:t>
      </w:r>
    </w:p>
    <w:p w:rsidR="007E5E01" w:rsidRDefault="007E5E01" w:rsidP="007E5E01">
      <w:pPr>
        <w:pStyle w:val="Zkladntext"/>
        <w:shd w:val="clear" w:color="auto" w:fill="auto"/>
        <w:tabs>
          <w:tab w:val="left" w:pos="792"/>
        </w:tabs>
        <w:spacing w:after="100" w:line="286" w:lineRule="auto"/>
        <w:ind w:left="760"/>
        <w:jc w:val="both"/>
      </w:pPr>
    </w:p>
    <w:p w:rsidR="001C50AF" w:rsidRDefault="007E5E01" w:rsidP="007E5E01">
      <w:pPr>
        <w:pStyle w:val="Zkladntext"/>
        <w:shd w:val="clear" w:color="auto" w:fill="auto"/>
        <w:tabs>
          <w:tab w:val="left" w:pos="792"/>
        </w:tabs>
        <w:spacing w:after="100" w:line="286" w:lineRule="auto"/>
        <w:ind w:left="760"/>
        <w:jc w:val="both"/>
      </w:pPr>
      <w:r>
        <w:t xml:space="preserve">                                                                                 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240" w:line="240" w:lineRule="auto"/>
        <w:ind w:left="760" w:hanging="400"/>
        <w:jc w:val="both"/>
      </w:pPr>
      <w:r>
        <w:lastRenderedPageBreak/>
        <w:t>Dodavatel je povinen zaregistrovat všechny své bankovní účty, na které by měly být poukazovány platby od objednatele, u příslušného správce daně, aby se objednatel nedostal do pozice ručitele za DPH účtované zhotovitele</w:t>
      </w:r>
      <w:r>
        <w:t>m v souladu s § 109 zákona č. 235/2004 Sb., o dani z přidané hodnoty v platném znění. Objednatel poukáže jakoukoli platbu pouze na bankovní účty registrované tímto způsobem u správce daně, a to pouze na účty vedené u bankovních subjektů v České republice (</w:t>
      </w:r>
      <w:r>
        <w:t xml:space="preserve">dále jen </w:t>
      </w:r>
      <w:r>
        <w:rPr>
          <w:b/>
          <w:bCs/>
        </w:rPr>
        <w:t xml:space="preserve">„bezpečný účet"). </w:t>
      </w:r>
      <w:r>
        <w:t>Pokud bude požadováno poukázání platby na jakýkoli jiný účet, je objednatel oprávněn zadržet tuto platbu až do doby, kdy dodavatel sdělí objednateli číslo bezpečného účtu. V případě zadržení splatnost plateb začne běžet až ode dn</w:t>
      </w:r>
      <w:r>
        <w:t>e sdělení čísla bezpečného účtu. Pokud bude do té doby objednatel vyzván k úhradě DPH z takové zadržené platby v pozici ručitele, bude DPH přímo uhrazena příslušnému správci daně a bezprostředně poté dojde k úhradě části platby bez DPH dodavateli. Pokud do</w:t>
      </w:r>
      <w:r>
        <w:t>jde k indikaci naplnění jakýchkoli jiných podmínek ručení objednatele za DPH účtovanou dodavatelem v souladu s § 109 zákona o dani z přidané hodnoty (v případné vazbě na další související ustanovení), je objednatel oprávněn zadržet z každé příslušné platby</w:t>
      </w:r>
      <w:r>
        <w:t xml:space="preserve"> daň z přidané hodnoty a tuto na výzvu správce daně uhradit v pozici ručitele přímo na účet příslušného správce daně. Dojde-li k pozdržení případně neuhrazení jakýchkoli plateb nebo jejich částí z výše uvedených důvodů, nevzniká dodavateli žádný nárok na ú</w:t>
      </w:r>
      <w:r>
        <w:t>hradu případných úroků z prodlení, penále, náhrady škody nebo jakýchkoli dalších sankcí vůči objednateli, a to ani v případě, že by mu podobné sankce byly vyměřeny správcem daně.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after="160" w:line="240" w:lineRule="auto"/>
      </w:pPr>
      <w:bookmarkStart w:id="14" w:name="bookmark14"/>
      <w:bookmarkStart w:id="15" w:name="bookmark15"/>
      <w:r>
        <w:t>TRVÁNÍ A UKONČENÍ DOHODY</w:t>
      </w:r>
      <w:bookmarkEnd w:id="14"/>
      <w:bookmarkEnd w:id="15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/>
        <w:ind w:left="760" w:hanging="400"/>
        <w:jc w:val="both"/>
      </w:pPr>
      <w:r>
        <w:t xml:space="preserve">Tato dohoda nabývá platnosti dnem jejího uzavření a </w:t>
      </w:r>
      <w:r>
        <w:t>účinnosti dnem uveřejnění v Registru smluv. Tato dohoda se uzavírá do doby jejího vyčerpání (tedy objednání předpokládaného množství uvedené v příloze č. 1 této dohody).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60" w:line="240" w:lineRule="auto"/>
        <w:ind w:firstLine="360"/>
        <w:jc w:val="both"/>
      </w:pPr>
      <w:r>
        <w:t>Platnost a účinnost této dohody zaniká:</w:t>
      </w:r>
    </w:p>
    <w:p w:rsidR="001C50AF" w:rsidRDefault="007E5E01">
      <w:pPr>
        <w:pStyle w:val="Zkladntext"/>
        <w:numPr>
          <w:ilvl w:val="2"/>
          <w:numId w:val="1"/>
        </w:numPr>
        <w:shd w:val="clear" w:color="auto" w:fill="auto"/>
        <w:tabs>
          <w:tab w:val="left" w:pos="1474"/>
        </w:tabs>
        <w:spacing w:after="160" w:line="240" w:lineRule="auto"/>
        <w:ind w:firstLine="880"/>
      </w:pPr>
      <w:r>
        <w:t>uplynutím doby, na kterou byla uzavřena,</w:t>
      </w:r>
    </w:p>
    <w:p w:rsidR="001C50AF" w:rsidRDefault="007E5E01">
      <w:pPr>
        <w:pStyle w:val="Zkladntext"/>
        <w:numPr>
          <w:ilvl w:val="2"/>
          <w:numId w:val="1"/>
        </w:numPr>
        <w:shd w:val="clear" w:color="auto" w:fill="auto"/>
        <w:tabs>
          <w:tab w:val="left" w:pos="1474"/>
        </w:tabs>
        <w:spacing w:after="160" w:line="240" w:lineRule="auto"/>
        <w:ind w:firstLine="880"/>
      </w:pPr>
      <w:r>
        <w:t>výpov</w:t>
      </w:r>
      <w:r>
        <w:t>ědí,</w:t>
      </w:r>
    </w:p>
    <w:p w:rsidR="001C50AF" w:rsidRDefault="007E5E01">
      <w:pPr>
        <w:pStyle w:val="Zkladntext"/>
        <w:shd w:val="clear" w:color="auto" w:fill="auto"/>
        <w:spacing w:after="160" w:line="240" w:lineRule="auto"/>
        <w:ind w:firstLine="880"/>
      </w:pPr>
      <w:r>
        <w:t>6.2.3.odstoupením objednatele od dohody.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60" w:line="240" w:lineRule="auto"/>
        <w:ind w:firstLine="360"/>
        <w:jc w:val="both"/>
      </w:pPr>
      <w:r>
        <w:t>Smluvní strany jsou oprávněny dohodu vypovědět v souladu se ZZVZ a touto smlouvou.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 w:line="293" w:lineRule="auto"/>
        <w:ind w:left="760" w:hanging="400"/>
        <w:jc w:val="both"/>
      </w:pPr>
      <w:r>
        <w:t>Výpovědní doba činí tři (3) měsíce a začíná běžet dnem doručení výpovědi druhé smluvní straně.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/>
        <w:ind w:left="760" w:hanging="400"/>
        <w:jc w:val="both"/>
      </w:pPr>
      <w:r>
        <w:t>Objednatel je oprávněn odstoupit</w:t>
      </w:r>
      <w:r>
        <w:t xml:space="preserve"> od této dohody vůči příslušnému dodavateli v případě, kdy objednatel zjistí, že dodavatel uvedl v nabídce informace nebo doklady, které neodpovídají skutečnosti a měly nebo mohly mít vliv na výsledek zadávacího řízení. Odstoupení je účinné okamžikem, kdy </w:t>
      </w:r>
      <w:r>
        <w:t>dojde dodavateli.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00" w:line="293" w:lineRule="auto"/>
        <w:ind w:left="760" w:hanging="400"/>
        <w:jc w:val="both"/>
      </w:pPr>
      <w:r>
        <w:t>Objednatel je rovněž oprávněn odstoupit od této dohody v případě, že dodavatel nedodá pesticidy za podmínek stanovených v dohodě.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2"/>
        </w:tabs>
        <w:spacing w:after="160" w:line="286" w:lineRule="auto"/>
        <w:ind w:left="760" w:hanging="400"/>
        <w:jc w:val="both"/>
      </w:pPr>
      <w:r>
        <w:t xml:space="preserve">Dodavatel je oprávněn od této dohody odstoupit, dostane-li se objednatel do prodlení s platbou za </w:t>
      </w:r>
      <w:r>
        <w:t>jednotlivou objednávku o více než třicet (30) dnů.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100"/>
      </w:pPr>
      <w:bookmarkStart w:id="16" w:name="bookmark16"/>
      <w:bookmarkStart w:id="17" w:name="bookmark17"/>
      <w:r>
        <w:t>TRVÁNÍ A UKONČENÍ DÍLČÍCH SMLUV</w:t>
      </w:r>
      <w:bookmarkEnd w:id="16"/>
      <w:bookmarkEnd w:id="17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95"/>
        </w:tabs>
        <w:spacing w:after="100"/>
        <w:ind w:firstLine="360"/>
      </w:pPr>
      <w:r>
        <w:t>Dílčí smlouva zaniká splněním.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5"/>
        </w:tabs>
        <w:spacing w:after="100" w:line="290" w:lineRule="auto"/>
        <w:ind w:left="780" w:hanging="400"/>
        <w:jc w:val="both"/>
      </w:pPr>
      <w:r>
        <w:t>Od dílčí smlouvy může kterákoliv smluvní strana odstoupit v případě podstatného porušení dílčí smlouvy druhou smluvní stranou. V případě, že s</w:t>
      </w:r>
      <w:r>
        <w:t>e nejedná o podstatné porušení smlouvy, je odstupující smluvní strana povinna poskytnout porušující smluvní straně lhůtu k nápravě.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5"/>
        </w:tabs>
        <w:spacing w:after="220" w:line="290" w:lineRule="auto"/>
        <w:ind w:left="780" w:hanging="400"/>
        <w:jc w:val="both"/>
      </w:pPr>
      <w:r>
        <w:t>Za podstatné porušení smlouvy se považuje zejména prodlení dodavatele s dodáním pesticidů delší než deset (10) dnů nebo neod</w:t>
      </w:r>
      <w:r>
        <w:t xml:space="preserve">stranitelné vady plnění.                                  </w:t>
      </w:r>
    </w:p>
    <w:p w:rsidR="007E5E01" w:rsidRDefault="007E5E01" w:rsidP="007E5E01">
      <w:pPr>
        <w:pStyle w:val="Zkladntext"/>
        <w:shd w:val="clear" w:color="auto" w:fill="auto"/>
        <w:tabs>
          <w:tab w:val="left" w:pos="815"/>
        </w:tabs>
        <w:spacing w:after="220" w:line="290" w:lineRule="auto"/>
        <w:ind w:left="780"/>
        <w:jc w:val="both"/>
      </w:pPr>
    </w:p>
    <w:p w:rsidR="007E5E01" w:rsidRDefault="007E5E01" w:rsidP="007E5E01">
      <w:pPr>
        <w:pStyle w:val="Zkladntext"/>
        <w:shd w:val="clear" w:color="auto" w:fill="auto"/>
        <w:tabs>
          <w:tab w:val="left" w:pos="815"/>
        </w:tabs>
        <w:spacing w:after="220" w:line="290" w:lineRule="auto"/>
        <w:ind w:left="780"/>
        <w:jc w:val="both"/>
      </w:pP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100"/>
      </w:pPr>
      <w:bookmarkStart w:id="18" w:name="bookmark18"/>
      <w:bookmarkStart w:id="19" w:name="bookmark19"/>
      <w:r>
        <w:lastRenderedPageBreak/>
        <w:t>VYHRAZENÁ ZMĚNA ZÁVAZKU</w:t>
      </w:r>
      <w:bookmarkEnd w:id="18"/>
      <w:bookmarkEnd w:id="19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2"/>
        </w:tabs>
        <w:spacing w:after="100"/>
        <w:ind w:left="780" w:hanging="400"/>
        <w:jc w:val="both"/>
      </w:pPr>
      <w:r>
        <w:t>Zadavatel si v souladu s § 100 odst. 1ZZVZ vyhrazuje možnost aktualizovat v průběhu čerpání dohody ceny pesticidů uvedených v nabídce vybraného dodavatele, s nímž byla uzavřena dohoda. Aktualizace cen pestic</w:t>
      </w:r>
      <w:r>
        <w:t xml:space="preserve">idů bude prováděna na žádost dodavatele, nejčastěji však jednou za 3 kalendářní měsíce počínaje dnem uzavření dohody. Dodavatel je povinen doložit minimálně 3 dokumenty, které potvrzují provedení poptávky dodavatelem, na </w:t>
      </w:r>
      <w:proofErr w:type="gramStart"/>
      <w:r>
        <w:t>základě</w:t>
      </w:r>
      <w:proofErr w:type="gramEnd"/>
      <w:r>
        <w:t xml:space="preserve"> kterých dodavatel navrhl ak</w:t>
      </w:r>
      <w:r>
        <w:t>tualizaci ceny. Z dokládaných dokumentů musí být patrné: kdo byl dodavatelem osloven, kontakt, datum doručení cenové nabídky při zohlednění množství potřebného pro dodávku pesticidů. Zadavatel nebojím pověřená osoba je oprávněna ověřit si dodavatelem dolož</w:t>
      </w:r>
      <w:r>
        <w:t>ené informace. Dodavatel nebo jím pověřená osoba je rovněž oprávněna provést vlastní průzkum trhu. O aktualizaci rozhoduje zadavatel. Celková cena pesticidů se vlivem aktualizace cen smí navýšit o limit stanovené v ZZVZ.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5"/>
        </w:tabs>
        <w:spacing w:after="220"/>
        <w:ind w:left="780" w:hanging="400"/>
        <w:jc w:val="both"/>
      </w:pPr>
      <w:r>
        <w:t xml:space="preserve">Objednatel si v souladu s § 100 </w:t>
      </w:r>
      <w:r>
        <w:t>odst. 2 ZZVZ vyhrazuje nahrazení vybraného dodavatele dodavatelem dalším v pořadí v případě, že bude ukončena dohoda odstoupením nebo výpovědí z důvodu porušení povinností ze strany vybraného dodavatele. Po ukončení smlouvy objednatel osloví dodavatele dal</w:t>
      </w:r>
      <w:r>
        <w:t>šího v pořadí a zašle mu k odsouhlasení návrh nové dohody, která odpovídá jeho nabídce. Bude-li další dodavatel souhlasit, uzavře s ním objednatel novou dohodu. Tento postup lze využít opakovaně.</w:t>
      </w:r>
    </w:p>
    <w:p w:rsidR="001C50AF" w:rsidRDefault="007E5E0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100"/>
      </w:pPr>
      <w:bookmarkStart w:id="20" w:name="bookmark20"/>
      <w:bookmarkStart w:id="21" w:name="bookmark21"/>
      <w:r>
        <w:t>ZÁVĚREČNÁ USTANOVENÍ</w:t>
      </w:r>
      <w:bookmarkEnd w:id="20"/>
      <w:bookmarkEnd w:id="21"/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5"/>
        </w:tabs>
        <w:spacing w:after="100" w:line="290" w:lineRule="auto"/>
        <w:ind w:left="780" w:hanging="400"/>
        <w:jc w:val="both"/>
      </w:pPr>
      <w:r>
        <w:t>Tato dohoda se řídí právním řádem České</w:t>
      </w:r>
      <w:r>
        <w:t xml:space="preserve"> republiky, zejména zákonem č. 89/2012 Sb., občanský zákoník a ZZVZ. Ujednání v této dohodě mají přednost před úpravou obsaženou v zákoně, ledaže je ujednání v rozporu s kogentním ustanovením zákona.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5"/>
        </w:tabs>
        <w:spacing w:after="100" w:line="290" w:lineRule="auto"/>
        <w:ind w:left="780" w:hanging="400"/>
        <w:jc w:val="both"/>
      </w:pPr>
      <w:r>
        <w:t>Tato dohoda byla vyhotovena ve dvou (2) stejnopisech v j</w:t>
      </w:r>
      <w:r>
        <w:t>azyce českém. Každá smluvní strana obdrží jedno vyhotovení dohody.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5"/>
        </w:tabs>
        <w:spacing w:after="100"/>
        <w:ind w:left="780" w:hanging="400"/>
        <w:jc w:val="both"/>
      </w:pPr>
      <w:r>
        <w:t>Dodavatel bere na vědomí, že objednatel je povinen zveřejnit elektronický obraz textového obsahu této dohody a jejích případných změn (dodatků) a dalších smluv od této dohody odvozených vče</w:t>
      </w:r>
      <w:r>
        <w:t>tně metadat požadovaných k uveřejnění dle zákona č. 340/2015 Sb., o registru smluv. Dodavatel prohlašuje, že tato dohoda neobsahuje obchodní tajemství a uděluje tímto souhlas objednateli k uveřejnění dohody a všech pokladů, údajů a informací uvedených v té</w:t>
      </w:r>
      <w:r>
        <w:t>to dohodě a těch, k jejichž uveřejnění vyplývá pro objednatele povinnost dle právních předpisů.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815"/>
        </w:tabs>
        <w:spacing w:after="100" w:line="290" w:lineRule="auto"/>
        <w:ind w:left="780" w:hanging="400"/>
        <w:jc w:val="both"/>
        <w:sectPr w:rsidR="001C50AF">
          <w:pgSz w:w="11900" w:h="16840"/>
          <w:pgMar w:top="1699" w:right="1496" w:bottom="4" w:left="1602" w:header="1271" w:footer="3" w:gutter="0"/>
          <w:cols w:space="720"/>
          <w:noEndnote/>
          <w:docGrid w:linePitch="360"/>
        </w:sectPr>
      </w:pPr>
      <w:r>
        <w:t>Dodavatel bere na vědomí, že se podpisem této dohody stává v souladu s ustanovením § 2 písm. e) zákona č. 320/2001 Sb., o finanční kontro</w:t>
      </w:r>
      <w:r>
        <w:t>le ve veřejné správě a o změně některých</w:t>
      </w:r>
    </w:p>
    <w:p w:rsidR="001C50AF" w:rsidRDefault="007E5E01">
      <w:pPr>
        <w:pStyle w:val="Zkladntext"/>
        <w:shd w:val="clear" w:color="auto" w:fill="auto"/>
        <w:spacing w:after="100"/>
        <w:ind w:left="660" w:firstLine="20"/>
        <w:jc w:val="both"/>
      </w:pPr>
      <w:r>
        <w:lastRenderedPageBreak/>
        <w:t>zákonů, ve znění pozdějších předpisů, osobou povinnou spolupůsobit při výkonu finanční kontroly prováděné v souvislosti s úhradou zboží nebo služeb z veřejných výdajů nebo z veřejné finanční podpory.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35"/>
        </w:tabs>
        <w:spacing w:after="100" w:line="293" w:lineRule="auto"/>
        <w:ind w:left="660" w:hanging="400"/>
        <w:jc w:val="both"/>
      </w:pPr>
      <w:r>
        <w:t xml:space="preserve">Tuto dohodu je </w:t>
      </w:r>
      <w:r>
        <w:t>možné měnit nebo doplňovat pouze písemnými dodatky podepsanými všemi smluvními stranami.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39"/>
        </w:tabs>
        <w:spacing w:after="100" w:line="286" w:lineRule="auto"/>
        <w:ind w:left="660" w:hanging="400"/>
        <w:jc w:val="both"/>
      </w:pPr>
      <w:r>
        <w:t>Smluvní strany potvrzují, že si dohodu přečetly, jejímu obsahu porozuměly, ten odpovídá jejich svobodné a vážné vůli, na důkaz čehož k ní připojují své podpisy.</w:t>
      </w:r>
    </w:p>
    <w:p w:rsidR="001C50AF" w:rsidRDefault="007E5E01">
      <w:pPr>
        <w:pStyle w:val="Zkladntext"/>
        <w:numPr>
          <w:ilvl w:val="1"/>
          <w:numId w:val="1"/>
        </w:numPr>
        <w:shd w:val="clear" w:color="auto" w:fill="auto"/>
        <w:tabs>
          <w:tab w:val="left" w:pos="739"/>
        </w:tabs>
        <w:spacing w:after="520"/>
        <w:ind w:firstLine="260"/>
      </w:pPr>
      <w:r>
        <w:t>Nedílnou součástí této dohody je příloha č. 1.</w:t>
      </w:r>
    </w:p>
    <w:p w:rsidR="001C50AF" w:rsidRDefault="007E5E01">
      <w:pPr>
        <w:pStyle w:val="Zkladntext"/>
        <w:shd w:val="clear" w:color="auto" w:fill="auto"/>
        <w:spacing w:after="200"/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1C50AF" w:rsidRDefault="007E5E01">
      <w:pPr>
        <w:pStyle w:val="Zkladntext"/>
        <w:shd w:val="clear" w:color="auto" w:fill="auto"/>
        <w:tabs>
          <w:tab w:val="left" w:pos="4878"/>
        </w:tabs>
        <w:spacing w:after="0"/>
      </w:pPr>
      <w:r>
        <w:t>Podpis:</w:t>
      </w:r>
      <w:r>
        <w:tab/>
        <w:t>Podpis:</w:t>
      </w:r>
    </w:p>
    <w:p w:rsidR="001C50AF" w:rsidRDefault="001C50AF">
      <w:pPr>
        <w:spacing w:line="1" w:lineRule="exact"/>
        <w:sectPr w:rsidR="001C50AF">
          <w:footerReference w:type="default" r:id="rId10"/>
          <w:pgSz w:w="11900" w:h="16840"/>
          <w:pgMar w:top="1703" w:right="1530" w:bottom="8634" w:left="1708" w:header="1275" w:footer="3" w:gutter="0"/>
          <w:cols w:space="720"/>
          <w:noEndnote/>
          <w:docGrid w:linePitch="360"/>
        </w:sectPr>
      </w:pPr>
    </w:p>
    <w:p w:rsidR="001C50AF" w:rsidRDefault="001C50AF">
      <w:pPr>
        <w:spacing w:before="18" w:after="18" w:line="240" w:lineRule="exact"/>
        <w:rPr>
          <w:sz w:val="19"/>
          <w:szCs w:val="19"/>
        </w:rPr>
      </w:pPr>
    </w:p>
    <w:p w:rsidR="001C50AF" w:rsidRDefault="001C50AF">
      <w:pPr>
        <w:spacing w:line="1" w:lineRule="exact"/>
        <w:sectPr w:rsidR="001C50AF">
          <w:type w:val="continuous"/>
          <w:pgSz w:w="11900" w:h="16840"/>
          <w:pgMar w:top="1703" w:right="0" w:bottom="8625" w:left="0" w:header="0" w:footer="3" w:gutter="0"/>
          <w:cols w:space="720"/>
          <w:noEndnote/>
          <w:docGrid w:linePitch="360"/>
        </w:sectPr>
      </w:pPr>
    </w:p>
    <w:p w:rsidR="001C50AF" w:rsidRDefault="007E5E01">
      <w:pPr>
        <w:pStyle w:val="Zkladntext"/>
        <w:shd w:val="clear" w:color="auto" w:fill="auto"/>
        <w:spacing w:after="0" w:line="252" w:lineRule="auto"/>
        <w:ind w:left="5220" w:hanging="3100"/>
        <w:sectPr w:rsidR="001C50AF">
          <w:type w:val="continuous"/>
          <w:pgSz w:w="11900" w:h="16840"/>
          <w:pgMar w:top="1703" w:right="1119" w:bottom="8625" w:left="1733" w:header="0" w:footer="3" w:gutter="0"/>
          <w:cols w:space="720"/>
          <w:noEndnote/>
          <w:docGrid w:linePitch="360"/>
        </w:sectPr>
      </w:pPr>
      <w:bookmarkStart w:id="22" w:name="_GoBack"/>
      <w:bookmarkEnd w:id="22"/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12700</wp:posOffset>
                </wp:positionV>
                <wp:extent cx="1657350" cy="18542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50AF" w:rsidRDefault="007E5E01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,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85.4pt;margin-top:1pt;width:130.5pt;height:14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" filled="f" stroked="f">
                <v:textbox inset="0,0,0,0">
                  <w:txbxContent>
                    <w:p w:rsidR="001C50AF" w:rsidRDefault="007E5E01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</w:rPr>
                        <w:t>,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>, předseda správní rady</w:t>
      </w:r>
    </w:p>
    <w:p w:rsidR="001C50AF" w:rsidRDefault="007E5E01">
      <w:pPr>
        <w:pStyle w:val="Tablecaption0"/>
        <w:shd w:val="clear" w:color="auto" w:fill="auto"/>
        <w:ind w:left="3672"/>
      </w:pPr>
      <w:r>
        <w:lastRenderedPageBreak/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1897"/>
        <w:gridCol w:w="1483"/>
        <w:gridCol w:w="2617"/>
      </w:tblGrid>
      <w:tr w:rsidR="001C50AF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ind w:left="1480"/>
            </w:pPr>
            <w:r>
              <w:t>Přípravek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57" w:lineRule="auto"/>
              <w:jc w:val="center"/>
            </w:pPr>
            <w:r>
              <w:t>Předpokládané množství celkem l/kg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Předpokládaná hodnota v Kč bez DPH za měrnou jednotku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52" w:lineRule="auto"/>
              <w:jc w:val="center"/>
            </w:pPr>
            <w:r>
              <w:t xml:space="preserve">Předpokládaná hodnota v Kč bez DPH za </w:t>
            </w:r>
            <w:r>
              <w:t>předpokládané množství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Alig</w:t>
            </w:r>
            <w:proofErr w:type="spellEnd"/>
            <w:r>
              <w:t xml:space="preserve"> 100 </w:t>
            </w:r>
            <w:r>
              <w:rPr>
                <w:lang w:val="en-US" w:eastAsia="en-US" w:bidi="en-US"/>
              </w:rPr>
              <w:t>EC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890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53 400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Alphamipríd</w:t>
            </w:r>
            <w:proofErr w:type="spellEnd"/>
            <w:r>
              <w:t xml:space="preserve"> 20 SP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2 669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41 370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Amistar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Gold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1 254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156 750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Belkar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3 119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37 428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Biplay</w:t>
            </w:r>
            <w:proofErr w:type="spellEnd"/>
            <w:r>
              <w:t xml:space="preserve"> SX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7 994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52 760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rPr>
                <w:lang w:val="en-US" w:eastAsia="en-US" w:bidi="en-US"/>
              </w:rPr>
              <w:t>Callisto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480 SC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4 774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23 870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Caryx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95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825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78 375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Cypekrill</w:t>
            </w:r>
            <w:proofErr w:type="spellEnd"/>
            <w:r>
              <w:t xml:space="preserve"> Max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2 040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38 760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Decis</w:t>
            </w:r>
            <w:proofErr w:type="spellEnd"/>
            <w:r>
              <w:t xml:space="preserve"> Forte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2 138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4 276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Dinastia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1 104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16 560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>Dirigent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838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67 040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 xml:space="preserve">Escort </w:t>
            </w:r>
            <w:r>
              <w:t>Nový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624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12 480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Fury Power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1 311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34 086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Fusilade</w:t>
            </w:r>
            <w:proofErr w:type="spellEnd"/>
            <w:r>
              <w:t xml:space="preserve"> Forte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15 750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Gallant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799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39 950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Gazelle Liquid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1754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70 160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Chocker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1 559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140 310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Infinito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669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3 345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 xml:space="preserve">Karate </w:t>
            </w:r>
            <w:proofErr w:type="spellStart"/>
            <w:r>
              <w:t>zeon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1033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10 330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rPr>
                <w:lang w:val="en-US" w:eastAsia="en-US" w:bidi="en-US"/>
              </w:rPr>
              <w:t>Koron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100 SC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949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4 745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Kunshi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1741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5 223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>Laudis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786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27 510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Lieto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1 943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3 886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>Magma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1429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28 580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Nexide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1 722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8 610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Plateen</w:t>
            </w:r>
            <w:proofErr w:type="spellEnd"/>
            <w:r>
              <w:t xml:space="preserve"> 41,5 WG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799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7 990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Prosaro</w:t>
            </w:r>
            <w:proofErr w:type="spellEnd"/>
            <w:r>
              <w:t xml:space="preserve"> 250 </w:t>
            </w:r>
            <w:r>
              <w:rPr>
                <w:lang w:val="en-US" w:eastAsia="en-US" w:bidi="en-US"/>
              </w:rPr>
              <w:t>EC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1 312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19 680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>Rapid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1715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36 015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Retacel</w:t>
            </w:r>
            <w:proofErr w:type="spellEnd"/>
            <w:r>
              <w:t xml:space="preserve"> Extra R68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16 500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Rombus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Power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1 137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34 110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rPr>
                <w:lang w:val="en-US" w:eastAsia="en-US" w:bidi="en-US"/>
              </w:rPr>
              <w:t>Sencor</w:t>
            </w:r>
            <w:proofErr w:type="spellEnd"/>
            <w:r>
              <w:rPr>
                <w:lang w:val="en-US" w:eastAsia="en-US" w:bidi="en-US"/>
              </w:rPr>
              <w:t xml:space="preserve"> Liquid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1 552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3 104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>Starané Forte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869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52 140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Talius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2 345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23 450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Tebusha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643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70 730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>Trend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149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3 278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r>
              <w:t>Unix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1 170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117 000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Zorvec</w:t>
            </w:r>
            <w:proofErr w:type="spellEnd"/>
            <w:r>
              <w:t xml:space="preserve"> </w:t>
            </w:r>
            <w:proofErr w:type="spellStart"/>
            <w:r>
              <w:t>Endavia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2 294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4 588</w:t>
            </w:r>
          </w:p>
        </w:tc>
      </w:tr>
      <w:tr w:rsidR="001C50AF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0AF" w:rsidRDefault="007E5E01">
            <w:pPr>
              <w:pStyle w:val="Other0"/>
              <w:shd w:val="clear" w:color="auto" w:fill="auto"/>
              <w:spacing w:after="0" w:line="252" w:lineRule="auto"/>
            </w:pPr>
            <w:r>
              <w:t xml:space="preserve">Listová </w:t>
            </w:r>
            <w:r>
              <w:t xml:space="preserve">hnojivá (zejména s obsahem prvků B, </w:t>
            </w:r>
            <w:proofErr w:type="spellStart"/>
            <w:r>
              <w:t>Mn</w:t>
            </w:r>
            <w:proofErr w:type="spellEnd"/>
            <w:r>
              <w:t>, Cu, S)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2275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70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160 000</w:t>
            </w:r>
          </w:p>
        </w:tc>
      </w:tr>
    </w:tbl>
    <w:p w:rsidR="001C50AF" w:rsidRDefault="007E5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133"/>
      </w:tblGrid>
      <w:tr w:rsidR="001C50A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0AF" w:rsidRDefault="007E5E01">
            <w:pPr>
              <w:pStyle w:val="Other0"/>
              <w:shd w:val="clear" w:color="auto" w:fill="auto"/>
              <w:spacing w:after="0" w:line="252" w:lineRule="auto"/>
              <w:ind w:left="160"/>
              <w:jc w:val="center"/>
            </w:pPr>
            <w:r>
              <w:rPr>
                <w:b/>
                <w:bCs/>
              </w:rPr>
              <w:lastRenderedPageBreak/>
              <w:t>CENA VŠECH KOMODIT ZA PŘEDPOKLÁDANÉ MNOŽSTVÍ V KČ BEZ</w:t>
            </w:r>
          </w:p>
          <w:p w:rsidR="001C50AF" w:rsidRDefault="007E5E01">
            <w:pPr>
              <w:pStyle w:val="Other0"/>
              <w:shd w:val="clear" w:color="auto" w:fill="auto"/>
              <w:spacing w:after="0" w:line="252" w:lineRule="auto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AF" w:rsidRDefault="007E5E01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1 524 139 Kč</w:t>
            </w:r>
          </w:p>
        </w:tc>
      </w:tr>
    </w:tbl>
    <w:p w:rsidR="00000000" w:rsidRDefault="007E5E01"/>
    <w:sectPr w:rsidR="00000000">
      <w:footerReference w:type="default" r:id="rId11"/>
      <w:pgSz w:w="11900" w:h="16840"/>
      <w:pgMar w:top="1809" w:right="1238" w:bottom="1559" w:left="1614" w:header="1381" w:footer="11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E5E01">
      <w:r>
        <w:separator/>
      </w:r>
    </w:p>
  </w:endnote>
  <w:endnote w:type="continuationSeparator" w:id="0">
    <w:p w:rsidR="00000000" w:rsidRDefault="007E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AF" w:rsidRDefault="007E5E0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5216525</wp:posOffset>
              </wp:positionV>
              <wp:extent cx="4713605" cy="2197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360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0AF" w:rsidRDefault="007E5E01">
                          <w:pPr>
                            <w:pStyle w:val="Headerorfooter20"/>
                            <w:shd w:val="clear" w:color="auto" w:fill="auto"/>
                            <w:tabs>
                              <w:tab w:val="right" w:pos="5494"/>
                              <w:tab w:val="right" w:pos="7423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Datum: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ab/>
                            <w:t>Datum: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87.55pt;margin-top:410.75pt;width:371.15pt;height:17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" filled="f" stroked="f">
              <v:textbox style="mso-fit-shape-to-text:t" inset="0,0,0,0">
                <w:txbxContent>
                  <w:p w:rsidR="001C50AF" w:rsidRDefault="007E5E01">
                    <w:pPr>
                      <w:pStyle w:val="Headerorfooter20"/>
                      <w:shd w:val="clear" w:color="auto" w:fill="auto"/>
                      <w:tabs>
                        <w:tab w:val="right" w:pos="5494"/>
                        <w:tab w:val="right" w:pos="7423"/>
                      </w:tabs>
                    </w:pPr>
                    <w:r>
                      <w:rPr>
                        <w:rFonts w:ascii="Calibri" w:eastAsia="Calibri" w:hAnsi="Calibri" w:cs="Calibri"/>
                      </w:rPr>
                      <w:t>Datum:</w:t>
                    </w:r>
                    <w:r>
                      <w:rPr>
                        <w:rFonts w:ascii="Calibri" w:eastAsia="Calibri" w:hAnsi="Calibri" w:cs="Calibri"/>
                      </w:rPr>
                      <w:tab/>
                      <w:t>Datum:</w:t>
                    </w:r>
                    <w:r>
                      <w:rPr>
                        <w:rFonts w:ascii="Calibri" w:eastAsia="Calibri" w:hAnsi="Calibri" w:cs="Calibr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AF" w:rsidRDefault="001C5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AF" w:rsidRDefault="001C50AF"/>
  </w:footnote>
  <w:footnote w:type="continuationSeparator" w:id="0">
    <w:p w:rsidR="001C50AF" w:rsidRDefault="001C50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7F8"/>
    <w:multiLevelType w:val="multilevel"/>
    <w:tmpl w:val="F9A6198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2E25EE"/>
    <w:multiLevelType w:val="multilevel"/>
    <w:tmpl w:val="B32E7864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AF"/>
    <w:rsid w:val="00087034"/>
    <w:rsid w:val="001C50AF"/>
    <w:rsid w:val="007E5E01"/>
    <w:rsid w:val="00F3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9D1"/>
  <w15:docId w15:val="{56D0C07C-FD8E-4B36-A2C8-CFD85DF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88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10" w:line="288" w:lineRule="auto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20" w:line="288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tech.kaspar@adw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uzv@vuz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jtech.kaspar@adw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1883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4</cp:revision>
  <dcterms:created xsi:type="dcterms:W3CDTF">2024-04-26T09:52:00Z</dcterms:created>
  <dcterms:modified xsi:type="dcterms:W3CDTF">2024-04-26T09:58:00Z</dcterms:modified>
</cp:coreProperties>
</file>