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CA" w:rsidRDefault="00C6271C">
      <w:pPr>
        <w:spacing w:after="6658" w:line="259" w:lineRule="auto"/>
        <w:ind w:left="7022" w:right="-129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7065" cy="83629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CA" w:rsidRDefault="00C6271C">
      <w:pPr>
        <w:spacing w:after="995" w:line="259" w:lineRule="auto"/>
        <w:ind w:left="-1271" w:right="-471" w:firstLine="0"/>
      </w:pPr>
      <w:r>
        <w:rPr>
          <w:noProof/>
        </w:rPr>
        <w:drawing>
          <wp:inline distT="0" distB="0" distL="0" distR="0">
            <wp:extent cx="7400290" cy="42373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CA" w:rsidRDefault="00C6271C">
      <w:pPr>
        <w:spacing w:after="0" w:line="259" w:lineRule="auto"/>
        <w:ind w:left="0" w:firstLine="0"/>
        <w:jc w:val="both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121285</wp:posOffset>
                </wp:positionV>
                <wp:extent cx="3343275" cy="3456940"/>
                <wp:effectExtent l="0" t="0" r="0" b="0"/>
                <wp:wrapTopAndBottom/>
                <wp:docPr id="14253" name="Group 14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3456940"/>
                          <a:chOff x="0" y="0"/>
                          <a:chExt cx="3343275" cy="345694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465" y="3342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46CA" w:rsidRDefault="00C627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62" name="Picture 199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3343656" cy="3459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53" style="width:263.25pt;height:272.2pt;position:absolute;mso-position-horizontal-relative:page;mso-position-horizontal:absolute;margin-left:2.38419e-07pt;mso-position-vertical-relative:page;margin-top:9.54999pt;" coordsize="33432,34569">
                <v:rect id="Rectangle 6" style="position:absolute;width:506;height:2243;left:8994;top: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962" style="position:absolute;width:33436;height:34594;left:0;top:-24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46CA" w:rsidRDefault="00C6271C">
      <w:pPr>
        <w:spacing w:after="91" w:line="259" w:lineRule="auto"/>
        <w:ind w:left="2114" w:firstLine="0"/>
      </w:pPr>
      <w:r>
        <w:rPr>
          <w:rFonts w:ascii="Cambria" w:eastAsia="Cambria" w:hAnsi="Cambria" w:cs="Cambria"/>
          <w:sz w:val="28"/>
        </w:rPr>
        <w:t xml:space="preserve">Nájemní smlouva se servisními službami </w:t>
      </w:r>
    </w:p>
    <w:p w:rsidR="001246CA" w:rsidRDefault="00C6271C">
      <w:pPr>
        <w:spacing w:after="0" w:line="259" w:lineRule="auto"/>
        <w:ind w:left="0" w:right="837" w:firstLine="0"/>
        <w:jc w:val="center"/>
      </w:pPr>
      <w:r>
        <w:rPr>
          <w:rFonts w:ascii="Cambria" w:eastAsia="Cambria" w:hAnsi="Cambria" w:cs="Cambria"/>
          <w:sz w:val="28"/>
        </w:rPr>
        <w:t xml:space="preserve">Číslo:   CZ240073 </w:t>
      </w:r>
    </w:p>
    <w:p w:rsidR="001246CA" w:rsidRDefault="00C6271C">
      <w:pPr>
        <w:spacing w:after="6" w:line="254" w:lineRule="auto"/>
        <w:ind w:left="1056" w:right="1040"/>
      </w:pPr>
      <w:r>
        <w:rPr>
          <w:sz w:val="16"/>
        </w:rPr>
        <w:t>uzavřená v</w:t>
      </w:r>
      <w:r>
        <w:rPr>
          <w:sz w:val="16"/>
        </w:rPr>
        <w:t xml:space="preserve"> souladu s </w:t>
      </w:r>
      <w:r>
        <w:rPr>
          <w:sz w:val="16"/>
        </w:rPr>
        <w:t xml:space="preserve">ustanovením § </w:t>
      </w:r>
      <w:r>
        <w:rPr>
          <w:sz w:val="16"/>
        </w:rPr>
        <w:t xml:space="preserve">1746 odst. 2 </w:t>
      </w:r>
      <w:r>
        <w:rPr>
          <w:sz w:val="16"/>
        </w:rPr>
        <w:t>zák. č. 89/2012 Sb.,</w:t>
      </w:r>
      <w:r>
        <w:rPr>
          <w:sz w:val="16"/>
        </w:rPr>
        <w:t xml:space="preserve"> ob</w:t>
      </w:r>
      <w:r>
        <w:rPr>
          <w:sz w:val="16"/>
        </w:rPr>
        <w:t>čanského</w:t>
      </w:r>
      <w:r>
        <w:rPr>
          <w:sz w:val="16"/>
        </w:rPr>
        <w:t xml:space="preserve"> </w:t>
      </w:r>
      <w:r>
        <w:rPr>
          <w:sz w:val="16"/>
        </w:rPr>
        <w:t>zákoníku</w:t>
      </w:r>
      <w:r>
        <w:rPr>
          <w:sz w:val="16"/>
        </w:rPr>
        <w:t xml:space="preserve"> v </w:t>
      </w:r>
      <w:r>
        <w:rPr>
          <w:sz w:val="16"/>
        </w:rPr>
        <w:t>platném znění</w:t>
      </w:r>
      <w:r>
        <w:rPr>
          <w:sz w:val="16"/>
        </w:rPr>
        <w:t xml:space="preserve"> </w:t>
      </w:r>
    </w:p>
    <w:tbl>
      <w:tblPr>
        <w:tblStyle w:val="TableGrid"/>
        <w:tblW w:w="69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595"/>
        <w:gridCol w:w="823"/>
      </w:tblGrid>
      <w:tr w:rsidR="001246CA">
        <w:trPr>
          <w:trHeight w:val="204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0" w:line="259" w:lineRule="auto"/>
              <w:ind w:left="4537" w:firstLine="0"/>
            </w:pPr>
            <w:r>
              <w:t xml:space="preserve">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24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tabs>
                <w:tab w:val="center" w:pos="2911"/>
              </w:tabs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Pronajímatel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0" w:line="259" w:lineRule="auto"/>
              <w:ind w:left="16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0" w:line="259" w:lineRule="auto"/>
              <w:ind w:left="48" w:firstLine="0"/>
              <w:jc w:val="both"/>
            </w:pPr>
            <w:r>
              <w:rPr>
                <w:b/>
                <w:sz w:val="20"/>
              </w:rPr>
              <w:t xml:space="preserve">Nájemce </w:t>
            </w:r>
          </w:p>
        </w:tc>
      </w:tr>
    </w:tbl>
    <w:p w:rsidR="001246CA" w:rsidRDefault="00C6271C">
      <w:pPr>
        <w:tabs>
          <w:tab w:val="center" w:pos="3401"/>
          <w:tab w:val="center" w:pos="5922"/>
          <w:tab w:val="center" w:pos="6510"/>
        </w:tabs>
        <w:spacing w:after="40" w:line="259" w:lineRule="auto"/>
        <w:ind w:left="0" w:firstLine="0"/>
      </w:pPr>
      <w:r>
        <w:t>Obchodní f</w:t>
      </w:r>
      <w:r>
        <w:t xml:space="preserve">irma: </w:t>
      </w:r>
      <w:r>
        <w:tab/>
      </w:r>
      <w:r>
        <w:rPr>
          <w:b/>
        </w:rPr>
        <w:t xml:space="preserve">RICOH Czech Republic s.r.o. </w:t>
      </w:r>
      <w:r>
        <w:rPr>
          <w:b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Město Aš</w:t>
      </w:r>
      <w:r>
        <w:rPr>
          <w:b/>
          <w:sz w:val="20"/>
        </w:rPr>
        <w:t xml:space="preserve"> </w:t>
      </w:r>
    </w:p>
    <w:p w:rsidR="001246CA" w:rsidRDefault="00C6271C">
      <w:pPr>
        <w:tabs>
          <w:tab w:val="center" w:pos="3614"/>
          <w:tab w:val="center" w:pos="5922"/>
          <w:tab w:val="center" w:pos="7184"/>
        </w:tabs>
        <w:ind w:left="-15" w:firstLine="0"/>
      </w:pPr>
      <w:r>
        <w:t>Sídlo</w:t>
      </w:r>
      <w:r>
        <w:t>/</w:t>
      </w:r>
      <w:r>
        <w:t>Místo podnikání</w:t>
      </w:r>
      <w:r>
        <w:t xml:space="preserve">: </w:t>
      </w:r>
      <w:r>
        <w:tab/>
      </w:r>
      <w:r>
        <w:t>Jihlavská 1558/21</w:t>
      </w:r>
      <w:r>
        <w:t xml:space="preserve">, 140 00 Praha 4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Kamenná 473/52, 352 01 Aš</w:t>
      </w:r>
      <w:r>
        <w:t xml:space="preserve"> </w:t>
      </w:r>
    </w:p>
    <w:p w:rsidR="001246CA" w:rsidRDefault="00C6271C">
      <w:pPr>
        <w:tabs>
          <w:tab w:val="center" w:pos="3457"/>
          <w:tab w:val="center" w:pos="6159"/>
        </w:tabs>
        <w:ind w:left="-15" w:firstLine="0"/>
      </w:pPr>
      <w:r>
        <w:t>Pobočka/oddělení:</w:t>
      </w:r>
      <w:r>
        <w:t xml:space="preserve"> </w:t>
      </w:r>
      <w:r>
        <w:tab/>
      </w:r>
      <w:r>
        <w:t>Domažlická 194, 318 00 Plzeň</w:t>
      </w:r>
      <w:r>
        <w:t xml:space="preserve"> </w:t>
      </w:r>
      <w:r>
        <w:tab/>
        <w:t xml:space="preserve">     </w:t>
      </w:r>
      <w:r>
        <w:rPr>
          <w:sz w:val="20"/>
        </w:rPr>
        <w:t xml:space="preserve"> </w:t>
      </w:r>
    </w:p>
    <w:p w:rsidR="001246CA" w:rsidRDefault="00C6271C">
      <w:pPr>
        <w:tabs>
          <w:tab w:val="center" w:pos="2741"/>
          <w:tab w:val="center" w:pos="4677"/>
          <w:tab w:val="center" w:pos="5922"/>
          <w:tab w:val="center" w:pos="6524"/>
          <w:tab w:val="center" w:pos="8504"/>
        </w:tabs>
        <w:spacing w:after="41" w:line="259" w:lineRule="auto"/>
        <w:ind w:left="-15" w:firstLine="0"/>
      </w:pPr>
      <w:r>
        <w:t>IČ/DIČ</w:t>
      </w:r>
      <w:r>
        <w:t xml:space="preserve"> </w:t>
      </w:r>
      <w:r>
        <w:tab/>
        <w:t xml:space="preserve">48117820 </w:t>
      </w:r>
      <w:r>
        <w:tab/>
        <w:t xml:space="preserve">CZ48117820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00253901</w:t>
      </w:r>
      <w:r>
        <w:rPr>
          <w:sz w:val="20"/>
        </w:rPr>
        <w:t xml:space="preserve"> </w:t>
      </w:r>
      <w:r>
        <w:rPr>
          <w:sz w:val="20"/>
        </w:rPr>
        <w:tab/>
      </w:r>
      <w:r>
        <w:t>CZ00253901</w:t>
      </w:r>
      <w:r>
        <w:rPr>
          <w:sz w:val="20"/>
        </w:rPr>
        <w:t xml:space="preserve"> </w:t>
      </w:r>
    </w:p>
    <w:p w:rsidR="001246CA" w:rsidRDefault="00C6271C">
      <w:pPr>
        <w:ind w:left="-5" w:right="209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1430985</wp:posOffset>
                </wp:positionH>
                <wp:positionV relativeFrom="paragraph">
                  <wp:posOffset>-654960</wp:posOffset>
                </wp:positionV>
                <wp:extent cx="4781804" cy="1370075"/>
                <wp:effectExtent l="0" t="0" r="0" b="0"/>
                <wp:wrapNone/>
                <wp:docPr id="17139" name="Group 17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804" cy="1370075"/>
                          <a:chOff x="0" y="0"/>
                          <a:chExt cx="4781804" cy="1370075"/>
                        </a:xfrm>
                      </wpg:grpSpPr>
                      <wps:wsp>
                        <wps:cNvPr id="21737" name="Shape 21737"/>
                        <wps:cNvSpPr/>
                        <wps:spPr>
                          <a:xfrm>
                            <a:off x="9144" y="0"/>
                            <a:ext cx="2251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 h="9144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  <a:lnTo>
                                  <a:pt x="2251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8" name="Shape 21738"/>
                        <wps:cNvSpPr/>
                        <wps:spPr>
                          <a:xfrm>
                            <a:off x="2410079" y="0"/>
                            <a:ext cx="30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9144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9" name="Shape 21739"/>
                        <wps:cNvSpPr/>
                        <wps:spPr>
                          <a:xfrm>
                            <a:off x="244055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2446655" y="0"/>
                            <a:ext cx="21551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90" h="9144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  <a:lnTo>
                                  <a:pt x="21551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1" name="Shape 21741"/>
                        <wps:cNvSpPr/>
                        <wps:spPr>
                          <a:xfrm>
                            <a:off x="46019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46080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46111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4617212" y="0"/>
                            <a:ext cx="164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9144">
                                <a:moveTo>
                                  <a:pt x="0" y="0"/>
                                </a:moveTo>
                                <a:lnTo>
                                  <a:pt x="164592" y="0"/>
                                </a:lnTo>
                                <a:lnTo>
                                  <a:pt x="164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144" y="173736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410079" y="173736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4" y="458724"/>
                            <a:ext cx="1167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76909" y="4587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83005" y="458724"/>
                            <a:ext cx="107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2">
                                <a:moveTo>
                                  <a:pt x="0" y="0"/>
                                </a:moveTo>
                                <a:lnTo>
                                  <a:pt x="107772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0079" y="458724"/>
                            <a:ext cx="119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07943" y="458724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14420" y="458724"/>
                            <a:ext cx="1075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690364" y="4587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696460" y="45872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99508" y="45872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05604" y="458724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1176909" y="461771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3607943" y="461771"/>
                            <a:ext cx="9144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45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592"/>
                                </a:lnTo>
                                <a:lnTo>
                                  <a:pt x="0" y="1645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44" y="629412"/>
                            <a:ext cx="1167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765">
                                <a:moveTo>
                                  <a:pt x="0" y="0"/>
                                </a:moveTo>
                                <a:lnTo>
                                  <a:pt x="116776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76909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83005" y="629412"/>
                            <a:ext cx="1077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722">
                                <a:moveTo>
                                  <a:pt x="0" y="0"/>
                                </a:moveTo>
                                <a:lnTo>
                                  <a:pt x="1077722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0079" y="629412"/>
                            <a:ext cx="1197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864">
                                <a:moveTo>
                                  <a:pt x="0" y="0"/>
                                </a:moveTo>
                                <a:lnTo>
                                  <a:pt x="11978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07943" y="629412"/>
                            <a:ext cx="64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">
                                <a:moveTo>
                                  <a:pt x="0" y="0"/>
                                </a:moveTo>
                                <a:lnTo>
                                  <a:pt x="647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14420" y="629412"/>
                            <a:ext cx="1075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>
                                <a:moveTo>
                                  <a:pt x="0" y="0"/>
                                </a:moveTo>
                                <a:lnTo>
                                  <a:pt x="107594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90364" y="629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696460" y="6294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699508" y="6294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05604" y="629412"/>
                            <a:ext cx="76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9144" y="914400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10079" y="914400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144" y="1085087"/>
                            <a:ext cx="2251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583">
                                <a:moveTo>
                                  <a:pt x="0" y="0"/>
                                </a:moveTo>
                                <a:lnTo>
                                  <a:pt x="2251583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410079" y="1085087"/>
                            <a:ext cx="23717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1726">
                                <a:moveTo>
                                  <a:pt x="0" y="0"/>
                                </a:moveTo>
                                <a:lnTo>
                                  <a:pt x="237172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370075"/>
                            <a:ext cx="22607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727">
                                <a:moveTo>
                                  <a:pt x="0" y="0"/>
                                </a:moveTo>
                                <a:lnTo>
                                  <a:pt x="226072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400935" y="1370075"/>
                            <a:ext cx="2380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870">
                                <a:moveTo>
                                  <a:pt x="0" y="0"/>
                                </a:moveTo>
                                <a:lnTo>
                                  <a:pt x="23808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39" style="width:376.52pt;height:107.88pt;position:absolute;z-index:-2147483549;mso-position-horizontal-relative:text;mso-position-horizontal:absolute;margin-left:112.676pt;mso-position-vertical-relative:text;margin-top:-51.5717pt;" coordsize="47818,13700">
                <v:shape id="Shape 21747" style="position:absolute;width:22515;height:91;left:91;top:0;" coordsize="2251583,9144" path="m0,0l2251583,0l2251583,9144l0,9144l0,0">
                  <v:stroke weight="0pt" endcap="flat" joinstyle="miter" miterlimit="10" on="false" color="#000000" opacity="0"/>
                  <v:fill on="true" color="#000000"/>
                </v:shape>
                <v:shape id="Shape 21748" style="position:absolute;width:304;height:91;left:24100;top:0;" coordsize="30480,9144" path="m0,0l30480,0l30480,9144l0,9144l0,0">
                  <v:stroke weight="0pt" endcap="flat" joinstyle="miter" miterlimit="10" on="false" color="#000000" opacity="0"/>
                  <v:fill on="true" color="#000000"/>
                </v:shape>
                <v:shape id="Shape 21749" style="position:absolute;width:91;height:91;left:24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50" style="position:absolute;width:21551;height:91;left:24466;top:0;" coordsize="2155190,9144" path="m0,0l2155190,0l2155190,9144l0,9144l0,0">
                  <v:stroke weight="0pt" endcap="flat" joinstyle="miter" miterlimit="10" on="false" color="#000000" opacity="0"/>
                  <v:fill on="true" color="#000000"/>
                </v:shape>
                <v:shape id="Shape 21751" style="position:absolute;width:91;height:91;left:4601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52" style="position:absolute;width:91;height:91;left:4608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53" style="position:absolute;width:91;height:91;left:461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754" style="position:absolute;width:1645;height:91;left:46172;top:0;" coordsize="164592,9144" path="m0,0l164592,0l164592,9144l0,9144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22515;height:0;left:91;top:1737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95" style="position:absolute;width:23717;height:0;left:24100;top:1737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07" style="position:absolute;width:11677;height:0;left:91;top:4587;" coordsize="1167765,0" path="m0,0l1167765,0">
                  <v:stroke weight="0.48pt" endcap="flat" dashstyle="3 1" joinstyle="round" on="true" color="#000000"/>
                  <v:fill on="false" color="#000000" opacity="0"/>
                </v:shape>
                <v:shape id="Shape 108" style="position:absolute;width:60;height:0;left:11769;top:4587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09" style="position:absolute;width:10777;height:0;left:11830;top:4587;" coordsize="1077722,0" path="m0,0l1077722,0">
                  <v:stroke weight="0.48pt" endcap="flat" dashstyle="3 1" joinstyle="round" on="true" color="#000000"/>
                  <v:fill on="false" color="#000000" opacity="0"/>
                </v:shape>
                <v:shape id="Shape 110" style="position:absolute;width:11978;height:0;left:24100;top:4587;" coordsize="1197864,0" path="m0,0l1197864,0">
                  <v:stroke weight="0.48pt" endcap="flat" dashstyle="3 1" joinstyle="round" on="true" color="#000000"/>
                  <v:fill on="false" color="#000000" opacity="0"/>
                </v:shape>
                <v:shape id="Shape 111" style="position:absolute;width:64;height:0;left:36079;top:4587;" coordsize="6477,0" path="m0,0l6477,0">
                  <v:stroke weight="0.48pt" endcap="flat" dashstyle="3 1" joinstyle="round" on="true" color="#000000"/>
                  <v:fill on="false" color="#000000" opacity="0"/>
                </v:shape>
                <v:shape id="Shape 112" style="position:absolute;width:10759;height:0;left:36144;top:4587;" coordsize="1075944,0" path="m0,0l1075944,0">
                  <v:stroke weight="0.48pt" endcap="flat" dashstyle="3 1" joinstyle="round" on="true" color="#000000"/>
                  <v:fill on="false" color="#000000" opacity="0"/>
                </v:shape>
                <v:shape id="Shape 113" style="position:absolute;width:60;height:0;left:46903;top:4587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14" style="position:absolute;width:30;height:0;left:46964;top:4587;" coordsize="3048,0" path="m0,0l3048,0">
                  <v:stroke weight="0.48pt" endcap="flat" dashstyle="3 1" joinstyle="round" on="true" color="#000000"/>
                  <v:fill on="false" color="#000000" opacity="0"/>
                </v:shape>
                <v:shape id="Shape 115" style="position:absolute;width:60;height:0;left:46995;top:4587;" coordsize="6097,0" path="m0,0l6097,0">
                  <v:stroke weight="0.48pt" endcap="flat" dashstyle="3 1" joinstyle="round" on="true" color="#000000"/>
                  <v:fill on="false" color="#000000" opacity="0"/>
                </v:shape>
                <v:shape id="Shape 116" style="position:absolute;width:762;height:0;left:47056;top:4587;" coordsize="76200,0" path="m0,0l76200,0">
                  <v:stroke weight="0.48pt" endcap="flat" dashstyle="3 1" joinstyle="round" on="true" color="#000000"/>
                  <v:fill on="false" color="#000000" opacity="0"/>
                </v:shape>
                <v:shape id="Shape 21755" style="position:absolute;width:91;height:1645;left:11769;top:4617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21756" style="position:absolute;width:91;height:1645;left:36079;top:4617;" coordsize="9144,164592" path="m0,0l9144,0l9144,164592l0,164592l0,0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1677;height:0;left:91;top:6294;" coordsize="1167765,0" path="m0,0l1167765,0">
                  <v:stroke weight="0.48pt" endcap="flat" dashstyle="3 1" joinstyle="round" on="true" color="#000000"/>
                  <v:fill on="false" color="#000000" opacity="0"/>
                </v:shape>
                <v:shape id="Shape 135" style="position:absolute;width:60;height:0;left:11769;top:6294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36" style="position:absolute;width:10777;height:0;left:11830;top:6294;" coordsize="1077722,0" path="m0,0l1077722,0">
                  <v:stroke weight="0.48pt" endcap="flat" dashstyle="3 1" joinstyle="round" on="true" color="#000000"/>
                  <v:fill on="false" color="#000000" opacity="0"/>
                </v:shape>
                <v:shape id="Shape 137" style="position:absolute;width:11978;height:0;left:24100;top:6294;" coordsize="1197864,0" path="m0,0l1197864,0">
                  <v:stroke weight="0.48pt" endcap="flat" dashstyle="3 1" joinstyle="round" on="true" color="#000000"/>
                  <v:fill on="false" color="#000000" opacity="0"/>
                </v:shape>
                <v:shape id="Shape 138" style="position:absolute;width:64;height:0;left:36079;top:6294;" coordsize="6477,0" path="m0,0l6477,0">
                  <v:stroke weight="0.48pt" endcap="flat" dashstyle="3 1" joinstyle="round" on="true" color="#000000"/>
                  <v:fill on="false" color="#000000" opacity="0"/>
                </v:shape>
                <v:shape id="Shape 139" style="position:absolute;width:10759;height:0;left:36144;top:6294;" coordsize="1075944,0" path="m0,0l1075944,0">
                  <v:stroke weight="0.48pt" endcap="flat" dashstyle="3 1" joinstyle="round" on="true" color="#000000"/>
                  <v:fill on="false" color="#000000" opacity="0"/>
                </v:shape>
                <v:shape id="Shape 140" style="position:absolute;width:60;height:0;left:46903;top:6294;" coordsize="6096,0" path="m0,0l6096,0">
                  <v:stroke weight="0.48pt" endcap="flat" dashstyle="3 1" joinstyle="round" on="true" color="#000000"/>
                  <v:fill on="false" color="#000000" opacity="0"/>
                </v:shape>
                <v:shape id="Shape 141" style="position:absolute;width:30;height:0;left:46964;top:6294;" coordsize="3048,0" path="m0,0l3048,0">
                  <v:stroke weight="0.48pt" endcap="flat" dashstyle="3 1" joinstyle="round" on="true" color="#000000"/>
                  <v:fill on="false" color="#000000" opacity="0"/>
                </v:shape>
                <v:shape id="Shape 142" style="position:absolute;width:60;height:0;left:46995;top:6294;" coordsize="6097,0" path="m0,0l6097,0">
                  <v:stroke weight="0.48pt" endcap="flat" dashstyle="3 1" joinstyle="round" on="true" color="#000000"/>
                  <v:fill on="false" color="#000000" opacity="0"/>
                </v:shape>
                <v:shape id="Shape 143" style="position:absolute;width:762;height:0;left:47056;top:6294;" coordsize="76200,0" path="m0,0l76200,0">
                  <v:stroke weight="0.48pt" endcap="flat" dashstyle="3 1" joinstyle="round" on="true" color="#000000"/>
                  <v:fill on="false" color="#000000" opacity="0"/>
                </v:shape>
                <v:shape id="Shape 156" style="position:absolute;width:22515;height:0;left:91;top:9144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157" style="position:absolute;width:23717;height:0;left:24100;top:9144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71" style="position:absolute;width:22515;height:0;left:91;top:10850;" coordsize="2251583,0" path="m0,0l2251583,0">
                  <v:stroke weight="0.48pt" endcap="flat" dashstyle="3 1" joinstyle="round" on="true" color="#000000"/>
                  <v:fill on="false" color="#000000" opacity="0"/>
                </v:shape>
                <v:shape id="Shape 172" style="position:absolute;width:23717;height:0;left:24100;top:10850;" coordsize="2371726,0" path="m0,0l2371726,0">
                  <v:stroke weight="0.48pt" endcap="flat" dashstyle="3 1" joinstyle="round" on="true" color="#000000"/>
                  <v:fill on="false" color="#000000" opacity="0"/>
                </v:shape>
                <v:shape id="Shape 173" style="position:absolute;width:22607;height:0;left:0;top:13700;" coordsize="2260727,0" path="m0,0l2260727,0">
                  <v:stroke weight="0.48pt" endcap="flat" dashstyle="3 1" joinstyle="round" on="true" color="#000000"/>
                  <v:fill on="false" color="#000000" opacity="0"/>
                </v:shape>
                <v:shape id="Shape 174" style="position:absolute;width:23808;height:0;left:24009;top:13700;" coordsize="2380870,0" path="m0,0l2380870,0">
                  <v:stroke weight="0.48pt" endcap="flat" dashstyle="3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Bankovní spojení</w:t>
      </w:r>
      <w:r>
        <w:t xml:space="preserve">  </w:t>
      </w:r>
      <w:r>
        <w:tab/>
      </w:r>
      <w:r>
        <w:t xml:space="preserve">HSBC Continental Europe, Czech Republic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Česká spořitelna, a.s.</w:t>
      </w:r>
      <w:r>
        <w:t xml:space="preserve"> </w:t>
      </w:r>
      <w:r>
        <w:t>a číslo účtu</w:t>
      </w:r>
      <w:r>
        <w:t xml:space="preserve">: </w:t>
      </w:r>
      <w:r>
        <w:tab/>
      </w:r>
      <w:r>
        <w:t>č.ú. 1828203101/8150</w:t>
      </w:r>
      <w:r>
        <w:t xml:space="preserve"> </w:t>
      </w:r>
      <w:r>
        <w:tab/>
      </w:r>
      <w:r>
        <w:t>č.ú. 782051389/0800</w:t>
      </w:r>
      <w:r>
        <w:rPr>
          <w:sz w:val="20"/>
        </w:rPr>
        <w:t xml:space="preserve"> </w:t>
      </w:r>
    </w:p>
    <w:p w:rsidR="001246CA" w:rsidRDefault="00C6271C">
      <w:pPr>
        <w:tabs>
          <w:tab w:val="center" w:pos="3591"/>
          <w:tab w:val="center" w:pos="5922"/>
          <w:tab w:val="center" w:pos="6865"/>
        </w:tabs>
        <w:spacing w:after="50"/>
        <w:ind w:left="-15" w:firstLine="0"/>
      </w:pPr>
      <w:r>
        <w:t>Zapsán</w:t>
      </w:r>
      <w:r>
        <w:t xml:space="preserve">a u: </w:t>
      </w:r>
      <w:r>
        <w:tab/>
        <w:t xml:space="preserve">MS v </w:t>
      </w:r>
      <w:r>
        <w:t>Praze, oddíl C, vložka 27720</w:t>
      </w:r>
      <w:r>
        <w:t xml:space="preserve">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orgán veřejné moci</w:t>
      </w:r>
      <w:r>
        <w:rPr>
          <w:sz w:val="20"/>
        </w:rPr>
        <w:t xml:space="preserve"> </w:t>
      </w:r>
    </w:p>
    <w:p w:rsidR="001246CA" w:rsidRDefault="00C6271C">
      <w:pPr>
        <w:tabs>
          <w:tab w:val="center" w:pos="3798"/>
          <w:tab w:val="center" w:pos="5922"/>
          <w:tab w:val="center" w:pos="7054"/>
        </w:tabs>
        <w:spacing w:after="0" w:line="259" w:lineRule="auto"/>
        <w:ind w:left="-15" w:firstLine="0"/>
      </w:pPr>
      <w:r>
        <w:t>Zastoupená</w:t>
      </w:r>
      <w:r>
        <w:t xml:space="preserve">:  </w:t>
      </w:r>
      <w:r>
        <w:tab/>
        <w:t xml:space="preserve">Mgr. Pavel Sochora - Inside Sales Team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Vítězslav Kokoř, starosta</w:t>
      </w:r>
      <w:r>
        <w:rPr>
          <w:sz w:val="20"/>
        </w:rPr>
        <w:t xml:space="preserve"> </w:t>
      </w:r>
    </w:p>
    <w:p w:rsidR="001246CA" w:rsidRDefault="00C6271C">
      <w:pPr>
        <w:spacing w:after="318" w:line="259" w:lineRule="auto"/>
        <w:ind w:left="2386"/>
      </w:pPr>
      <w:r>
        <w:t xml:space="preserve">Leader </w:t>
      </w:r>
    </w:p>
    <w:p w:rsidR="001246CA" w:rsidRDefault="00C6271C">
      <w:pPr>
        <w:pStyle w:val="Nadpis1"/>
        <w:ind w:left="348" w:hanging="348"/>
      </w:pPr>
      <w:r>
        <w:t>Předmět smlouvy</w:t>
      </w:r>
      <w:r>
        <w:t xml:space="preserve"> </w:t>
      </w:r>
    </w:p>
    <w:p w:rsidR="001246CA" w:rsidRDefault="00C6271C">
      <w:pPr>
        <w:ind w:left="-5" w:right="556"/>
      </w:pPr>
      <w:r>
        <w:t>Na základě této smlouvy přenechává pronajímatel nájemci k</w:t>
      </w:r>
      <w:r>
        <w:t xml:space="preserve"> </w:t>
      </w:r>
      <w:r>
        <w:t>užívání předmět nájmu, zabezpečí provozuschopnost zařízení a zajistí další služby sjednané v</w:t>
      </w:r>
      <w:r>
        <w:t xml:space="preserve"> </w:t>
      </w:r>
      <w:r>
        <w:t>této smlouvě.</w:t>
      </w:r>
      <w:r>
        <w:t xml:space="preserve">  </w:t>
      </w:r>
    </w:p>
    <w:p w:rsidR="001246CA" w:rsidRDefault="00C6271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324" w:type="dxa"/>
        <w:tblInd w:w="-142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3419"/>
        <w:gridCol w:w="2127"/>
        <w:gridCol w:w="2410"/>
      </w:tblGrid>
      <w:tr w:rsidR="001246CA">
        <w:trPr>
          <w:trHeight w:val="264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rPr>
                <w:b/>
              </w:rPr>
              <w:t>Předmět nájmu (dále také jako zaříz</w:t>
            </w:r>
            <w:r>
              <w:rPr>
                <w:b/>
              </w:rPr>
              <w:t xml:space="preserve">ení)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Typ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Výrobní/Sériové</w:t>
            </w:r>
            <w:r>
              <w:t xml:space="preserve"> </w:t>
            </w:r>
            <w:r>
              <w:t>číslo</w:t>
            </w: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Poznámka</w:t>
            </w:r>
            <w:r>
              <w:t xml:space="preserve"> </w:t>
            </w:r>
          </w:p>
        </w:tc>
      </w:tr>
      <w:tr w:rsidR="001246CA">
        <w:trPr>
          <w:trHeight w:val="4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Zařízení</w:t>
            </w: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RICOH IM C2010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viz předávací protokol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Příslušenství</w:t>
            </w:r>
            <w: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Zámek toneru M52 (4x)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Stolek nízký 77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Manuál IM C2010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  <w:tr w:rsidR="001246CA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</w:tr>
    </w:tbl>
    <w:p w:rsidR="001246CA" w:rsidRDefault="00C6271C">
      <w:pPr>
        <w:spacing w:after="0" w:line="259" w:lineRule="auto"/>
        <w:ind w:left="0" w:firstLine="0"/>
      </w:pPr>
      <w:r>
        <w:t xml:space="preserve"> </w:t>
      </w:r>
    </w:p>
    <w:p w:rsidR="001246CA" w:rsidRDefault="00C627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4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1714"/>
        <w:gridCol w:w="1135"/>
        <w:gridCol w:w="229"/>
        <w:gridCol w:w="3179"/>
      </w:tblGrid>
      <w:tr w:rsidR="001246C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Adresa umístění zařízení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Ulice + č.p./č.o. 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>PSČ</w:t>
            </w:r>
            <w:r>
              <w:t xml:space="preserve">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Obec </w:t>
            </w:r>
          </w:p>
        </w:tc>
      </w:tr>
      <w:tr w:rsidR="001246CA">
        <w:trPr>
          <w:trHeight w:val="23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U radnice 1/2 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352 78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Aš</w:t>
            </w:r>
            <w:r>
              <w:t xml:space="preserve"> </w:t>
            </w:r>
          </w:p>
        </w:tc>
      </w:tr>
      <w:tr w:rsidR="001246CA">
        <w:trPr>
          <w:trHeight w:val="233"/>
        </w:trPr>
        <w:tc>
          <w:tcPr>
            <w:tcW w:w="30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Odpovědná osoba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2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e-mail </w:t>
            </w:r>
          </w:p>
        </w:tc>
      </w:tr>
      <w:tr w:rsidR="001246CA">
        <w:trPr>
          <w:trHeight w:val="23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Alena Niemsová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354 524 230 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niemsova.alena@muas.cz </w:t>
            </w:r>
          </w:p>
        </w:tc>
      </w:tr>
    </w:tbl>
    <w:p w:rsidR="001246CA" w:rsidRDefault="00C627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24" w:type="dxa"/>
        <w:tblInd w:w="-108" w:type="dxa"/>
        <w:tblCellMar>
          <w:top w:w="4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2410"/>
        <w:gridCol w:w="2410"/>
      </w:tblGrid>
      <w:tr w:rsidR="001246CA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Výstup = [</w:t>
            </w:r>
            <w:r>
              <w:t>A4]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>Černobílé výstupy (ČB)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Barevné výstupy (BAR)</w:t>
            </w:r>
            <w:r>
              <w:t xml:space="preserve"> </w:t>
            </w:r>
          </w:p>
        </w:tc>
      </w:tr>
      <w:tr w:rsidR="001246CA">
        <w:trPr>
          <w:trHeight w:val="2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Stav počítadla výstupů na počátku smlouvy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</w:tr>
      <w:tr w:rsidR="001246CA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Limitní měsíční zatížení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6300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3700 </w:t>
            </w:r>
          </w:p>
        </w:tc>
      </w:tr>
      <w:tr w:rsidR="001246CA">
        <w:trPr>
          <w:trHeight w:val="23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A3 = 2 x A4</w:t>
            </w:r>
            <w:r>
              <w:rPr>
                <w:i/>
              </w:rPr>
              <w:t xml:space="preserve">, metr = běžný metr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</w:tbl>
    <w:p w:rsidR="001246CA" w:rsidRDefault="00C6271C">
      <w:pPr>
        <w:spacing w:after="288" w:line="259" w:lineRule="auto"/>
        <w:ind w:left="0" w:firstLine="0"/>
      </w:pPr>
      <w:r>
        <w:rPr>
          <w:sz w:val="20"/>
        </w:rPr>
        <w:t xml:space="preserve"> </w:t>
      </w:r>
    </w:p>
    <w:p w:rsidR="001246CA" w:rsidRDefault="00C6271C">
      <w:pPr>
        <w:pStyle w:val="Nadpis1"/>
        <w:ind w:left="348" w:right="480" w:hanging="348"/>
      </w:pPr>
      <w:r>
        <w:t>Doba nájmu</w:t>
      </w:r>
      <w:r>
        <w:t xml:space="preserve"> </w:t>
      </w:r>
    </w:p>
    <w:p w:rsidR="001246CA" w:rsidRDefault="00C6271C">
      <w:pPr>
        <w:spacing w:after="223" w:line="259" w:lineRule="auto"/>
        <w:ind w:left="0" w:firstLine="0"/>
      </w:pPr>
      <w:r>
        <w:rPr>
          <w:sz w:val="10"/>
        </w:rPr>
        <w:t xml:space="preserve"> </w:t>
      </w:r>
    </w:p>
    <w:p w:rsidR="001246CA" w:rsidRDefault="00C6271C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-78028</wp:posOffset>
                </wp:positionH>
                <wp:positionV relativeFrom="paragraph">
                  <wp:posOffset>134010</wp:posOffset>
                </wp:positionV>
                <wp:extent cx="1856867" cy="134113"/>
                <wp:effectExtent l="0" t="0" r="0" b="0"/>
                <wp:wrapNone/>
                <wp:docPr id="17153" name="Group 17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867" cy="134113"/>
                          <a:chOff x="0" y="0"/>
                          <a:chExt cx="1856867" cy="134113"/>
                        </a:xfrm>
                      </wpg:grpSpPr>
                      <wps:wsp>
                        <wps:cNvPr id="784" name="Shape 784"/>
                        <wps:cNvSpPr/>
                        <wps:spPr>
                          <a:xfrm>
                            <a:off x="1744091" y="1525"/>
                            <a:ext cx="111252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1">
                                <a:moveTo>
                                  <a:pt x="0" y="111251"/>
                                </a:moveTo>
                                <a:lnTo>
                                  <a:pt x="111252" y="111251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1742567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1742567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7" name="Shape 21757"/>
                        <wps:cNvSpPr/>
                        <wps:spPr>
                          <a:xfrm>
                            <a:off x="0" y="128017"/>
                            <a:ext cx="16080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074" h="9144">
                                <a:moveTo>
                                  <a:pt x="0" y="0"/>
                                </a:moveTo>
                                <a:lnTo>
                                  <a:pt x="1608074" y="0"/>
                                </a:lnTo>
                                <a:lnTo>
                                  <a:pt x="16080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53" style="width:146.21pt;height:10.5601pt;position:absolute;z-index:-2147482880;mso-position-horizontal-relative:text;mso-position-horizontal:absolute;margin-left:-6.144pt;mso-position-vertical-relative:text;margin-top:10.552pt;" coordsize="18568,1341">
                <v:shape id="Shape 784" style="position:absolute;width:1112;height:1112;left:17440;top:15;" coordsize="111252,111251" path="m0,111251l111252,111251l111252,0l0,0x">
                  <v:stroke weight="0.72pt" endcap="flat" joinstyle="round" on="true" color="#000000"/>
                  <v:fill on="false" color="#000000" opacity="0"/>
                </v:shape>
                <v:shape id="Shape 785" style="position:absolute;width:1143;height:1143;left:17425;top:0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786" style="position:absolute;width:1143;height:1143;left:17425;top:0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58" style="position:absolute;width:16080;height:91;left:0;top:1280;" coordsize="1608074,9144" path="m0,0l1608074,0l16080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u w:val="single" w:color="000000"/>
        </w:rPr>
        <w:t>Doba nájmu (</w:t>
      </w:r>
      <w:r>
        <w:rPr>
          <w:sz w:val="16"/>
        </w:rPr>
        <w:t>měsíců</w:t>
      </w:r>
      <w:r>
        <w:rPr>
          <w:u w:val="single" w:color="000000"/>
        </w:rPr>
        <w:t xml:space="preserve">)                      </w:t>
      </w:r>
      <w:r>
        <w:t xml:space="preserve">    60         </w:t>
      </w:r>
      <w:r>
        <w:t xml:space="preserve">Počínaje dnem </w:t>
      </w:r>
      <w:r>
        <w:t xml:space="preserve">instalace  </w:t>
      </w:r>
      <w:r>
        <w:tab/>
      </w:r>
      <w:r>
        <w:t>Smlouva zveřejňována v</w:t>
      </w:r>
      <w:r>
        <w:t xml:space="preserve"> Registru smluv:Ano</w:t>
      </w:r>
      <w:r>
        <w:rPr>
          <w:vertAlign w:val="superscript"/>
        </w:rPr>
        <w:footnoteReference w:id="1"/>
      </w:r>
      <w:r>
        <w:t xml:space="preserve"> </w:t>
      </w:r>
      <w:r>
        <w:t xml:space="preserve">Limitní počet výstupů </w:t>
      </w:r>
      <w:r>
        <w:t xml:space="preserve"> </w:t>
      </w:r>
      <w:r>
        <w:tab/>
        <w:t xml:space="preserve">  </w:t>
      </w:r>
      <w:r>
        <w:tab/>
        <w:t xml:space="preserve"> 600000 (stav </w:t>
      </w:r>
      <w:r>
        <w:t>celkového počitadla výstupů)</w:t>
      </w:r>
      <w:r>
        <w:t xml:space="preserve"> </w:t>
      </w:r>
    </w:p>
    <w:p w:rsidR="001246CA" w:rsidRDefault="00C6271C">
      <w:pPr>
        <w:pStyle w:val="Nadpis1"/>
        <w:ind w:left="348" w:right="484" w:hanging="348"/>
      </w:pPr>
      <w:r>
        <w:t>Servisní podmínky</w:t>
      </w:r>
      <w:r>
        <w:t xml:space="preserve"> </w:t>
      </w:r>
    </w:p>
    <w:p w:rsidR="001246CA" w:rsidRDefault="00C6271C">
      <w:pPr>
        <w:tabs>
          <w:tab w:val="center" w:pos="3370"/>
          <w:tab w:val="center" w:pos="3673"/>
        </w:tabs>
        <w:spacing w:after="106"/>
        <w:ind w:left="-15" w:firstLine="0"/>
      </w:pPr>
      <w:r>
        <w:t xml:space="preserve">Náhradní díly  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t xml:space="preserve">  </w:t>
      </w:r>
      <w:r>
        <w:tab/>
      </w:r>
      <w:r>
        <w:rPr>
          <w:vertAlign w:val="superscript"/>
        </w:rPr>
        <w:t xml:space="preserve"> </w:t>
      </w:r>
    </w:p>
    <w:p w:rsidR="001246CA" w:rsidRDefault="00C6271C">
      <w:pPr>
        <w:tabs>
          <w:tab w:val="center" w:pos="3370"/>
          <w:tab w:val="center" w:pos="3673"/>
        </w:tabs>
        <w:spacing w:after="77"/>
        <w:ind w:left="-15" w:firstLine="0"/>
      </w:pPr>
      <w:r>
        <w:t>Práce technika</w:t>
      </w:r>
      <w:r>
        <w:t xml:space="preserve"> </w:t>
      </w:r>
      <w:r>
        <w:tab/>
        <w:t xml:space="preserve">  </w:t>
      </w:r>
      <w:r>
        <w:tab/>
        <w:t xml:space="preserve"> </w:t>
      </w:r>
    </w:p>
    <w:p w:rsidR="001246CA" w:rsidRDefault="00C6271C">
      <w:pPr>
        <w:tabs>
          <w:tab w:val="center" w:pos="3370"/>
          <w:tab w:val="center" w:pos="3673"/>
        </w:tabs>
        <w:spacing w:after="80"/>
        <w:ind w:left="-15" w:firstLine="0"/>
      </w:pPr>
      <w:r>
        <w:t xml:space="preserve">Servis v </w:t>
      </w:r>
      <w:r>
        <w:t>místě umístění (doprava na místo</w:t>
      </w:r>
      <w:r>
        <w:t xml:space="preserve">) </w:t>
      </w:r>
      <w:r>
        <w:tab/>
        <w:t xml:space="preserve">  </w:t>
      </w:r>
      <w:r>
        <w:tab/>
        <w:t xml:space="preserve"> </w:t>
      </w:r>
    </w:p>
    <w:p w:rsidR="001246CA" w:rsidRDefault="00C6271C">
      <w:pPr>
        <w:tabs>
          <w:tab w:val="center" w:pos="3370"/>
          <w:tab w:val="center" w:pos="3673"/>
        </w:tabs>
        <w:spacing w:after="77"/>
        <w:ind w:left="-15" w:firstLine="0"/>
      </w:pPr>
      <w:r>
        <w:t>Spotřební materiál</w:t>
      </w:r>
      <w:r>
        <w:t xml:space="preserve"> </w:t>
      </w:r>
      <w:r>
        <w:tab/>
        <w:t xml:space="preserve">  </w:t>
      </w:r>
      <w:r>
        <w:tab/>
        <w:t xml:space="preserve"> </w:t>
      </w:r>
    </w:p>
    <w:p w:rsidR="001246CA" w:rsidRDefault="00C6271C">
      <w:pPr>
        <w:tabs>
          <w:tab w:val="center" w:pos="3797"/>
          <w:tab w:val="center" w:pos="7907"/>
        </w:tabs>
        <w:ind w:left="-15" w:firstLine="0"/>
      </w:pPr>
      <w:r>
        <w:t>Papír</w:t>
      </w:r>
      <w:r>
        <w:t xml:space="preserve"> </w:t>
      </w:r>
      <w:r>
        <w:tab/>
        <w:t xml:space="preserve">  </w:t>
      </w:r>
      <w:r>
        <w:t>Bez papíru</w:t>
      </w:r>
      <w:r>
        <w:t xml:space="preserve">  </w:t>
      </w:r>
      <w:r>
        <w:tab/>
        <w:t xml:space="preserve">       </w:t>
      </w:r>
    </w:p>
    <w:p w:rsidR="001246CA" w:rsidRDefault="00C6271C">
      <w:pPr>
        <w:ind w:left="-5" w:right="556"/>
      </w:pPr>
      <w:r>
        <w:t>Standardní doba do zahájení řešení závady</w:t>
      </w:r>
      <w:r>
        <w:t xml:space="preserve"> </w:t>
      </w:r>
    </w:p>
    <w:p w:rsidR="001246CA" w:rsidRDefault="00C6271C">
      <w:pPr>
        <w:spacing w:after="0" w:line="259" w:lineRule="auto"/>
        <w:ind w:left="0" w:right="538" w:firstLine="0"/>
        <w:jc w:val="center"/>
      </w:pPr>
      <w:r>
        <w:t xml:space="preserve">  </w:t>
      </w:r>
      <w:r>
        <w:t>Bronzový_NBD/- (násl. prac. den/-)</w:t>
      </w:r>
      <w:r>
        <w:t xml:space="preserve">    </w:t>
      </w:r>
    </w:p>
    <w:p w:rsidR="001246CA" w:rsidRDefault="00C6271C">
      <w:pPr>
        <w:ind w:left="-5" w:right="556"/>
      </w:pPr>
      <w:r>
        <w:t xml:space="preserve">/ </w:t>
      </w:r>
      <w:r>
        <w:t xml:space="preserve">obnovení </w:t>
      </w:r>
      <w:r>
        <w:t>provozu</w:t>
      </w:r>
      <w:r>
        <w:rPr>
          <w:sz w:val="16"/>
        </w:rPr>
        <w:t xml:space="preserve"> </w:t>
      </w:r>
    </w:p>
    <w:p w:rsidR="001246CA" w:rsidRDefault="00C6271C">
      <w:pPr>
        <w:tabs>
          <w:tab w:val="center" w:pos="4721"/>
        </w:tabs>
        <w:spacing w:after="80"/>
        <w:ind w:left="-15" w:firstLine="0"/>
      </w:pPr>
      <w:r>
        <w:t xml:space="preserve">Pracovní doba služby </w:t>
      </w:r>
      <w:r>
        <w:t xml:space="preserve"> </w:t>
      </w:r>
      <w:r>
        <w:tab/>
        <w:t xml:space="preserve">  </w:t>
      </w:r>
      <w:r>
        <w:t>8x5 (8 hodin denně x 5 dnů v týdnu)</w:t>
      </w:r>
      <w:r>
        <w:t xml:space="preserve">    </w:t>
      </w:r>
    </w:p>
    <w:p w:rsidR="001246CA" w:rsidRDefault="00C6271C">
      <w:pPr>
        <w:tabs>
          <w:tab w:val="center" w:pos="3370"/>
          <w:tab w:val="center" w:pos="3673"/>
        </w:tabs>
        <w:spacing w:after="54" w:line="259" w:lineRule="auto"/>
        <w:ind w:left="-15" w:firstLine="0"/>
      </w:pPr>
      <w:r>
        <w:t xml:space="preserve">Dálková </w:t>
      </w:r>
      <w:r>
        <w:t xml:space="preserve">diagnostika   </w:t>
      </w:r>
      <w:r>
        <w:tab/>
        <w:t xml:space="preserve">  </w:t>
      </w:r>
      <w:r>
        <w:tab/>
        <w:t xml:space="preserve"> </w:t>
      </w:r>
    </w:p>
    <w:p w:rsidR="001246CA" w:rsidRDefault="00C6271C">
      <w:pPr>
        <w:ind w:left="-5" w:right="255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-78028</wp:posOffset>
                </wp:positionH>
                <wp:positionV relativeFrom="paragraph">
                  <wp:posOffset>-1577212</wp:posOffset>
                </wp:positionV>
                <wp:extent cx="2396363" cy="1839722"/>
                <wp:effectExtent l="0" t="0" r="0" b="0"/>
                <wp:wrapNone/>
                <wp:docPr id="16695" name="Group 1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6363" cy="1839722"/>
                          <a:chOff x="0" y="0"/>
                          <a:chExt cx="2396363" cy="1839722"/>
                        </a:xfrm>
                      </wpg:grpSpPr>
                      <wps:wsp>
                        <wps:cNvPr id="816" name="Shape 816"/>
                        <wps:cNvSpPr/>
                        <wps:spPr>
                          <a:xfrm>
                            <a:off x="2283587" y="1523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282063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282063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283587" y="188925"/>
                            <a:ext cx="111252" cy="11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557">
                                <a:moveTo>
                                  <a:pt x="0" y="111557"/>
                                </a:moveTo>
                                <a:lnTo>
                                  <a:pt x="111252" y="111557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282063" y="187451"/>
                            <a:ext cx="114300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554">
                                <a:moveTo>
                                  <a:pt x="0" y="0"/>
                                </a:moveTo>
                                <a:lnTo>
                                  <a:pt x="114300" y="11455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282063" y="187451"/>
                            <a:ext cx="114300" cy="11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554">
                                <a:moveTo>
                                  <a:pt x="114300" y="0"/>
                                </a:moveTo>
                                <a:lnTo>
                                  <a:pt x="0" y="114554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9" name="Shape 21759"/>
                        <wps:cNvSpPr/>
                        <wps:spPr>
                          <a:xfrm>
                            <a:off x="9144" y="16916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2283587" y="376682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282063" y="37515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282063" y="37515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0" name="Shape 21760"/>
                        <wps:cNvSpPr/>
                        <wps:spPr>
                          <a:xfrm>
                            <a:off x="9144" y="35839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2283587" y="565658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2282063" y="56413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2282063" y="564134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1" name="Shape 21761"/>
                        <wps:cNvSpPr/>
                        <wps:spPr>
                          <a:xfrm>
                            <a:off x="9144" y="545846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2" name="Shape 21762"/>
                        <wps:cNvSpPr/>
                        <wps:spPr>
                          <a:xfrm>
                            <a:off x="9144" y="733298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3" name="Shape 21763"/>
                        <wps:cNvSpPr/>
                        <wps:spPr>
                          <a:xfrm>
                            <a:off x="9144" y="885698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4" name="Shape 21764"/>
                        <wps:cNvSpPr/>
                        <wps:spPr>
                          <a:xfrm>
                            <a:off x="9144" y="1172210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2283587" y="1379473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2282063" y="13779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2282063" y="137795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5" name="Shape 21765"/>
                        <wps:cNvSpPr/>
                        <wps:spPr>
                          <a:xfrm>
                            <a:off x="9144" y="1359662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283587" y="1566925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282063" y="156540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282063" y="156540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6" name="Shape 21766"/>
                        <wps:cNvSpPr/>
                        <wps:spPr>
                          <a:xfrm>
                            <a:off x="9144" y="1547114"/>
                            <a:ext cx="21403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1" h="9144">
                                <a:moveTo>
                                  <a:pt x="0" y="0"/>
                                </a:moveTo>
                                <a:lnTo>
                                  <a:pt x="2140331" y="0"/>
                                </a:lnTo>
                                <a:lnTo>
                                  <a:pt x="21403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7" name="Shape 21767"/>
                        <wps:cNvSpPr/>
                        <wps:spPr>
                          <a:xfrm>
                            <a:off x="0" y="1833626"/>
                            <a:ext cx="2149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9475" h="9144">
                                <a:moveTo>
                                  <a:pt x="0" y="0"/>
                                </a:moveTo>
                                <a:lnTo>
                                  <a:pt x="2149475" y="0"/>
                                </a:lnTo>
                                <a:lnTo>
                                  <a:pt x="2149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95" style="width:188.69pt;height:144.86pt;position:absolute;z-index:-2147483608;mso-position-horizontal-relative:text;mso-position-horizontal:absolute;margin-left:-6.144pt;mso-position-vertical-relative:text;margin-top:-124.19pt;" coordsize="23963,18397">
                <v:shape id="Shape 816" style="position:absolute;width:1112;height:1112;left:22835;top:15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17" style="position:absolute;width:1143;height:1143;left:22820;top:0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18" style="position:absolute;width:1143;height:1143;left:22820;top:0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823" style="position:absolute;width:1112;height:1115;left:22835;top:1889;" coordsize="111252,111557" path="m0,111557l111252,111557l111252,0l0,0x">
                  <v:stroke weight="0.72pt" endcap="flat" joinstyle="round" on="true" color="#000000"/>
                  <v:fill on="false" color="#000000" opacity="0"/>
                </v:shape>
                <v:shape id="Shape 824" style="position:absolute;width:1143;height:1145;left:22820;top:1874;" coordsize="114300,114554" path="m0,0l114300,114554">
                  <v:stroke weight="0.48pt" endcap="flat" joinstyle="round" on="true" color="#000000"/>
                  <v:fill on="false" color="#000000" opacity="0"/>
                </v:shape>
                <v:shape id="Shape 825" style="position:absolute;width:1143;height:1145;left:22820;top:1874;" coordsize="114300,114554" path="m114300,0l0,114554">
                  <v:stroke weight="0.48pt" endcap="flat" joinstyle="round" on="true" color="#000000"/>
                  <v:fill on="false" color="#000000" opacity="0"/>
                </v:shape>
                <v:shape id="Shape 21768" style="position:absolute;width:21403;height:91;left:91;top:1691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35" style="position:absolute;width:1112;height:1112;left:22835;top:3766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36" style="position:absolute;width:1143;height:1143;left:22820;top:3751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37" style="position:absolute;width:1143;height:1143;left:22820;top:3751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69" style="position:absolute;width:21403;height:91;left:91;top:3583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44" style="position:absolute;width:1112;height:1112;left:22835;top:5656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45" style="position:absolute;width:1143;height:1143;left:22820;top:5641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46" style="position:absolute;width:1143;height:1143;left:22820;top:5641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70" style="position:absolute;width:21403;height:91;left:91;top:5458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71" style="position:absolute;width:21403;height:91;left:91;top:7332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72" style="position:absolute;width:21403;height:91;left:91;top:8856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73" style="position:absolute;width:21403;height:91;left:91;top:11722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88" style="position:absolute;width:1112;height:1112;left:22835;top:13794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89" style="position:absolute;width:1143;height:1143;left:22820;top:13779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90" style="position:absolute;width:1143;height:1143;left:22820;top:13779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74" style="position:absolute;width:21403;height:91;left:91;top:13596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897" style="position:absolute;width:1112;height:1112;left:22835;top:15669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  <v:shape id="Shape 898" style="position:absolute;width:1143;height:1143;left:22820;top:15654;" coordsize="114300,114300" path="m0,0l114300,114300">
                  <v:stroke weight="0.48pt" endcap="flat" joinstyle="round" on="true" color="#000000"/>
                  <v:fill on="false" color="#000000" opacity="0"/>
                </v:shape>
                <v:shape id="Shape 899" style="position:absolute;width:1143;height:1143;left:22820;top:15654;" coordsize="114300,114300" path="m114300,0l0,114300">
                  <v:stroke weight="0.48pt" endcap="flat" joinstyle="round" on="true" color="#000000"/>
                  <v:fill on="false" color="#000000" opacity="0"/>
                </v:shape>
                <v:shape id="Shape 21775" style="position:absolute;width:21403;height:91;left:91;top:15471;" coordsize="2140331,9144" path="m0,0l2140331,0l2140331,9144l0,9144l0,0">
                  <v:stroke weight="0pt" endcap="flat" joinstyle="miter" miterlimit="10" on="false" color="#000000" opacity="0"/>
                  <v:fill on="true" color="#000000"/>
                </v:shape>
                <v:shape id="Shape 21776" style="position:absolute;width:21494;height:91;left:0;top:18336;" coordsize="2149475,9144" path="m0,0l2149475,0l21494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Způsob odečtu stavu počitadel pro účely </w:t>
      </w:r>
      <w:r>
        <w:tab/>
      </w:r>
      <w:r>
        <w:t xml:space="preserve">  </w:t>
      </w:r>
      <w:r>
        <w:tab/>
        <w:t xml:space="preserve">  Automaticky    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11252" cy="111252"/>
                <wp:effectExtent l="0" t="0" r="0" b="0"/>
                <wp:docPr id="16696" name="Group 16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" cy="111252"/>
                          <a:chOff x="0" y="0"/>
                          <a:chExt cx="111252" cy="111252"/>
                        </a:xfrm>
                      </wpg:grpSpPr>
                      <wps:wsp>
                        <wps:cNvPr id="906" name="Shape 906"/>
                        <wps:cNvSpPr/>
                        <wps:spPr>
                          <a:xfrm>
                            <a:off x="0" y="0"/>
                            <a:ext cx="111252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111252">
                                <a:moveTo>
                                  <a:pt x="0" y="111252"/>
                                </a:moveTo>
                                <a:lnTo>
                                  <a:pt x="111252" y="111252"/>
                                </a:lnTo>
                                <a:lnTo>
                                  <a:pt x="1112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96" style="width:8.76001pt;height:8.76001pt;mso-position-horizontal-relative:char;mso-position-vertical-relative:line" coordsize="1112,1112">
                <v:shape id="Shape 906" style="position:absolute;width:1112;height:1112;left:0;top:0;" coordsize="111252,111252" path="m0,111252l111252,111252l111252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t xml:space="preserve">Nájemcem                 </w:t>
      </w:r>
      <w:r>
        <w:t xml:space="preserve"> fakturace </w:t>
      </w:r>
    </w:p>
    <w:p w:rsidR="001246CA" w:rsidRDefault="00C6271C">
      <w:pPr>
        <w:spacing w:after="0" w:line="259" w:lineRule="auto"/>
        <w:ind w:left="0" w:firstLine="0"/>
      </w:pPr>
      <w:r>
        <w:rPr>
          <w:i/>
          <w:sz w:val="10"/>
        </w:rPr>
        <w:t xml:space="preserve"> </w:t>
      </w:r>
    </w:p>
    <w:tbl>
      <w:tblPr>
        <w:tblStyle w:val="TableGrid"/>
        <w:tblW w:w="9297" w:type="dxa"/>
        <w:tblInd w:w="-108" w:type="dxa"/>
        <w:tblCellMar>
          <w:top w:w="40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1131"/>
        <w:gridCol w:w="1277"/>
        <w:gridCol w:w="5213"/>
        <w:gridCol w:w="1676"/>
      </w:tblGrid>
      <w:tr w:rsidR="001246CA">
        <w:trPr>
          <w:trHeight w:val="23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Doplňkové služby </w:t>
            </w:r>
          </w:p>
        </w:tc>
        <w:tc>
          <w:tcPr>
            <w:tcW w:w="5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44" w:firstLine="0"/>
              <w:jc w:val="center"/>
            </w:pPr>
            <w:r>
              <w:t xml:space="preserve">Typ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Číslo služby</w:t>
            </w: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Název služby</w:t>
            </w: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2" w:firstLine="0"/>
            </w:pPr>
            <w:r>
              <w:t xml:space="preserve">Cena v </w:t>
            </w:r>
            <w:r>
              <w:t>Kč</w:t>
            </w:r>
            <w:r>
              <w:t xml:space="preserve"> bez DPH </w:t>
            </w:r>
          </w:p>
        </w:tc>
      </w:tr>
      <w:tr w:rsidR="001246CA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Doprava a manipulace (na adresu umístění)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41" w:firstLine="0"/>
              <w:jc w:val="right"/>
            </w:pPr>
            <w:r>
              <w:t xml:space="preserve">2122,- </w:t>
            </w: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Instalace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41" w:firstLine="0"/>
              <w:jc w:val="right"/>
            </w:pPr>
            <w:r>
              <w:t xml:space="preserve">1523,- </w:t>
            </w:r>
          </w:p>
        </w:tc>
      </w:tr>
      <w:tr w:rsidR="001246CA">
        <w:trPr>
          <w:trHeight w:val="23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Jednorázová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1246CA">
        <w:trPr>
          <w:trHeight w:val="22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  <w:tr w:rsidR="001246CA">
        <w:trPr>
          <w:trHeight w:val="23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Periodická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   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  <w:jc w:val="right"/>
            </w:pPr>
            <w:r>
              <w:t xml:space="preserve">      </w:t>
            </w:r>
          </w:p>
        </w:tc>
      </w:tr>
    </w:tbl>
    <w:p w:rsidR="001246CA" w:rsidRDefault="00C6271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1246CA" w:rsidRDefault="00C6271C">
      <w:pPr>
        <w:pStyle w:val="Nadpis2"/>
      </w:pPr>
      <w:r>
        <w:t>Kontaktní místo servisu</w:t>
      </w:r>
      <w:r>
        <w:rPr>
          <w:u w:val="none"/>
        </w:rPr>
        <w:t xml:space="preserve"> </w:t>
      </w:r>
    </w:p>
    <w:p w:rsidR="001246CA" w:rsidRDefault="00C6271C">
      <w:pPr>
        <w:tabs>
          <w:tab w:val="center" w:pos="6635"/>
        </w:tabs>
        <w:spacing w:after="0" w:line="259" w:lineRule="auto"/>
        <w:ind w:left="-15" w:firstLine="0"/>
      </w:pPr>
      <w:r>
        <w:t xml:space="preserve">-telefon: +420 841 116 117  </w:t>
      </w:r>
      <w:r>
        <w:tab/>
        <w:t xml:space="preserve">e-mail: </w:t>
      </w:r>
      <w:r>
        <w:rPr>
          <w:color w:val="0000FF"/>
          <w:u w:val="single" w:color="0000FF"/>
        </w:rPr>
        <w:t>helpdesk@ricoh.cz</w:t>
      </w:r>
      <w:r>
        <w:t xml:space="preserve">  </w:t>
      </w:r>
    </w:p>
    <w:p w:rsidR="001246CA" w:rsidRDefault="00C6271C">
      <w:pPr>
        <w:tabs>
          <w:tab w:val="center" w:pos="6643"/>
        </w:tabs>
        <w:ind w:left="-15" w:firstLine="0"/>
      </w:pPr>
      <w:r>
        <w:t>-</w:t>
      </w:r>
      <w:r>
        <w:t>nahlašování stavů počitadel</w:t>
      </w:r>
      <w:r>
        <w:t xml:space="preserve">: </w:t>
      </w:r>
      <w:r>
        <w:tab/>
        <w:t xml:space="preserve">e-mail: </w:t>
      </w:r>
      <w:r>
        <w:rPr>
          <w:color w:val="0000FF"/>
          <w:u w:val="single" w:color="0000FF"/>
        </w:rPr>
        <w:t>pocitadla@ricoh.cz</w:t>
      </w:r>
      <w:r>
        <w:t xml:space="preserve"> </w:t>
      </w:r>
    </w:p>
    <w:p w:rsidR="001246CA" w:rsidRDefault="00C6271C">
      <w:pPr>
        <w:spacing w:after="316"/>
        <w:ind w:left="-5" w:right="556"/>
      </w:pPr>
      <w:r>
        <w:t>-z</w:t>
      </w:r>
      <w:r>
        <w:t>ákaznický portál:</w:t>
      </w:r>
      <w:r>
        <w:t xml:space="preserve"> wsd.ricoh.cz </w:t>
      </w:r>
    </w:p>
    <w:p w:rsidR="001246CA" w:rsidRDefault="00C6271C">
      <w:pPr>
        <w:pStyle w:val="Nadpis1"/>
        <w:ind w:left="348" w:hanging="348"/>
      </w:pPr>
      <w:r>
        <w:t>Finanční ustanovení</w:t>
      </w:r>
      <w:r>
        <w:t xml:space="preserve"> </w:t>
      </w:r>
    </w:p>
    <w:p w:rsidR="001246CA" w:rsidRDefault="00C6271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36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1118"/>
        <w:gridCol w:w="1844"/>
        <w:gridCol w:w="960"/>
        <w:gridCol w:w="699"/>
        <w:gridCol w:w="1034"/>
      </w:tblGrid>
      <w:tr w:rsidR="001246CA">
        <w:trPr>
          <w:trHeight w:val="32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Fakturační období:        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    kalendářní měsíc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Splatnost: </w:t>
            </w:r>
            <w:r>
              <w:t xml:space="preserve">21  </w:t>
            </w:r>
            <w:r>
              <w:t>dnů</w:t>
            </w:r>
            <w:r>
              <w:rPr>
                <w:b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1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>Elektronická faktura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 xml:space="preserve">    Ano - adresa: podatelna@muas.cz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lastRenderedPageBreak/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28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1833" w:firstLine="0"/>
              <w:jc w:val="right"/>
            </w:pPr>
            <w:r>
              <w:t xml:space="preserve">Měsíční nájemné (Paušál)                                           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 xml:space="preserve">    Ano                 1299,-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>Periodické doplňkové služby (paušální platby)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 xml:space="preserve">                                 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rPr>
                <w:b/>
              </w:rPr>
              <w:t>Paušální platby celkem</w:t>
            </w: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                           1299,-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3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</w:tr>
      <w:tr w:rsidR="001246CA">
        <w:trPr>
          <w:trHeight w:val="28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>Výstupů v</w:t>
            </w:r>
            <w:r>
              <w:t xml:space="preserve"> </w:t>
            </w:r>
            <w:r>
              <w:t xml:space="preserve">paušálu </w:t>
            </w:r>
            <w: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7" w:firstLine="0"/>
              <w:jc w:val="center"/>
            </w:pPr>
            <w:r>
              <w:t xml:space="preserve">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5" w:firstLine="0"/>
              <w:jc w:val="center"/>
            </w:pPr>
            <w:r>
              <w:t xml:space="preserve">BAR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15" w:firstLine="0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1246CA">
        <w:trPr>
          <w:trHeight w:val="283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>Cena za výstup nad paušál</w:t>
            </w:r>
            <w:r>
              <w:rPr>
                <w:vertAlign w:val="superscript"/>
              </w:rPr>
              <w:t xml:space="preserve">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9" w:firstLine="0"/>
              <w:jc w:val="center"/>
            </w:pPr>
            <w:r>
              <w:t xml:space="preserve">0,20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5" w:firstLine="0"/>
              <w:jc w:val="center"/>
            </w:pPr>
            <w:r>
              <w:t>BAR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1,02 </w:t>
            </w:r>
          </w:p>
        </w:tc>
      </w:tr>
      <w:tr w:rsidR="001246CA">
        <w:trPr>
          <w:trHeight w:val="286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101" w:firstLine="0"/>
            </w:pPr>
            <w:r>
              <w:t>Cena výstupu nad limitní měsíční zatížení</w:t>
            </w:r>
            <w:r>
              <w:rPr>
                <w:vertAlign w:val="superscript"/>
              </w:rPr>
              <w:t xml:space="preserve">4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10" w:firstLine="0"/>
              <w:jc w:val="center"/>
            </w:pPr>
            <w:r>
              <w:t>ČB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9" w:firstLine="0"/>
              <w:jc w:val="center"/>
            </w:pPr>
            <w:r>
              <w:t xml:space="preserve">0,20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right="5" w:firstLine="0"/>
              <w:jc w:val="center"/>
            </w:pPr>
            <w:r>
              <w:t>BAR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6CA" w:rsidRDefault="001246CA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1,0</w:t>
            </w:r>
            <w:r>
              <w:rPr>
                <w:sz w:val="31"/>
                <w:vertAlign w:val="superscript"/>
              </w:rPr>
              <w:t xml:space="preserve"> </w:t>
            </w:r>
            <w:r>
              <w:t xml:space="preserve">2 </w:t>
            </w:r>
          </w:p>
        </w:tc>
      </w:tr>
    </w:tbl>
    <w:p w:rsidR="001246CA" w:rsidRDefault="00C6271C">
      <w:pPr>
        <w:spacing w:after="6" w:line="254" w:lineRule="auto"/>
        <w:ind w:left="-5" w:right="1040"/>
      </w:pPr>
      <w:r>
        <w:rPr>
          <w:sz w:val="16"/>
          <w:vertAlign w:val="superscript"/>
        </w:rPr>
        <w:t>3</w:t>
      </w:r>
      <w:r>
        <w:rPr>
          <w:sz w:val="16"/>
        </w:rPr>
        <w:t>pokud nesouhlasíte s</w:t>
      </w:r>
      <w:r>
        <w:rPr>
          <w:sz w:val="16"/>
        </w:rPr>
        <w:t xml:space="preserve"> </w:t>
      </w:r>
      <w:r>
        <w:rPr>
          <w:sz w:val="16"/>
        </w:rPr>
        <w:t>platbami pomocí elektronické faktury, vyberte z</w:t>
      </w:r>
      <w:r>
        <w:rPr>
          <w:sz w:val="16"/>
        </w:rPr>
        <w:t xml:space="preserve"> </w:t>
      </w:r>
      <w:r>
        <w:rPr>
          <w:sz w:val="16"/>
        </w:rPr>
        <w:t>rozevíracího seznamu možnost „Ne“</w:t>
      </w:r>
      <w:r>
        <w:rPr>
          <w:sz w:val="16"/>
          <w:vertAlign w:val="superscript"/>
        </w:rPr>
        <w:t xml:space="preserve"> </w:t>
      </w:r>
      <w:r>
        <w:rPr>
          <w:sz w:val="16"/>
          <w:vertAlign w:val="superscript"/>
        </w:rPr>
        <w:tab/>
      </w:r>
      <w:r>
        <w:rPr>
          <w:sz w:val="20"/>
        </w:rPr>
        <w:t xml:space="preserve"> </w:t>
      </w:r>
      <w:r>
        <w:rPr>
          <w:sz w:val="16"/>
          <w:vertAlign w:val="superscript"/>
        </w:rPr>
        <w:t>4</w:t>
      </w:r>
      <w:r>
        <w:rPr>
          <w:sz w:val="16"/>
        </w:rPr>
        <w:t xml:space="preserve">platí pro předpokládané průměrné pokrytí </w:t>
      </w:r>
      <w:r>
        <w:rPr>
          <w:sz w:val="16"/>
        </w:rPr>
        <w:t>do 5</w:t>
      </w:r>
      <w:r>
        <w:rPr>
          <w:sz w:val="16"/>
        </w:rPr>
        <w:t xml:space="preserve">% (ČB výstupy) a </w:t>
      </w:r>
      <w:r>
        <w:rPr>
          <w:sz w:val="16"/>
        </w:rPr>
        <w:t>do 20</w:t>
      </w:r>
      <w:r>
        <w:rPr>
          <w:sz w:val="16"/>
        </w:rPr>
        <w:t>% (barevné výstupy)</w:t>
      </w:r>
      <w:r>
        <w:rPr>
          <w:sz w:val="16"/>
        </w:rPr>
        <w:t xml:space="preserve">. Pokud bude v </w:t>
      </w:r>
      <w:r>
        <w:rPr>
          <w:sz w:val="16"/>
        </w:rPr>
        <w:t>daném fakturačním období počet zhotovených skenů vyšší než celkový počet výstupů, je pronajímatel oprávněn vyúčtovat</w:t>
      </w:r>
      <w:r>
        <w:rPr>
          <w:sz w:val="16"/>
        </w:rPr>
        <w:t xml:space="preserve"> </w:t>
      </w:r>
      <w:r>
        <w:rPr>
          <w:sz w:val="16"/>
        </w:rPr>
        <w:t>za každý sken převyšující celkový počet výstupů částku ve výši 10% z</w:t>
      </w:r>
      <w:r>
        <w:rPr>
          <w:sz w:val="16"/>
        </w:rPr>
        <w:t xml:space="preserve"> </w:t>
      </w:r>
      <w:r>
        <w:rPr>
          <w:sz w:val="16"/>
        </w:rPr>
        <w:t>ceny ČB výstupu.</w:t>
      </w:r>
      <w:r>
        <w:rPr>
          <w:sz w:val="16"/>
        </w:rPr>
        <w:t xml:space="preserve"> </w:t>
      </w:r>
    </w:p>
    <w:p w:rsidR="001246CA" w:rsidRDefault="00C6271C">
      <w:pPr>
        <w:pStyle w:val="Nadpis2"/>
        <w:spacing w:after="3"/>
      </w:pPr>
      <w:r>
        <w:rPr>
          <w:b/>
          <w:u w:val="none"/>
        </w:rPr>
        <w:t xml:space="preserve">Všechny ceny jsou </w:t>
      </w:r>
      <w:r>
        <w:rPr>
          <w:b/>
          <w:u w:val="none"/>
        </w:rPr>
        <w:t>uvedeny v Kč bez DPH</w:t>
      </w:r>
      <w:r>
        <w:rPr>
          <w:b/>
          <w:sz w:val="16"/>
          <w:u w:val="none"/>
        </w:rPr>
        <w:t xml:space="preserve"> </w:t>
      </w:r>
    </w:p>
    <w:p w:rsidR="001246CA" w:rsidRDefault="00C6271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1246CA" w:rsidRDefault="00C6271C">
      <w:pPr>
        <w:ind w:left="-5" w:right="556"/>
      </w:pPr>
      <w:r>
        <w:t>Tato smlouva se všemi jejími oddíly v</w:t>
      </w:r>
      <w:r>
        <w:t xml:space="preserve"> </w:t>
      </w:r>
      <w:r>
        <w:t>článcích 1 až</w:t>
      </w:r>
      <w:r>
        <w:t xml:space="preserve"> 4</w:t>
      </w:r>
      <w:r>
        <w:t>, jakož i Všeobecné podmínky této smlouvy a veškeré přílohy jsou smluvními stranami v</w:t>
      </w:r>
      <w:r>
        <w:t xml:space="preserve"> </w:t>
      </w:r>
      <w:r>
        <w:t xml:space="preserve">plném rozsahu akceptovány. </w:t>
      </w:r>
      <w:r>
        <w:t xml:space="preserve">V </w:t>
      </w:r>
      <w:r>
        <w:t>případě rozporu mezi ustanoveními této smlouvy a Všeobecnými pod</w:t>
      </w:r>
      <w:r>
        <w:t>mínkami, platí ustanovení sjednaná v</w:t>
      </w:r>
      <w:r>
        <w:t xml:space="preserve"> </w:t>
      </w:r>
      <w:r>
        <w:t>této smlouvě.  Na důkaz souhlasu se smlouvou, tj. se všemi součástmi smlouvy, připojují oprávněné osoby za smluvní strany svoje vlastnoruční podpisy.</w:t>
      </w:r>
      <w:r>
        <w:t xml:space="preserve"> </w:t>
      </w:r>
    </w:p>
    <w:p w:rsidR="001246CA" w:rsidRDefault="00C6271C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1246CA" w:rsidRDefault="00C6271C">
      <w:pPr>
        <w:spacing w:after="0" w:line="259" w:lineRule="auto"/>
        <w:ind w:left="-5"/>
      </w:pPr>
      <w:r>
        <w:t xml:space="preserve">Tuto smlouvu vyhotovil: </w:t>
      </w:r>
      <w:r>
        <w:t>Tomáš Synek</w:t>
      </w:r>
      <w:r>
        <w:t xml:space="preserve">  </w:t>
      </w:r>
    </w:p>
    <w:p w:rsidR="001246CA" w:rsidRDefault="00C6271C">
      <w:pPr>
        <w:ind w:left="-5" w:right="556"/>
      </w:pPr>
      <w:r>
        <w:t>Smlouva uzavřena v</w:t>
      </w:r>
      <w:r>
        <w:t xml:space="preserve"> </w:t>
      </w:r>
      <w:r>
        <w:t xml:space="preserve">elektronické podobě dle bodu 7.2. Všeobecných podmínek: </w:t>
      </w:r>
      <w:r>
        <w:t xml:space="preserve">Ano </w:t>
      </w:r>
    </w:p>
    <w:p w:rsidR="001246CA" w:rsidRDefault="00C6271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5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4066"/>
      </w:tblGrid>
      <w:tr w:rsidR="001246CA">
        <w:trPr>
          <w:trHeight w:val="1501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V Praze, dne      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>……………………………….</w:t>
            </w:r>
            <w:r>
              <w:t xml:space="preserve">.....................................                       </w:t>
            </w:r>
          </w:p>
          <w:p w:rsidR="001246CA" w:rsidRDefault="00C6271C">
            <w:pPr>
              <w:tabs>
                <w:tab w:val="center" w:pos="171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RICOH Czech Republic s.r.o. </w:t>
            </w:r>
          </w:p>
          <w:p w:rsidR="001246CA" w:rsidRDefault="00C6271C">
            <w:pPr>
              <w:tabs>
                <w:tab w:val="center" w:pos="1319"/>
              </w:tabs>
              <w:spacing w:after="0" w:line="259" w:lineRule="auto"/>
              <w:ind w:left="0" w:firstLine="0"/>
            </w:pPr>
            <w:r>
              <w:t xml:space="preserve">       </w:t>
            </w:r>
            <w:r>
              <w:tab/>
              <w:t xml:space="preserve">       p</w:t>
            </w:r>
            <w:r>
              <w:t>ronajímatel</w:t>
            </w:r>
            <w:r>
              <w:t xml:space="preserve">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0" w:line="259" w:lineRule="auto"/>
              <w:ind w:left="0" w:firstLine="0"/>
            </w:pPr>
            <w:r>
              <w:t>V Aši</w:t>
            </w:r>
            <w:r>
              <w:t xml:space="preserve">, dne      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1246CA" w:rsidRDefault="00C6271C">
            <w:pPr>
              <w:spacing w:after="0" w:line="259" w:lineRule="auto"/>
              <w:ind w:left="0" w:firstLine="0"/>
              <w:jc w:val="both"/>
            </w:pPr>
            <w:r>
              <w:t>………………………………......................................</w:t>
            </w:r>
            <w:r>
              <w:t xml:space="preserve">.......             </w:t>
            </w:r>
          </w:p>
          <w:p w:rsidR="001246CA" w:rsidRDefault="00C6271C">
            <w:pPr>
              <w:spacing w:after="0" w:line="259" w:lineRule="auto"/>
              <w:ind w:left="1529" w:right="1219" w:hanging="29"/>
            </w:pPr>
            <w:r>
              <w:t>Město Aš</w:t>
            </w:r>
            <w:r>
              <w:t xml:space="preserve"> </w:t>
            </w:r>
            <w:r>
              <w:t>nájemce</w:t>
            </w:r>
          </w:p>
        </w:tc>
      </w:tr>
    </w:tbl>
    <w:p w:rsidR="001246CA" w:rsidRDefault="00C6271C">
      <w:pPr>
        <w:pStyle w:val="Nadpis1"/>
        <w:numPr>
          <w:ilvl w:val="0"/>
          <w:numId w:val="0"/>
        </w:numPr>
        <w:ind w:left="1020" w:right="0"/>
        <w:jc w:val="left"/>
      </w:pPr>
      <w:r>
        <w:lastRenderedPageBreak/>
        <w:t xml:space="preserve">   </w:t>
      </w:r>
      <w:r>
        <w:t>Všeobecné podmínky nájemní smlouvy se servisními službami</w:t>
      </w:r>
    </w:p>
    <w:tbl>
      <w:tblPr>
        <w:tblStyle w:val="TableGrid"/>
        <w:tblW w:w="9387" w:type="dxa"/>
        <w:tblInd w:w="-284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495"/>
      </w:tblGrid>
      <w:tr w:rsidR="001246CA">
        <w:trPr>
          <w:trHeight w:val="14302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Předání a převzetí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Předmět nájmu bude předán a převzat uvedením do provozu </w:t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 xml:space="preserve">instalací v místě specifikovaném ve smlouvě s potvrzením na předávacím protokolu, který může mít formu montážního listu, dodacího listu či jiného podobného </w:t>
            </w:r>
            <w:r>
              <w:rPr>
                <w:sz w:val="12"/>
              </w:rPr>
              <w:t xml:space="preserve">dokumentu </w:t>
            </w:r>
            <w:r>
              <w:rPr>
                <w:sz w:val="12"/>
              </w:rPr>
              <w:t xml:space="preserve">včetně potvrzení cestou </w:t>
            </w:r>
            <w:r>
              <w:rPr>
                <w:sz w:val="12"/>
              </w:rPr>
              <w:t>e-</w:t>
            </w:r>
            <w:r>
              <w:rPr>
                <w:sz w:val="12"/>
              </w:rPr>
              <w:t>mailové komunikace. Po celou dobu platnosti a účinnosti této náj</w:t>
            </w:r>
            <w:r>
              <w:rPr>
                <w:sz w:val="12"/>
              </w:rPr>
              <w:t>emní smlouvy bu</w:t>
            </w:r>
            <w:r>
              <w:rPr>
                <w:sz w:val="12"/>
              </w:rPr>
              <w:t xml:space="preserve">de v </w:t>
            </w:r>
            <w:r>
              <w:rPr>
                <w:sz w:val="12"/>
              </w:rPr>
              <w:t>tomto místě umístěn, pokud se smluvní strany nedohodnou jinak.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Nájemce zajistí na vlastní náklady veškeré technické a právní předpoklady pro montáž, přejímku a provoz pronajímaného zařízení</w:t>
            </w:r>
            <w:r>
              <w:rPr>
                <w:sz w:val="12"/>
              </w:rPr>
              <w:t xml:space="preserve">.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208" w:line="259" w:lineRule="auto"/>
              <w:ind w:right="423" w:firstLine="0"/>
              <w:jc w:val="both"/>
            </w:pPr>
            <w:r>
              <w:rPr>
                <w:sz w:val="12"/>
              </w:rPr>
              <w:t>Předmět nájmu bude instalován po připravení</w:t>
            </w:r>
            <w:r>
              <w:rPr>
                <w:sz w:val="12"/>
              </w:rPr>
              <w:t xml:space="preserve"> podmínek pro instalaci zařízení.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Práva a povinnosti pronajímatele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Zabezpečit provozuschopnost zařízení a dodávat výrobcem stanovený spotřební materiál pro zařízení. Dodávky spotřebního a provozního materiálu mohou probíhat kurýrní službou.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O dodaném mno</w:t>
            </w:r>
            <w:r>
              <w:rPr>
                <w:sz w:val="12"/>
              </w:rPr>
              <w:t>žství spotřebního materiálu rozhoduje vzhledem ke spotřebě zařízení pronajímatel.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Započít s řešením závady a obnovit provozuschopnost (vyřešit závadu) zařízení v rámci sjednaných časových limitů a pracovní doby služby, počítaných od okamžiku prokazatelného nahlášení na kontaktní místo servisu. Obnovit provozuschopnost lze i provizorním </w:t>
            </w:r>
            <w:r>
              <w:rPr>
                <w:sz w:val="12"/>
              </w:rPr>
              <w:t>řešením, jakým může být zapůjčení náhradního zařízení podobných parametrů, pokud se v konkrétním případě smluvní strany nedohodnou jinak. Pracovní dobou služby se rozumí pracovní dny (mimo státní svátky a dny pracovního klidu) pondělí až pátek od 8 do 16 h</w:t>
            </w:r>
            <w:r>
              <w:rPr>
                <w:sz w:val="12"/>
              </w:rPr>
              <w:t>odin, pokud není v servisních podmínkách sjednáno jinak.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Závady diagnostikovat nebo řešit na dálku odborným pracovníkem servisu pronajimatele. To může probíhat za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pomoci nástrojů dálkové diagno</w:t>
            </w:r>
            <w:r>
              <w:rPr>
                <w:sz w:val="12"/>
              </w:rPr>
              <w:t xml:space="preserve">stiky, tam kde je to </w:t>
            </w:r>
            <w:r>
              <w:rPr>
                <w:sz w:val="12"/>
              </w:rPr>
              <w:t>možné,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cílem urychlit vyřešení problému</w:t>
            </w:r>
            <w:r>
              <w:rPr>
                <w:sz w:val="12"/>
              </w:rPr>
              <w:t xml:space="preserve"> nebo zjistit detailnější informace o stavu zařízení před vysláním pracovníka na místo.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V případě, že pronajímatel nebude moci odstranit závadu zařízení na místě u nájemce, je oprávněn zařízení odvézt na dílenskou opravu do prostor pronajímatele.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1" w:lineRule="auto"/>
              <w:ind w:right="423" w:firstLine="0"/>
              <w:jc w:val="both"/>
            </w:pPr>
            <w:r>
              <w:rPr>
                <w:sz w:val="12"/>
              </w:rPr>
              <w:t>Předmětem odpovědnosti za chod zařízení nejsou práce IT technika pronajímatele, týkající se počítačové sítě nájemce, s výjimkou poruch přímo na zařízení. Všechny práce IT technika v PC síti nájemce nad rámec odpovědnosti pronajímatele budou nájemci účtován</w:t>
            </w:r>
            <w:r>
              <w:rPr>
                <w:sz w:val="12"/>
              </w:rPr>
              <w:t>y dle platného ceníku servisních prací a služeb pronajímatele.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217" w:line="244" w:lineRule="auto"/>
              <w:ind w:right="423" w:firstLine="0"/>
              <w:jc w:val="both"/>
            </w:pPr>
            <w:r>
              <w:rPr>
                <w:sz w:val="12"/>
              </w:rPr>
              <w:t>Pronajímatel neodpovídá za škodu ani za ušlý zisk, které nájemci nebo jeho právnímu nástupci vznikly zejména působením vyšší moci, zvýšením provozních nákladů, přerušením provozu, ztrátou výko</w:t>
            </w:r>
            <w:r>
              <w:rPr>
                <w:sz w:val="12"/>
              </w:rPr>
              <w:t xml:space="preserve">nu zařízení a dalších podobných příčin, které pronajímatel nezavinil. </w:t>
            </w:r>
            <w:r>
              <w:rPr>
                <w:sz w:val="12"/>
              </w:rPr>
              <w:t xml:space="preserve"> 2.7.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Pronajímatel má právo zastavit poskytování servisních služeb a veškerých souvisejících plnění, v případě, že nájemce bude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prodlení </w:t>
            </w:r>
            <w:r>
              <w:rPr>
                <w:sz w:val="12"/>
              </w:rPr>
              <w:t xml:space="preserve">s </w:t>
            </w:r>
            <w:r>
              <w:rPr>
                <w:sz w:val="12"/>
              </w:rPr>
              <w:t xml:space="preserve">úhradou plateb. Pokud nájemce dlužnou částku </w:t>
            </w:r>
            <w:r>
              <w:rPr>
                <w:sz w:val="12"/>
              </w:rPr>
              <w:t>neuhradí do 30 dnů od její splatnosti, má pronajímatel právo zařízení nájemci odebrat nebo mu jinak znemožnit jeho používání.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tomto případě má pronajímatel právo na plnou náhradu vzniklých nákladů.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1"/>
              </w:numPr>
              <w:spacing w:after="0" w:line="259" w:lineRule="auto"/>
              <w:ind w:left="642"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Práva a povinnosti nájemce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Používat zařízení pouze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</w:t>
            </w:r>
            <w:r>
              <w:rPr>
                <w:sz w:val="12"/>
              </w:rPr>
              <w:t>ouladu s pokyny výrobce nebo pronajímatele, se kterými se seznámil, včetně doplňování a/nebo výměn spotřebního materiálu, předem odsouhlaseného pronajímatelem</w:t>
            </w:r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>popř. odstraňování poruch dle manuálu nebo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pokynů pronajímatele.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Spotřební materiál je nutno měn</w:t>
            </w:r>
            <w:r>
              <w:rPr>
                <w:sz w:val="12"/>
              </w:rPr>
              <w:t>it až po hlášení jeho nedostatku, varování před blížícím se nedostatkem není důvod pro výměnu.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Pokud na zařízení vznikne škoda tím, že nájemce, jeho personál nebo jiné pro něho jednající osoby nakládají</w:t>
            </w:r>
            <w:r>
              <w:rPr>
                <w:sz w:val="12"/>
              </w:rPr>
              <w:t xml:space="preserve"> se </w:t>
            </w:r>
            <w:r>
              <w:rPr>
                <w:sz w:val="12"/>
              </w:rPr>
              <w:t xml:space="preserve">zařízením </w:t>
            </w:r>
            <w:r>
              <w:rPr>
                <w:sz w:val="12"/>
              </w:rPr>
              <w:t xml:space="preserve">v  rozporu s </w:t>
            </w:r>
            <w:r>
              <w:rPr>
                <w:sz w:val="12"/>
              </w:rPr>
              <w:t>tímto ustanovením, nese náj</w:t>
            </w:r>
            <w:r>
              <w:rPr>
                <w:sz w:val="12"/>
              </w:rPr>
              <w:t>emce veškeré náklady na opravu.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Bez prodlení nahlásit na kontaktní místo servisu skutečnosti, jako jsou závady, varovná hlášení na panelu zařízení a podobně, které by mohly způsobit nebo již způsobily</w:t>
            </w:r>
            <w:r>
              <w:rPr>
                <w:sz w:val="12"/>
              </w:rPr>
              <w:t xml:space="preserve"> o</w:t>
            </w:r>
            <w:r>
              <w:rPr>
                <w:sz w:val="12"/>
              </w:rPr>
              <w:t>mezení provozuschopnosti zařízení.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Nájemce není oprá</w:t>
            </w:r>
            <w:r>
              <w:rPr>
                <w:sz w:val="12"/>
              </w:rPr>
              <w:t>vněn provést opravu sám</w:t>
            </w:r>
            <w:r>
              <w:rPr>
                <w:sz w:val="12"/>
              </w:rPr>
              <w:t xml:space="preserve">, </w:t>
            </w:r>
            <w:r>
              <w:rPr>
                <w:sz w:val="12"/>
              </w:rPr>
              <w:t>a pokud by ji provedl, nemá právo na náhradu účelně vynaložených nákladů, nedohodnou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>li se smluvní strany jinak.</w:t>
            </w:r>
            <w:r>
              <w:rPr>
                <w:sz w:val="12"/>
              </w:rPr>
              <w:t xml:space="preserve"> Revize </w:t>
            </w:r>
            <w:r>
              <w:rPr>
                <w:sz w:val="12"/>
              </w:rPr>
              <w:t>zařízení zajišťuje nájemce sám na své náklady.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Používat pronajímatelem dodávaný spotřební materiál pouze k pro</w:t>
            </w:r>
            <w:r>
              <w:rPr>
                <w:sz w:val="12"/>
              </w:rPr>
              <w:t>vozu zařízení, na které s</w:t>
            </w:r>
            <w:r>
              <w:rPr>
                <w:sz w:val="12"/>
              </w:rPr>
              <w:t xml:space="preserve">e vztahuje tato smlouva. </w:t>
            </w:r>
            <w:r>
              <w:rPr>
                <w:sz w:val="12"/>
              </w:rPr>
              <w:t>Spotřební materiál je majetkem pronajímatele a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případě ukončení smlouvy bude nespotřebovaný spotřební materiál pronajímateli vrácen nebo vyúčtován nájemci. Použití spotřebního materiálu nad rozsah, který </w:t>
            </w:r>
            <w:r>
              <w:rPr>
                <w:sz w:val="12"/>
              </w:rPr>
              <w:t xml:space="preserve">mohl být prokazatelně </w:t>
            </w:r>
            <w:r>
              <w:rPr>
                <w:sz w:val="12"/>
              </w:rPr>
              <w:t>spo</w:t>
            </w:r>
            <w:r>
              <w:rPr>
                <w:sz w:val="12"/>
              </w:rPr>
              <w:t>třebován při provozu zařízení, je pronajímatel oprávněn vyúčtovat nájemci dle aktuálně platného ceníku pronajímatele.</w:t>
            </w:r>
            <w:r>
              <w:rPr>
                <w:sz w:val="12"/>
              </w:rPr>
              <w:t xml:space="preserve"> 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Umožnit pronajímateli po dobu platnosti a účinnosti této smlouvy přístup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předmětu nájmu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rámci dohodnuté pra</w:t>
            </w:r>
            <w:r>
              <w:rPr>
                <w:sz w:val="12"/>
              </w:rPr>
              <w:t>covní doby.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Předem oznámit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a dohodnout s pronajímatelem způsob případného přemístění zařízení na novou adresu. Náklady spojené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přemístěním nese nájemce.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případě, že přemístění realizuje nájemce, nese tento i případná rizika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přemístěním spojená.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21" w:line="240" w:lineRule="auto"/>
              <w:ind w:right="423" w:firstLine="0"/>
              <w:jc w:val="both"/>
            </w:pPr>
            <w:r>
              <w:rPr>
                <w:sz w:val="12"/>
              </w:rPr>
              <w:t xml:space="preserve">Na příslušném dokladu </w:t>
            </w:r>
            <w:r>
              <w:rPr>
                <w:sz w:val="12"/>
              </w:rPr>
              <w:t xml:space="preserve">(pokud je vystaven) potvrzovat </w:t>
            </w:r>
            <w:r>
              <w:rPr>
                <w:sz w:val="12"/>
              </w:rPr>
              <w:t>pronajímatelem provedené servisní úkony.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Bezodkladně oznámit pronajímateli každou skutečnost, která by mohla ohrozit jeho schopnost plnit závazky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této smlouvy (insolvenční řízení, konkurs, likvidace a</w:t>
            </w:r>
            <w:r>
              <w:rPr>
                <w:sz w:val="12"/>
              </w:rPr>
              <w:t>td.)</w:t>
            </w:r>
            <w:r>
              <w:rPr>
                <w:sz w:val="12"/>
              </w:rPr>
              <w:t xml:space="preserve">. </w:t>
            </w:r>
          </w:p>
          <w:p w:rsidR="001246CA" w:rsidRDefault="00C6271C">
            <w:pPr>
              <w:numPr>
                <w:ilvl w:val="1"/>
                <w:numId w:val="1"/>
              </w:numPr>
              <w:spacing w:after="18" w:line="240" w:lineRule="auto"/>
              <w:ind w:right="423" w:firstLine="0"/>
              <w:jc w:val="both"/>
            </w:pPr>
            <w:r>
              <w:rPr>
                <w:sz w:val="12"/>
              </w:rPr>
              <w:t>Umožnit provádění odečtu nebo provádět odečet dosaženého počtu výstupů ke konci fakturačního období dohodnutým způsobem: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2"/>
              </w:numPr>
              <w:spacing w:after="18" w:line="240" w:lineRule="auto"/>
              <w:ind w:hanging="142"/>
            </w:pPr>
            <w:r>
              <w:rPr>
                <w:sz w:val="12"/>
              </w:rPr>
              <w:t xml:space="preserve">automatizovaným systémem dálkové diagnostiky a monitoringu u zařízení, která toto umožňují.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2"/>
              </w:numPr>
              <w:spacing w:after="18" w:line="240" w:lineRule="auto"/>
              <w:ind w:hanging="142"/>
            </w:pPr>
            <w:r>
              <w:rPr>
                <w:sz w:val="12"/>
              </w:rPr>
              <w:t>určenou osobou nájemce vždy do 3. dne následujícího měsíce. V případě, že tento den není dnem pracovním, pak následující pracovní den. Nájemce je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tomto případě povinen nahlásit jméno zákazníka, model zařízení, sériové číslo zařízení a aktuální stav počít</w:t>
            </w:r>
            <w:r>
              <w:rPr>
                <w:sz w:val="12"/>
              </w:rPr>
              <w:t>adel. Tyto informace nahlásit telefonicky nebo e</w:t>
            </w:r>
            <w:r>
              <w:rPr>
                <w:sz w:val="12"/>
              </w:rPr>
              <w:t>-</w:t>
            </w:r>
            <w:r>
              <w:rPr>
                <w:sz w:val="12"/>
              </w:rPr>
              <w:t>mailem na kontaktní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místo servisu pro nahlašování stavů počitadel nebo zápisem do nahlašovacího formuláře na zákaznickém portálu.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případě, že tak neučiní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termínu, je pronajímatel oprávněn počet výstupů o</w:t>
            </w:r>
            <w:r>
              <w:rPr>
                <w:sz w:val="12"/>
              </w:rPr>
              <w:t>dhadnout nebo nájemce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lastRenderedPageBreak/>
              <w:t xml:space="preserve">kontaktovat (telefonicky/e-mailem) a </w:t>
            </w:r>
            <w:r>
              <w:rPr>
                <w:sz w:val="12"/>
              </w:rPr>
              <w:t>vyžád</w:t>
            </w:r>
            <w:r>
              <w:rPr>
                <w:sz w:val="12"/>
              </w:rPr>
              <w:t>at s</w:t>
            </w:r>
            <w:r>
              <w:rPr>
                <w:sz w:val="12"/>
              </w:rPr>
              <w:t>i stav počítadel pro jednotlivá zařízení.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Změny kontaktních údajů je nájemce povinen bezodkladně hlásit pronajímateli.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2"/>
              </w:numPr>
              <w:spacing w:line="259" w:lineRule="auto"/>
              <w:ind w:hanging="142"/>
            </w:pPr>
            <w:r>
              <w:rPr>
                <w:sz w:val="12"/>
              </w:rPr>
              <w:t>aktivním dotazem pronajímatele.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>Předmět nájmu užívat výlučně pro s</w:t>
            </w:r>
            <w:r>
              <w:rPr>
                <w:sz w:val="12"/>
              </w:rPr>
              <w:t>vou činnost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a není oprávněn ho během nájmu půjčit nebo dát do podnájmu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třetí osobě.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>Zajistit prostor, ve kterém mu pronajímatel instaluje předmět nájmu, proti ztrátě, poškození. Nájemce odpovídá za ztrátu, zničení nebo poškození pronajatého zařízení.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Náje</w:t>
            </w:r>
            <w:r>
              <w:rPr>
                <w:sz w:val="12"/>
              </w:rPr>
              <w:t>mce odpovídá za pojištění zařízení proti ztrátě, poškození nebo zničení. Pokud nájemce zařízení nepojistí a dojde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jeho ztrátě nebo neopravitelnému poškození, postupuje se dle </w:t>
            </w:r>
            <w:r>
              <w:rPr>
                <w:sz w:val="12"/>
              </w:rPr>
              <w:t xml:space="preserve">bodu 5.7.  </w:t>
            </w:r>
          </w:p>
          <w:p w:rsidR="001246CA" w:rsidRDefault="00C6271C">
            <w:pPr>
              <w:numPr>
                <w:ilvl w:val="1"/>
                <w:numId w:val="3"/>
              </w:numPr>
              <w:spacing w:after="18" w:line="240" w:lineRule="auto"/>
              <w:ind w:right="112" w:firstLine="0"/>
              <w:jc w:val="both"/>
            </w:pPr>
            <w:r>
              <w:rPr>
                <w:sz w:val="12"/>
              </w:rPr>
              <w:t xml:space="preserve">V </w:t>
            </w:r>
            <w:r>
              <w:rPr>
                <w:sz w:val="12"/>
              </w:rPr>
              <w:t>případě předčasného ukončení smlouvy doplatit zůstatkovou hodnotu</w:t>
            </w:r>
            <w:r>
              <w:rPr>
                <w:sz w:val="12"/>
              </w:rPr>
              <w:t xml:space="preserve"> SW licencí, </w:t>
            </w:r>
            <w:r>
              <w:rPr>
                <w:sz w:val="12"/>
              </w:rPr>
              <w:t xml:space="preserve">pokud mu byly poskytnuty v </w:t>
            </w:r>
            <w:r>
              <w:rPr>
                <w:sz w:val="12"/>
              </w:rPr>
              <w:t>rámci této smlouvy.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3"/>
              </w:numPr>
              <w:spacing w:after="0" w:line="259" w:lineRule="auto"/>
              <w:ind w:right="112" w:firstLine="0"/>
              <w:jc w:val="both"/>
            </w:pPr>
            <w:r>
              <w:rPr>
                <w:sz w:val="12"/>
              </w:rPr>
              <w:t>Využívat tisk, kopírování a skenování pouze a výhradně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zhotovování tiskových rozmnoženin dokumentů souvisejících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jeho podnikatelskou (provozní) činností, 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1246CA" w:rsidRDefault="00C6271C">
            <w:pPr>
              <w:spacing w:after="219" w:line="241" w:lineRule="auto"/>
              <w:ind w:left="0" w:firstLine="0"/>
              <w:jc w:val="both"/>
            </w:pPr>
            <w:r>
              <w:rPr>
                <w:sz w:val="12"/>
              </w:rPr>
              <w:lastRenderedPageBreak/>
              <w:t>používaných pro jeho vlastní vnitřní</w:t>
            </w:r>
            <w:r>
              <w:rPr>
                <w:sz w:val="12"/>
              </w:rPr>
              <w:t xml:space="preserve"> potřebu, mimo zhotovování rozmnoženin jakýchkoliv autorských děl.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4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Fakturační podmínky a režim placení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 xml:space="preserve">Částka dle nájemní smlouvy bude nájemci fakturována nejpozději do 10. pracovního </w:t>
            </w:r>
            <w:r>
              <w:rPr>
                <w:sz w:val="12"/>
              </w:rPr>
              <w:t xml:space="preserve">dne v </w:t>
            </w:r>
            <w:r>
              <w:rPr>
                <w:sz w:val="12"/>
              </w:rPr>
              <w:t>měsíci vždy za předcházející fakturační období,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dohodnutou splatností ode dne vystavení. Dnem uskutečnění zdanitelného plnění je poslední den předcházejícího fakturačního období. Pro účely fakturace výstupů je rozhodující poslední zjištěný konečný stav počitadla výstupů na zařízení.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Pokud bude fakturač</w:t>
            </w:r>
            <w:r>
              <w:rPr>
                <w:sz w:val="12"/>
              </w:rPr>
              <w:t>ním obdobím pouze jeho část, bude paušál účtován v odpovídající poměrné části.</w:t>
            </w:r>
            <w:r>
              <w:rPr>
                <w:sz w:val="12"/>
              </w:rPr>
              <w:t xml:space="preserve">  </w:t>
            </w:r>
          </w:p>
          <w:p w:rsidR="001246CA" w:rsidRDefault="00C6271C">
            <w:pPr>
              <w:numPr>
                <w:ilvl w:val="1"/>
                <w:numId w:val="4"/>
              </w:numPr>
              <w:spacing w:line="259" w:lineRule="auto"/>
              <w:ind w:firstLine="0"/>
              <w:jc w:val="both"/>
            </w:pPr>
            <w:r>
              <w:rPr>
                <w:sz w:val="12"/>
              </w:rPr>
              <w:t>K fakturova</w:t>
            </w:r>
            <w:r>
              <w:rPr>
                <w:sz w:val="12"/>
              </w:rPr>
              <w:t>ným částkám bude účtována sazba DPH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platné výši.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Neuhrazení fakturovaných částek ve lhůtě splatnosti je podstatným porušením smlouvy a zakládá právo pronajímatele od smlouvy odstoupit a povinnost nájemce vrátit předmět nájmu a uhradit částky</w:t>
            </w:r>
            <w:r>
              <w:rPr>
                <w:sz w:val="12"/>
              </w:rPr>
              <w:t xml:space="preserve"> dle bodu 5.7.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Nájemce není oprávněn platby pozastavovat, snižo</w:t>
            </w:r>
            <w:r>
              <w:rPr>
                <w:sz w:val="12"/>
              </w:rPr>
              <w:t>vat či započítávat. Pronajímatel má právo určit, který splatný závazek nájemce bude uhrazen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došlých plateb.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21" w:line="240" w:lineRule="auto"/>
              <w:ind w:firstLine="0"/>
              <w:jc w:val="both"/>
            </w:pPr>
            <w:r>
              <w:rPr>
                <w:sz w:val="12"/>
              </w:rPr>
              <w:t>Pro případ prodlení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úhradou plateb se sjednává úrok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prodlení výši 0,05% dlužné částky za každý den prodlení.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Za službu aktivního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zjišťování</w:t>
            </w:r>
            <w:r>
              <w:rPr>
                <w:sz w:val="12"/>
              </w:rPr>
              <w:t xml:space="preserve"> stavu počítadel, a to i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případě nenahlášení stavu počitadel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nájemce</w:t>
            </w:r>
            <w:r>
              <w:rPr>
                <w:sz w:val="12"/>
              </w:rPr>
              <w:t>m</w:t>
            </w:r>
            <w:r>
              <w:rPr>
                <w:sz w:val="12"/>
              </w:rPr>
              <w:t>, pronajímatel může účtovat režijní poplatek ve výši 100,</w:t>
            </w:r>
            <w:r>
              <w:rPr>
                <w:sz w:val="12"/>
              </w:rPr>
              <w:t xml:space="preserve">- </w:t>
            </w:r>
            <w:r>
              <w:rPr>
                <w:sz w:val="12"/>
              </w:rPr>
              <w:t>Kč + DPH za zařízení.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Dohodnuté smluvní ceny jsou vázané na kurz cizí měny (EUR) a to v kurzu platném ke dni uzavření smlouvy</w:t>
            </w:r>
            <w:r>
              <w:rPr>
                <w:sz w:val="12"/>
              </w:rPr>
              <w:t xml:space="preserve">. Nájemce souhlasí s tím, že </w:t>
            </w:r>
            <w:r>
              <w:rPr>
                <w:sz w:val="12"/>
              </w:rPr>
              <w:t>p</w:t>
            </w:r>
            <w:r>
              <w:rPr>
                <w:sz w:val="12"/>
              </w:rPr>
              <w:t>ronajímatel bez jeho předchozího souhlasu je oprávněn změnit stávající cenu o procentuální výši kursového rozdílu, pokud se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aktuální měsíční průměrný kurz CZK vůči EUR (dle ČNB) v porovnání s kurzem ke dni podpisu smlouvy nebo</w:t>
            </w:r>
            <w:r>
              <w:rPr>
                <w:sz w:val="12"/>
              </w:rPr>
              <w:t xml:space="preserve"> ke dni provádění poslední změny cen změní o více než 5% oběma směry. Cenu papíru je pronajímatel oprávněn rovněž změnit v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případě změny ceny </w:t>
            </w:r>
            <w:r>
              <w:rPr>
                <w:sz w:val="12"/>
              </w:rPr>
              <w:t xml:space="preserve">komodity na </w:t>
            </w:r>
            <w:r>
              <w:rPr>
                <w:sz w:val="12"/>
              </w:rPr>
              <w:t>trhu adekvátně dle změny ceny komodity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>Změna cen bude platná od prvního dne následujícího měsíce po d</w:t>
            </w:r>
            <w:r>
              <w:rPr>
                <w:sz w:val="12"/>
              </w:rPr>
              <w:t>ni písemného oznámení této změny nájemci.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4"/>
              </w:numPr>
              <w:spacing w:after="18" w:line="240" w:lineRule="auto"/>
              <w:ind w:firstLine="0"/>
              <w:jc w:val="both"/>
            </w:pPr>
            <w:r>
              <w:rPr>
                <w:sz w:val="12"/>
              </w:rPr>
              <w:t>Pronajímatel je oprávněn upravit výši smluvních cen bez dohody smluvních stran z důvodu inflace za podmínek dále uvedených: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5"/>
              </w:numPr>
              <w:spacing w:after="18" w:line="240" w:lineRule="auto"/>
              <w:ind w:right="31" w:firstLine="0"/>
              <w:jc w:val="both"/>
            </w:pPr>
            <w:r>
              <w:rPr>
                <w:sz w:val="12"/>
              </w:rPr>
              <w:t>Inflací se rozumí meziroční inflace měřená vzrůstem úhrnného indexu spotřebitelských cen</w:t>
            </w:r>
            <w:r>
              <w:rPr>
                <w:sz w:val="12"/>
              </w:rPr>
              <w:t xml:space="preserve"> zboží a služeb, kterou udává každým kalendářním rokem Český statistický úřad za rok předcházející vyjádřená v procentech.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5"/>
              </w:numPr>
              <w:spacing w:after="15" w:line="246" w:lineRule="auto"/>
              <w:ind w:right="31" w:firstLine="0"/>
              <w:jc w:val="both"/>
            </w:pPr>
            <w:r>
              <w:rPr>
                <w:sz w:val="12"/>
              </w:rPr>
              <w:t>Vždy od 1. dubna kalendářního roku dále do budoucna je pronajímatel oprávněn upravit smluvní ceny z důvodů inflace, a to nejvýše o tolik procent, kolik procent činila inflace v roce předcházejícím, pokud tato v přecházejícím roce přesáhla 2% nebo nejvýše o</w:t>
            </w:r>
            <w:r>
              <w:rPr>
                <w:sz w:val="12"/>
              </w:rPr>
              <w:t xml:space="preserve"> kumulativní míru inflace (součet ročních inflací počínající rokem uzavření smlouvy</w:t>
            </w:r>
            <w:r>
              <w:rPr>
                <w:sz w:val="12"/>
              </w:rPr>
              <w:t xml:space="preserve"> nebo </w:t>
            </w:r>
            <w:r>
              <w:rPr>
                <w:sz w:val="12"/>
              </w:rPr>
              <w:t>rokem poslední úpravy cen</w:t>
            </w:r>
            <w:r>
              <w:rPr>
                <w:sz w:val="12"/>
              </w:rPr>
              <w:t xml:space="preserve">) </w:t>
            </w:r>
            <w:r>
              <w:rPr>
                <w:sz w:val="12"/>
              </w:rPr>
              <w:t>pokud kumulativní míra inflace přesáhla 3%.</w:t>
            </w:r>
            <w:r>
              <w:rPr>
                <w:sz w:val="12"/>
              </w:rPr>
              <w:t xml:space="preserve"> c)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Ceny upravené z důvodu inflace se považují za smluvní.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tabs>
                <w:tab w:val="center" w:pos="1423"/>
              </w:tabs>
              <w:spacing w:after="207" w:line="259" w:lineRule="auto"/>
              <w:ind w:left="0" w:firstLine="0"/>
            </w:pPr>
            <w:r>
              <w:rPr>
                <w:sz w:val="12"/>
              </w:rPr>
              <w:t>d)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sz w:val="12"/>
              </w:rPr>
              <w:t>Oznámení o změně cen je prováděno</w:t>
            </w:r>
            <w:r>
              <w:rPr>
                <w:sz w:val="12"/>
              </w:rPr>
              <w:t xml:space="preserve"> písemně.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spacing w:after="0" w:line="259" w:lineRule="auto"/>
              <w:ind w:left="283" w:firstLine="0"/>
            </w:pPr>
            <w:r>
              <w:rPr>
                <w:rFonts w:ascii="Cambria" w:eastAsia="Cambria" w:hAnsi="Cambria" w:cs="Cambria"/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Trvání smlouvy </w:t>
            </w:r>
          </w:p>
          <w:p w:rsidR="001246CA" w:rsidRDefault="00C6271C">
            <w:pPr>
              <w:spacing w:after="18" w:line="240" w:lineRule="auto"/>
              <w:ind w:left="0" w:right="30" w:firstLine="0"/>
              <w:jc w:val="both"/>
            </w:pPr>
            <w:r>
              <w:rPr>
                <w:sz w:val="12"/>
              </w:rPr>
              <w:t>5.1.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 xml:space="preserve">Doba </w:t>
            </w:r>
            <w:r>
              <w:rPr>
                <w:sz w:val="12"/>
              </w:rPr>
              <w:t>trvání této smlouvy se automaticky prodlužuje vždy o 12 měsíců</w:t>
            </w:r>
            <w:r>
              <w:rPr>
                <w:sz w:val="12"/>
              </w:rPr>
              <w:t xml:space="preserve">, a to i </w:t>
            </w:r>
            <w:r>
              <w:rPr>
                <w:sz w:val="12"/>
              </w:rPr>
              <w:t>opakovaně,</w:t>
            </w:r>
            <w:r>
              <w:rPr>
                <w:color w:val="FF0000"/>
                <w:sz w:val="12"/>
              </w:rPr>
              <w:t xml:space="preserve"> </w:t>
            </w:r>
            <w:r>
              <w:rPr>
                <w:sz w:val="12"/>
              </w:rPr>
              <w:t>až do dosažení limitního počtu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výstupů, pokud není písemně jednou ze stran ve lhůtě 30 dnů před uplynutím doby trvání oznámeno druhé smluvní straně, že nemá zájem na prodloužení doby trvání smlouvy.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spacing w:line="259" w:lineRule="auto"/>
              <w:ind w:left="0" w:firstLine="0"/>
            </w:pPr>
            <w:r>
              <w:rPr>
                <w:sz w:val="12"/>
              </w:rPr>
              <w:t>5.2.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>Smlouva může zaniknout: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6"/>
              </w:numPr>
              <w:spacing w:after="19" w:line="240" w:lineRule="auto"/>
              <w:ind w:hanging="168"/>
            </w:pPr>
            <w:r>
              <w:rPr>
                <w:sz w:val="12"/>
              </w:rPr>
              <w:t>uplyn</w:t>
            </w:r>
            <w:r>
              <w:rPr>
                <w:sz w:val="12"/>
              </w:rPr>
              <w:t>utím doby nájmu, pokud byl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ve lhůtě oznámen nezájem </w:t>
            </w:r>
            <w:r>
              <w:rPr>
                <w:sz w:val="12"/>
              </w:rPr>
              <w:t xml:space="preserve">o automatické prodloužení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6"/>
              </w:numPr>
              <w:spacing w:after="6" w:line="259" w:lineRule="auto"/>
              <w:ind w:hanging="168"/>
            </w:pPr>
            <w:r>
              <w:rPr>
                <w:sz w:val="12"/>
              </w:rPr>
              <w:t>zničením nebo neopravitelným poškozením zařízení</w:t>
            </w:r>
            <w:r>
              <w:rPr>
                <w:sz w:val="12"/>
              </w:rPr>
              <w:t xml:space="preserve">,  </w:t>
            </w:r>
          </w:p>
          <w:p w:rsidR="001246CA" w:rsidRDefault="00C6271C">
            <w:pPr>
              <w:numPr>
                <w:ilvl w:val="0"/>
                <w:numId w:val="6"/>
              </w:numPr>
              <w:spacing w:line="259" w:lineRule="auto"/>
              <w:ind w:hanging="168"/>
            </w:pPr>
            <w:r>
              <w:rPr>
                <w:sz w:val="12"/>
              </w:rPr>
              <w:t>dohodou smluvních stran.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spacing w:line="259" w:lineRule="auto"/>
              <w:ind w:left="0" w:firstLine="0"/>
            </w:pPr>
            <w:r>
              <w:rPr>
                <w:sz w:val="12"/>
              </w:rPr>
              <w:t>5.3.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sz w:val="12"/>
              </w:rPr>
              <w:t xml:space="preserve">Pronajímatel může </w:t>
            </w:r>
            <w:r>
              <w:rPr>
                <w:sz w:val="12"/>
              </w:rPr>
              <w:t xml:space="preserve">odstoupit z </w:t>
            </w:r>
            <w:r>
              <w:rPr>
                <w:sz w:val="12"/>
              </w:rPr>
              <w:t>důvodů dle této smlouvy a dále z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důvodů: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opakované</w:t>
            </w:r>
            <w:r>
              <w:rPr>
                <w:sz w:val="12"/>
              </w:rPr>
              <w:t xml:space="preserve">ho </w:t>
            </w:r>
            <w:r>
              <w:rPr>
                <w:sz w:val="12"/>
              </w:rPr>
              <w:t>porušení povinností druhé smluvní strany</w:t>
            </w:r>
            <w:r>
              <w:rPr>
                <w:sz w:val="12"/>
              </w:rPr>
              <w:t xml:space="preserve">, </w:t>
            </w:r>
          </w:p>
          <w:p w:rsidR="001246CA" w:rsidRDefault="00C6271C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probíhajícího insolvenčního řízení vůči nájemci nebo pronajímateli,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7"/>
              </w:numPr>
              <w:spacing w:line="259" w:lineRule="auto"/>
              <w:ind w:left="284" w:hanging="142"/>
            </w:pPr>
            <w:r>
              <w:rPr>
                <w:sz w:val="12"/>
              </w:rPr>
              <w:t>vstupem nájemce nebo pronajímatele do likvidace,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8"/>
              </w:numPr>
              <w:spacing w:after="16" w:line="244" w:lineRule="auto"/>
              <w:ind w:right="13" w:firstLine="0"/>
              <w:jc w:val="both"/>
            </w:pPr>
            <w:r>
              <w:rPr>
                <w:sz w:val="12"/>
              </w:rPr>
              <w:t xml:space="preserve">Odstoupení je účinné dnem jeho 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písemného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doručení druhé smluvní straně. Obě smluvní strany se dohodly, že tímto dnem končí platnost a úč</w:t>
            </w:r>
            <w:r>
              <w:rPr>
                <w:sz w:val="12"/>
              </w:rPr>
              <w:t>innost této smlouvy.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8"/>
              </w:numPr>
              <w:spacing w:after="18" w:line="240" w:lineRule="auto"/>
              <w:ind w:right="13" w:firstLine="0"/>
              <w:jc w:val="both"/>
            </w:pPr>
            <w:r>
              <w:rPr>
                <w:sz w:val="12"/>
              </w:rPr>
              <w:t>P</w:t>
            </w:r>
            <w:r>
              <w:rPr>
                <w:sz w:val="12"/>
              </w:rPr>
              <w:t>o ukončení doby nájmu je nájemce povinen zařízení protokolárně vrátit pronajímateli ve stavu odpovídajícím sjednanému způsobu užívání s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přihlédnutím </w:t>
            </w:r>
            <w:r>
              <w:rPr>
                <w:sz w:val="12"/>
              </w:rPr>
              <w:t xml:space="preserve">k </w:t>
            </w:r>
            <w:r>
              <w:rPr>
                <w:sz w:val="12"/>
              </w:rPr>
              <w:t>opotřebení.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8"/>
              </w:numPr>
              <w:spacing w:line="259" w:lineRule="auto"/>
              <w:ind w:right="13" w:firstLine="0"/>
              <w:jc w:val="both"/>
            </w:pPr>
            <w:r>
              <w:rPr>
                <w:sz w:val="12"/>
              </w:rPr>
              <w:t>Smluvní strany se dohodly, že</w:t>
            </w:r>
            <w:r>
              <w:rPr>
                <w:sz w:val="12"/>
              </w:rPr>
              <w:t xml:space="preserve"> n</w:t>
            </w:r>
            <w:r>
              <w:rPr>
                <w:sz w:val="12"/>
              </w:rPr>
              <w:t>ájemce není oprávněn nájem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vypovědět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 xml:space="preserve">  </w:t>
            </w:r>
          </w:p>
          <w:p w:rsidR="001246CA" w:rsidRDefault="00C6271C">
            <w:pPr>
              <w:numPr>
                <w:ilvl w:val="1"/>
                <w:numId w:val="8"/>
              </w:numPr>
              <w:spacing w:after="219" w:line="240" w:lineRule="auto"/>
              <w:ind w:right="13" w:firstLine="0"/>
              <w:jc w:val="both"/>
            </w:pPr>
            <w:r>
              <w:rPr>
                <w:sz w:val="12"/>
              </w:rPr>
              <w:t>Smluvní strany se dohodly, že pokud dojde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ukončení smlouvy podle Článku</w:t>
            </w:r>
            <w:r>
              <w:rPr>
                <w:sz w:val="12"/>
              </w:rPr>
              <w:t xml:space="preserve"> 4, bodu 4.4. n</w:t>
            </w:r>
            <w:r>
              <w:rPr>
                <w:sz w:val="12"/>
              </w:rPr>
              <w:t xml:space="preserve">ebo Článku 5, bodu </w:t>
            </w:r>
            <w:r>
              <w:rPr>
                <w:sz w:val="12"/>
              </w:rPr>
              <w:t xml:space="preserve">5.2.b. a </w:t>
            </w:r>
            <w:r>
              <w:rPr>
                <w:sz w:val="12"/>
              </w:rPr>
              <w:t>5.3. všeobecných podmínek, z důvodů na straně nájemce, tak nájemce nebo jeho právní nástupce zaplatí pronajímateli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(i) veškeré aktuálně dlužné částky a (ii)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smluvní pokutu rovnající se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celkové zbývající část</w:t>
            </w:r>
            <w:r>
              <w:rPr>
                <w:sz w:val="12"/>
              </w:rPr>
              <w:t xml:space="preserve">ce </w:t>
            </w:r>
            <w:r>
              <w:rPr>
                <w:sz w:val="12"/>
              </w:rPr>
              <w:t>nájemného (součtu zbývajících paušálů) od ukončení smlouvy do konce sjednané doby náj</w:t>
            </w:r>
            <w:r>
              <w:rPr>
                <w:sz w:val="12"/>
              </w:rPr>
              <w:t xml:space="preserve">mu. </w:t>
            </w:r>
          </w:p>
          <w:p w:rsidR="001246CA" w:rsidRDefault="00C6271C">
            <w:pPr>
              <w:numPr>
                <w:ilvl w:val="0"/>
                <w:numId w:val="9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Ostatní ujednání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Případná neplatnost některého ujednání této smlouvy nemá za následek neplatnost celé smlouvy. Smluvní strany se zavazují nahradit takové ustanovení ustanovením platným tak, aby byla zachována integrita této smlouvy a účel, za nímž byla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>uzavřena.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219" w:line="240" w:lineRule="auto"/>
              <w:ind w:right="27" w:firstLine="0"/>
              <w:jc w:val="both"/>
            </w:pPr>
            <w:r>
              <w:rPr>
                <w:sz w:val="12"/>
              </w:rPr>
              <w:t>Smluvní s</w:t>
            </w:r>
            <w:r>
              <w:rPr>
                <w:sz w:val="12"/>
              </w:rPr>
              <w:t>trany se mohou dohodnout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na instalaci a používání systému dálkové diagnostiky a monitoringu, což je systém, pomocí kterého lze automaticky monitorovat provoz kancelářských zařízení (např. multifunkčních zařízení a tiskáren) připojených </w:t>
            </w:r>
            <w:r>
              <w:rPr>
                <w:sz w:val="12"/>
              </w:rPr>
              <w:t xml:space="preserve">k </w:t>
            </w:r>
            <w:r>
              <w:rPr>
                <w:sz w:val="12"/>
              </w:rPr>
              <w:t>počítačové síti ná</w:t>
            </w:r>
            <w:r>
              <w:rPr>
                <w:sz w:val="12"/>
              </w:rPr>
              <w:t>jemce</w:t>
            </w:r>
            <w:r>
              <w:rPr>
                <w:sz w:val="12"/>
              </w:rPr>
              <w:t xml:space="preserve">. </w:t>
            </w:r>
            <w:r>
              <w:rPr>
                <w:sz w:val="12"/>
              </w:rPr>
              <w:t>Účelem instalace a používání takového systému je zefektivnění spolupráce smluvních stran, a to zejména zautomatizováním pravidelných odečtů stavu počitadel zhotovených výstupů a dále vzdáleným přístupem pronajímatele k</w:t>
            </w: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chybovým </w:t>
            </w:r>
            <w:r>
              <w:rPr>
                <w:sz w:val="12"/>
              </w:rPr>
              <w:t>h</w:t>
            </w:r>
            <w:r>
              <w:rPr>
                <w:sz w:val="12"/>
              </w:rPr>
              <w:t>lášením jednotlivých</w:t>
            </w:r>
            <w:r>
              <w:rPr>
                <w:sz w:val="12"/>
              </w:rPr>
              <w:t xml:space="preserve"> zařízení, což umožní přesněji diagnostikovat závadu. Rozsah použití může být omezen konkrétním modelem zařízení. 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0"/>
                <w:numId w:val="9"/>
              </w:numPr>
              <w:spacing w:after="0" w:line="259" w:lineRule="auto"/>
              <w:ind w:hanging="35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Závěrečná ustanovení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 xml:space="preserve">Nájemní smlouva nabývá platnosti dnem podpisu oběma smluvními stranami, účinná </w:t>
            </w:r>
            <w:r>
              <w:rPr>
                <w:sz w:val="12"/>
              </w:rPr>
              <w:t xml:space="preserve">je dnem </w:t>
            </w:r>
            <w:r>
              <w:rPr>
                <w:sz w:val="12"/>
              </w:rPr>
              <w:t>uvedeným ve smlouvě</w:t>
            </w:r>
            <w:r>
              <w:rPr>
                <w:sz w:val="12"/>
              </w:rPr>
              <w:t xml:space="preserve">.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Smlouva j</w:t>
            </w:r>
            <w:r>
              <w:rPr>
                <w:sz w:val="12"/>
              </w:rPr>
              <w:t xml:space="preserve">e vyhotovena ve dvou stejnopisech, z </w:t>
            </w:r>
            <w:r>
              <w:rPr>
                <w:sz w:val="12"/>
              </w:rPr>
              <w:t xml:space="preserve">nichž každá ze smluvních stran obdrží po jednom vyhotovení. Písemná forma je zachována i tehdy, pokud si smluvní strany vzájemně vymění smlouvu v </w:t>
            </w:r>
            <w:r>
              <w:rPr>
                <w:sz w:val="12"/>
              </w:rPr>
              <w:lastRenderedPageBreak/>
              <w:t>elektronické podobě s připojenými naskenovanými podpisy oprávněných zástu</w:t>
            </w:r>
            <w:r>
              <w:rPr>
                <w:sz w:val="12"/>
              </w:rPr>
              <w:t>pců obou smluvních stran</w:t>
            </w:r>
            <w:r>
              <w:rPr>
                <w:sz w:val="12"/>
              </w:rPr>
              <w:t xml:space="preserve">.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Smlouva může být měněna pouze formou číslovaného písemného dodatku, který se stane nedílnou součástí této smlouvy.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18" w:line="240" w:lineRule="auto"/>
              <w:ind w:right="27" w:firstLine="0"/>
              <w:jc w:val="both"/>
            </w:pPr>
            <w:r>
              <w:rPr>
                <w:sz w:val="12"/>
              </w:rPr>
              <w:t>Smluvní strany se dohodly, že písemnost se považuje za doručenou 5. den po jejím prokazatelném odeslání na adresu</w:t>
            </w:r>
            <w:r>
              <w:rPr>
                <w:sz w:val="12"/>
              </w:rPr>
              <w:t xml:space="preserve"> sídla druhé smluvní strany. Pokud tento den připadne na sobotu, neděli či státní svátek, považuje se za den doručení první následující pracovní den.</w:t>
            </w:r>
            <w:r>
              <w:rPr>
                <w:sz w:val="12"/>
              </w:rPr>
              <w:t xml:space="preserve"> </w:t>
            </w:r>
          </w:p>
          <w:p w:rsidR="001246CA" w:rsidRDefault="00C6271C">
            <w:pPr>
              <w:numPr>
                <w:ilvl w:val="1"/>
                <w:numId w:val="9"/>
              </w:numPr>
              <w:spacing w:after="0" w:line="259" w:lineRule="auto"/>
              <w:ind w:right="27" w:firstLine="0"/>
              <w:jc w:val="both"/>
            </w:pPr>
            <w:r>
              <w:rPr>
                <w:sz w:val="12"/>
              </w:rPr>
              <w:t>Obě smluvní strany považují informace získané v souvislosti s touto smlouvou za obchodní tajemství.</w:t>
            </w:r>
            <w:r>
              <w:rPr>
                <w:sz w:val="12"/>
              </w:rPr>
              <w:t xml:space="preserve"> </w:t>
            </w:r>
          </w:p>
        </w:tc>
      </w:tr>
    </w:tbl>
    <w:p w:rsidR="001246CA" w:rsidRDefault="00C6271C">
      <w:pPr>
        <w:spacing w:after="0" w:line="259" w:lineRule="auto"/>
        <w:ind w:left="0" w:firstLine="0"/>
      </w:pPr>
      <w:r>
        <w:lastRenderedPageBreak/>
        <w:t xml:space="preserve"> </w:t>
      </w:r>
    </w:p>
    <w:sectPr w:rsidR="001246CA">
      <w:footnotePr>
        <w:numRestart w:val="eachPage"/>
      </w:footnotePr>
      <w:pgSz w:w="11906" w:h="16838"/>
      <w:pgMar w:top="616" w:right="578" w:bottom="31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1C" w:rsidRDefault="00C6271C">
      <w:pPr>
        <w:spacing w:after="0" w:line="240" w:lineRule="auto"/>
      </w:pPr>
      <w:r>
        <w:separator/>
      </w:r>
    </w:p>
  </w:endnote>
  <w:endnote w:type="continuationSeparator" w:id="0">
    <w:p w:rsidR="00C6271C" w:rsidRDefault="00C6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1C" w:rsidRDefault="00C6271C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C6271C" w:rsidRDefault="00C6271C">
      <w:pPr>
        <w:spacing w:after="0" w:line="259" w:lineRule="auto"/>
        <w:ind w:left="0" w:firstLine="0"/>
      </w:pPr>
      <w:r>
        <w:continuationSeparator/>
      </w:r>
    </w:p>
  </w:footnote>
  <w:footnote w:id="1">
    <w:p w:rsidR="001246CA" w:rsidRDefault="00C6271C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 xml:space="preserve">pokud </w:t>
      </w:r>
      <w:r>
        <w:t>je smlouva zveřejňována v</w:t>
      </w:r>
      <w:r>
        <w:t xml:space="preserve"> </w:t>
      </w:r>
      <w:r>
        <w:t>Registru smluv dle zák. 340/2015 Sb., počíná doba nájmu běžet nejdříve ode dne zveřejnění</w:t>
      </w:r>
      <w:r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218"/>
    <w:multiLevelType w:val="hybridMultilevel"/>
    <w:tmpl w:val="944A8136"/>
    <w:lvl w:ilvl="0" w:tplc="704CA000">
      <w:start w:val="1"/>
      <w:numFmt w:val="decimal"/>
      <w:pStyle w:val="Nadpis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E98A6">
      <w:start w:val="1"/>
      <w:numFmt w:val="lowerLetter"/>
      <w:lvlText w:val="%2"/>
      <w:lvlJc w:val="left"/>
      <w:pPr>
        <w:ind w:left="46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04518">
      <w:start w:val="1"/>
      <w:numFmt w:val="lowerRoman"/>
      <w:lvlText w:val="%3"/>
      <w:lvlJc w:val="left"/>
      <w:pPr>
        <w:ind w:left="53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082D4">
      <w:start w:val="1"/>
      <w:numFmt w:val="decimal"/>
      <w:lvlText w:val="%4"/>
      <w:lvlJc w:val="left"/>
      <w:pPr>
        <w:ind w:left="61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AAFDC">
      <w:start w:val="1"/>
      <w:numFmt w:val="lowerLetter"/>
      <w:lvlText w:val="%5"/>
      <w:lvlJc w:val="left"/>
      <w:pPr>
        <w:ind w:left="683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68F46">
      <w:start w:val="1"/>
      <w:numFmt w:val="lowerRoman"/>
      <w:lvlText w:val="%6"/>
      <w:lvlJc w:val="left"/>
      <w:pPr>
        <w:ind w:left="75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E2B6E">
      <w:start w:val="1"/>
      <w:numFmt w:val="decimal"/>
      <w:lvlText w:val="%7"/>
      <w:lvlJc w:val="left"/>
      <w:pPr>
        <w:ind w:left="8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44C4E">
      <w:start w:val="1"/>
      <w:numFmt w:val="lowerLetter"/>
      <w:lvlText w:val="%8"/>
      <w:lvlJc w:val="left"/>
      <w:pPr>
        <w:ind w:left="899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C428A">
      <w:start w:val="1"/>
      <w:numFmt w:val="lowerRoman"/>
      <w:lvlText w:val="%9"/>
      <w:lvlJc w:val="left"/>
      <w:pPr>
        <w:ind w:left="97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01008"/>
    <w:multiLevelType w:val="hybridMultilevel"/>
    <w:tmpl w:val="91B40862"/>
    <w:lvl w:ilvl="0" w:tplc="1364505E">
      <w:start w:val="1"/>
      <w:numFmt w:val="lowerLetter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C1A249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7CE62E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3EA744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184EB7C4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87CEE4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68EE56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E02289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86A21E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F40C7"/>
    <w:multiLevelType w:val="multilevel"/>
    <w:tmpl w:val="9E5A5AC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9A7B0D"/>
    <w:multiLevelType w:val="hybridMultilevel"/>
    <w:tmpl w:val="DCB47DB0"/>
    <w:lvl w:ilvl="0" w:tplc="646C09AE">
      <w:start w:val="1"/>
      <w:numFmt w:val="lowerLetter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CC646A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C281F6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60A8C1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6D223A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1FCC84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C5CBB1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30A95D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C5A86"/>
    <w:multiLevelType w:val="hybridMultilevel"/>
    <w:tmpl w:val="08E0DD12"/>
    <w:lvl w:ilvl="0" w:tplc="744A9D78">
      <w:start w:val="1"/>
      <w:numFmt w:val="lowerLetter"/>
      <w:lvlText w:val="%1)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48706C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6F40630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6BE477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1EEAF92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480FDB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1961E0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1DA1A3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DF8240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73AB0"/>
    <w:multiLevelType w:val="multilevel"/>
    <w:tmpl w:val="48240C98"/>
    <w:lvl w:ilvl="0">
      <w:start w:val="4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B18DD"/>
    <w:multiLevelType w:val="multilevel"/>
    <w:tmpl w:val="F9CC90A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C61CC"/>
    <w:multiLevelType w:val="multilevel"/>
    <w:tmpl w:val="5ABC6FC2"/>
    <w:lvl w:ilvl="0">
      <w:start w:val="6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E563A1"/>
    <w:multiLevelType w:val="multilevel"/>
    <w:tmpl w:val="E974ADE2"/>
    <w:lvl w:ilvl="0">
      <w:start w:val="1"/>
      <w:numFmt w:val="decimal"/>
      <w:lvlText w:val="%1."/>
      <w:lvlJc w:val="left"/>
      <w:pPr>
        <w:ind w:left="641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C25F19"/>
    <w:multiLevelType w:val="hybridMultilevel"/>
    <w:tmpl w:val="1A5206E4"/>
    <w:lvl w:ilvl="0" w:tplc="CA9C5284">
      <w:start w:val="1"/>
      <w:numFmt w:val="lowerLetter"/>
      <w:lvlText w:val="%1.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55247B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8CAF49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CCC4CF4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6DED76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1896909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E70ADB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1E8A11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0A02C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CA"/>
    <w:rsid w:val="001246CA"/>
    <w:rsid w:val="00853114"/>
    <w:rsid w:val="00C6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32D4-23E2-4ADB-9FFB-4A8475E0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7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0"/>
      </w:numPr>
      <w:spacing w:after="0"/>
      <w:ind w:left="10" w:right="482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2589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se servisními službami</vt:lpstr>
    </vt:vector>
  </TitlesOfParts>
  <Company>Město Aš</Company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se servisními službami</dc:title>
  <dc:subject/>
  <dc:creator>Jiri Etrych</dc:creator>
  <cp:keywords/>
  <cp:lastModifiedBy>Blanka Vaněčková Rašková</cp:lastModifiedBy>
  <cp:revision>2</cp:revision>
  <dcterms:created xsi:type="dcterms:W3CDTF">2024-04-19T08:31:00Z</dcterms:created>
  <dcterms:modified xsi:type="dcterms:W3CDTF">2024-04-19T08:31:00Z</dcterms:modified>
</cp:coreProperties>
</file>