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left"/>
        <w:tabs>
          <w:tab w:val="clear" w:pos="144"/>
          <w:tab w:val="decimal" w:pos="144"/>
        </w:tabs>
        <w:numPr>
          <w:ilvl w:val="0"/>
          <w:numId w:val="2"/>
        </w:numP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pt;height:11.85pt;z-index:-1000;margin-left:0pt;margin-top:748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right"/>
                    <w:framePr w:hAnchor="text" w:vAnchor="text" w:y="14978" w:w="9080" w:h="237" w:hSpace="0" w:vSpace="0" w:wrap="3"/>
                    <w:rPr>
                      <w:color w:val="#0C0D0C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C0D0C"/>
                      <w:sz w:val="23"/>
                      <w:lang w:val="cs-CZ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2/5</w:t>
                  </w:r>
                </w:p>
              </w:txbxContent>
            </v:textbox>
          </v:shape>
        </w:pict>
      </w: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Vybourání a zazd</w:t>
      </w: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ění stávajících dřevěných dveří v průchodu.</w:t>
      </w:r>
    </w:p>
    <w:p>
      <w:pPr>
        <w:ind w:right="0" w:left="0" w:firstLine="0"/>
        <w:spacing w:before="0" w:after="0" w:line="240" w:lineRule="auto"/>
        <w:jc w:val="left"/>
        <w:tabs>
          <w:tab w:val="clear" w:pos="144"/>
          <w:tab w:val="decimal" w:pos="144"/>
        </w:tabs>
        <w:numPr>
          <w:ilvl w:val="0"/>
          <w:numId w:val="2"/>
        </w:numP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Drobné opravy souvisejících ploch a konstrukcí.</w:t>
      </w:r>
    </w:p>
    <w:p>
      <w:pPr>
        <w:ind w:right="0" w:left="0" w:firstLine="0"/>
        <w:spacing w:before="0" w:after="0" w:line="240" w:lineRule="auto"/>
        <w:jc w:val="left"/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- Odvoz suti a odt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ěžené zeminy na skládku + předpokládané skládkovné.</w:t>
      </w:r>
    </w:p>
    <w:p>
      <w:pPr>
        <w:ind w:right="0" w:left="0" w:firstLine="0"/>
        <w:spacing w:before="0" w:after="0" w:line="240" w:lineRule="auto"/>
        <w:jc w:val="left"/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Sou</w:t>
      </w: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částí není předmětu pinění není:</w:t>
      </w:r>
    </w:p>
    <w:p>
      <w:pPr>
        <w:ind w:right="216" w:left="0" w:firstLine="0"/>
        <w:spacing w:before="0" w:after="0" w:line="240" w:lineRule="auto"/>
        <w:jc w:val="left"/>
        <w:tabs>
          <w:tab w:val="clear" w:pos="144"/>
          <w:tab w:val="decimal" w:pos="144"/>
        </w:tabs>
        <w:numPr>
          <w:ilvl w:val="0"/>
          <w:numId w:val="2"/>
        </w:numPr>
        <w:rPr>
          <w:color w:val="#0C0D0C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úpravy hromosvod</w:t>
      </w:r>
      <w:r>
        <w:rPr>
          <w:color w:val="#0C0D0C"/>
          <w:sz w:val="23"/>
          <w:lang w:val="cs-CZ"/>
          <w:spacing w:val="-3"/>
          <w:w w:val="105"/>
          <w:strike w:val="false"/>
          <w:vertAlign w:val="baseline"/>
          <w:rFonts w:ascii="Times New Roman" w:hAnsi="Times New Roman"/>
        </w:rPr>
        <w:t xml:space="preserve">ů, vnitřních prostor, zateplení tělocvičny, repase dřevěných vchodových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dveří.</w:t>
      </w:r>
    </w:p>
    <w:p>
      <w:pPr>
        <w:ind w:right="0" w:left="0" w:firstLine="648"/>
        <w:spacing w:before="540" w:after="0" w:line="240" w:lineRule="auto"/>
        <w:jc w:val="both"/>
        <w:rPr>
          <w:color w:val="#0C0D0C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Objednatel i zhotovitel jsou srozum</w:t>
      </w:r>
      <w:r>
        <w:rPr>
          <w:color w:val="#0C0D0C"/>
          <w:sz w:val="23"/>
          <w:lang w:val="cs-CZ"/>
          <w:spacing w:val="-4"/>
          <w:w w:val="105"/>
          <w:strike w:val="false"/>
          <w:vertAlign w:val="baseline"/>
          <w:rFonts w:ascii="Times New Roman" w:hAnsi="Times New Roman"/>
        </w:rPr>
        <w:t xml:space="preserve">ěni, že předmět díla tak, jak je vymezen v článku I. </w:t>
      </w:r>
      <w:r>
        <w:rPr>
          <w:color w:val="#0C0D0C"/>
          <w:sz w:val="23"/>
          <w:lang w:val="cs-CZ"/>
          <w:spacing w:val="-5"/>
          <w:w w:val="105"/>
          <w:strike w:val="false"/>
          <w:vertAlign w:val="baseline"/>
          <w:rFonts w:ascii="Times New Roman" w:hAnsi="Times New Roman"/>
        </w:rPr>
        <w:t xml:space="preserve">smlouvy obsahuje pouze práce, které jsou předvídatelné a mezi stranami ujednané na základě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stávajícího projektu projektanta Ing. Václava Vlčka, uvedeného shora .</w:t>
      </w:r>
    </w:p>
    <w:p>
      <w:pPr>
        <w:ind w:right="0" w:left="0" w:firstLine="648"/>
        <w:spacing w:before="288" w:after="0" w:line="240" w:lineRule="auto"/>
        <w:jc w:val="both"/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Ú</w:t>
      </w:r>
      <w:r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častníci dohodli se tak, že změny a vícepráce budou projednány oběma stranami </w:t>
      </w:r>
      <w:r>
        <w:rPr>
          <w:color w:val="#0C0D0C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před zahájením těchto prací (pokud nebyly zahrnuty do rozsahu díla dle tohoto článku smlouvy) a budou řešeny dodatkem k této smlouvě a oceněny rozpočtem v programu RTS </w:t>
      </w: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v cenách jednotlivých položek tak, jak bylo provedeno ocenění známých částí díla v této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smlouvě.</w:t>
      </w:r>
    </w:p>
    <w:p>
      <w:pPr>
        <w:ind w:right="0" w:left="4176" w:firstLine="0"/>
        <w:spacing w:before="396" w:after="0" w:line="194" w:lineRule="auto"/>
        <w:jc w:val="left"/>
        <w:rPr>
          <w:color w:val="#0C0D0C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C0D0C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II.</w:t>
      </w:r>
    </w:p>
    <w:p>
      <w:pPr>
        <w:ind w:right="0" w:left="4032" w:firstLine="0"/>
        <w:spacing w:before="72" w:after="0" w:line="240" w:lineRule="auto"/>
        <w:jc w:val="left"/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Podmínky</w:t>
      </w:r>
    </w:p>
    <w:p>
      <w:pPr>
        <w:ind w:right="0" w:left="0" w:firstLine="648"/>
        <w:spacing w:before="252" w:after="0" w:line="240" w:lineRule="auto"/>
        <w:jc w:val="left"/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Objednatel se zhotovitelem se dohodli tak, že zhotovitel pro objednatele provede dílo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 podmínek:</w:t>
      </w:r>
    </w:p>
    <w:p>
      <w:pPr>
        <w:ind w:right="0" w:left="0" w:firstLine="648"/>
        <w:spacing w:before="288" w:after="0" w:line="240" w:lineRule="auto"/>
        <w:jc w:val="both"/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Objednatel se zavazuje zajistit zhotoviteli na sv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ůj náklad a své nebezpečí přístup ke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staveništi přes náležící pozemky, vyřídit zábor chodníku , případně komunikace, pokud jich </w:t>
      </w: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bude zapotřebí .</w:t>
      </w:r>
    </w:p>
    <w:p>
      <w:pPr>
        <w:ind w:right="0" w:left="0" w:firstLine="720"/>
        <w:spacing w:before="288" w:after="0" w:line="240" w:lineRule="auto"/>
        <w:jc w:val="left"/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Objednatel se zavazuje na sv</w:t>
      </w:r>
      <w:r>
        <w:rPr>
          <w:color w:val="#0C0D0C"/>
          <w:sz w:val="23"/>
          <w:lang w:val="cs-CZ"/>
          <w:spacing w:val="3"/>
          <w:w w:val="105"/>
          <w:strike w:val="false"/>
          <w:vertAlign w:val="baseline"/>
          <w:rFonts w:ascii="Times New Roman" w:hAnsi="Times New Roman"/>
        </w:rPr>
        <w:t xml:space="preserve">ůj náklad zabezpečit pro zhotovitele možnost odběru 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pitné nebo užitkové vody a přívod elektrické energie.</w:t>
      </w:r>
    </w:p>
    <w:p>
      <w:pPr>
        <w:ind w:right="0" w:left="0" w:firstLine="720"/>
        <w:spacing w:before="324" w:after="0" w:line="240" w:lineRule="auto"/>
        <w:jc w:val="left"/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Objednatel zajistí vytý</w:t>
      </w: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čení veškerých inženýrských sítí a jejich zabezpečení po dobu 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realizace stavby a zpětné předání správcům sítí.</w:t>
      </w:r>
    </w:p>
    <w:p>
      <w:pPr>
        <w:ind w:right="0" w:left="720" w:firstLine="0"/>
        <w:spacing w:before="288" w:after="0" w:line="240" w:lineRule="auto"/>
        <w:jc w:val="left"/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Zhotovitel se zavazuje dbát maximální opatrnosti p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ři provádění prací.</w:t>
      </w:r>
    </w:p>
    <w:p>
      <w:pPr>
        <w:ind w:right="0" w:left="0" w:firstLine="720"/>
        <w:spacing w:before="0" w:after="0" w:line="240" w:lineRule="auto"/>
        <w:jc w:val="both"/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Za všechny škody, které vzniknou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činností zhotovitele v důsledku provádění stavby </w:t>
      </w: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třetím osobám, včetně objednatele, odpovídá zhotovitel, který je povinen vzniklou škodu </w:t>
      </w:r>
      <w:r>
        <w:rPr>
          <w:color w:val="#0C0D0C"/>
          <w:sz w:val="23"/>
          <w:lang w:val="cs-CZ"/>
          <w:spacing w:val="-2"/>
          <w:w w:val="105"/>
          <w:strike w:val="false"/>
          <w:vertAlign w:val="baseline"/>
          <w:rFonts w:ascii="Times New Roman" w:hAnsi="Times New Roman"/>
        </w:rPr>
        <w:t xml:space="preserve">odstranit nebo uhradit.</w:t>
      </w:r>
    </w:p>
    <w:p>
      <w:pPr>
        <w:ind w:right="0" w:left="0" w:firstLine="576"/>
        <w:spacing w:before="324" w:after="0" w:line="240" w:lineRule="auto"/>
        <w:jc w:val="both"/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Zhotovitel v piné mí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ře zodpovídá za bezpečnost a ochranu zdraví svých zaměstnanců a </w:t>
      </w:r>
      <w:r>
        <w:rPr>
          <w:color w:val="#0C0D0C"/>
          <w:sz w:val="23"/>
          <w:lang w:val="cs-CZ"/>
          <w:spacing w:val="6"/>
          <w:w w:val="105"/>
          <w:strike w:val="false"/>
          <w:vertAlign w:val="baseline"/>
          <w:rFonts w:ascii="Times New Roman" w:hAnsi="Times New Roman"/>
        </w:rPr>
        <w:t xml:space="preserve">osob, které na staveniště přizval. Zabezpečí jejich vybavení ochrannými pracovními 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pomůckami. Zhotovitel se zavazuje dodržovat hygienické předpisy. Zhotovitel zajistí stavbu </w:t>
      </w:r>
      <w:r>
        <w:rPr>
          <w:color w:val="#0C0D0C"/>
          <w:sz w:val="23"/>
          <w:lang w:val="cs-CZ"/>
          <w:spacing w:val="4"/>
          <w:w w:val="105"/>
          <w:strike w:val="false"/>
          <w:vertAlign w:val="baseline"/>
          <w:rFonts w:ascii="Times New Roman" w:hAnsi="Times New Roman"/>
        </w:rPr>
        <w:t xml:space="preserve">tak, aby nedošlo k ohrožování osob v okolí staveniště, nadměrnému nebo zbytečnému 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znečišťování komunikací, vod a ovzduší.</w:t>
      </w:r>
    </w:p>
    <w:p>
      <w:pPr>
        <w:ind w:right="0" w:left="0" w:firstLine="0"/>
        <w:spacing w:before="612" w:after="0" w:line="240" w:lineRule="auto"/>
        <w:jc w:val="center"/>
        <w:rPr>
          <w:color w:val="#0C0D0C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C0D0C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III.
</w:t>
        <w:br/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Termíny</w:t>
      </w:r>
    </w:p>
    <w:p>
      <w:pPr>
        <w:ind w:right="0" w:left="0" w:firstLine="720"/>
        <w:spacing w:before="288" w:after="0" w:line="240" w:lineRule="auto"/>
        <w:jc w:val="both"/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Zhotovitel se zavazuje zahájit práce na díle dne 20.6.2017. termín dokon</w:t>
      </w:r>
      <w:r>
        <w:rPr>
          <w:color w:val="#0C0D0C"/>
          <w:sz w:val="23"/>
          <w:lang w:val="cs-CZ"/>
          <w:spacing w:val="0"/>
          <w:w w:val="105"/>
          <w:strike w:val="false"/>
          <w:vertAlign w:val="baseline"/>
          <w:rFonts w:ascii="Times New Roman" w:hAnsi="Times New Roman"/>
        </w:rPr>
        <w:t xml:space="preserve">čení díla je </w:t>
      </w:r>
      <w:r>
        <w:rPr>
          <w:color w:val="#0C0D0C"/>
          <w:sz w:val="23"/>
          <w:lang w:val="cs-CZ"/>
          <w:spacing w:val="1"/>
          <w:w w:val="105"/>
          <w:strike w:val="false"/>
          <w:vertAlign w:val="baseline"/>
          <w:rFonts w:ascii="Times New Roman" w:hAnsi="Times New Roman"/>
        </w:rPr>
        <w:t xml:space="preserve">závislý na rozsahu předmětu pinění Termín dokončení 10.9.2017. V případě, že dojde ke </w:t>
      </w:r>
      <w:r>
        <w:rPr>
          <w:color w:val="#0C0D0C"/>
          <w:sz w:val="23"/>
          <w:lang w:val="cs-CZ"/>
          <w:spacing w:val="2"/>
          <w:w w:val="105"/>
          <w:strike w:val="false"/>
          <w:vertAlign w:val="baseline"/>
          <w:rFonts w:ascii="Times New Roman" w:hAnsi="Times New Roman"/>
        </w:rPr>
        <w:t xml:space="preserve">zdržení způsobenému objednatelem, může být termín dokončení díla odložen o příslušný </w:t>
      </w:r>
      <w:r>
        <w:rPr>
          <w:color w:val="#0C0D0C"/>
          <w:sz w:val="23"/>
          <w:lang w:val="cs-CZ"/>
          <w:spacing w:val="-1"/>
          <w:w w:val="105"/>
          <w:strike w:val="false"/>
          <w:vertAlign w:val="baseline"/>
          <w:rFonts w:ascii="Times New Roman" w:hAnsi="Times New Roman"/>
        </w:rPr>
        <w:t xml:space="preserve">počet dní. Změna termínu dokončení bude řešena písemným dodatkem ke smlouvě.</w:t>
      </w:r>
    </w:p>
    <w:sectPr>
      <w:pgSz w:w="11918" w:h="16854" w:orient="portrait"/>
      <w:type w:val="nextPage"/>
      <w:textDirection w:val="lrTb"/>
      <w:pgMar w:bottom="760" w:top="786" w:right="1355" w:left="142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bullet"/>
      <w:lvlText w:val="-"/>
      <w:start w:val="1"/>
      <w:lvlJc w:val="left"/>
      <w:pPr>
        <w:ind w:left="720"/>
        <w:tabs>
          <w:tab w:val="decimal" w:pos="144"/>
        </w:tabs>
      </w:pPr>
      <w:rPr>
        <w:color w:val="#0C0D0C"/>
        <w:sz w:val="23"/>
        <w:lang w:val="cs-CZ"/>
        <w:spacing w:val="1"/>
        <w:w w:val="105"/>
        <w:strike w:val="false"/>
        <w:vertAlign w:val="baseline"/>
        <w:rFonts w:ascii="Symbol" w:hAnsi="Symbol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