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left"/>
        <w:tabs>
          <w:tab w:val="clear" w:pos="144"/>
          <w:tab w:val="decimal" w:pos="144"/>
        </w:tabs>
        <w:numPr>
          <w:ilvl w:val="0"/>
          <w:numId w:val="2"/>
        </w:numPr>
        <w:rPr>
          <w:color w:val="#0C0D0C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54pt;height:11.85pt;z-index:-1000;margin-left:0pt;margin-top:748.9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6" w:lineRule="auto"/>
                    <w:jc w:val="right"/>
                    <w:framePr w:hAnchor="text" w:vAnchor="text" w:y="14978" w:w="9080" w:h="237" w:hSpace="0" w:vSpace="0" w:wrap="3"/>
                    <w:rPr>
                      <w:color w:val="#0C0D0C"/>
                      <w:sz w:val="23"/>
                      <w:lang w:val="cs-CZ"/>
                      <w:spacing w:val="0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C0D0C"/>
                      <w:sz w:val="23"/>
                      <w:lang w:val="cs-CZ"/>
                      <w:spacing w:val="0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2/5</w:t>
                  </w:r>
                </w:p>
              </w:txbxContent>
            </v:textbox>
          </v:shape>
        </w:pict>
      </w:r>
      <w:r>
        <w:rPr>
          <w:color w:val="#0C0D0C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  <w:t xml:space="preserve">Vybourání a zazd</w:t>
      </w:r>
      <w:r>
        <w:rPr>
          <w:color w:val="#0C0D0C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  <w:t xml:space="preserve">ění stávajících dřevěných dveří v průchodu.</w:t>
      </w:r>
    </w:p>
    <w:p>
      <w:pPr>
        <w:ind w:right="0" w:left="0" w:firstLine="0"/>
        <w:spacing w:before="0" w:after="0" w:line="240" w:lineRule="auto"/>
        <w:jc w:val="left"/>
        <w:tabs>
          <w:tab w:val="clear" w:pos="144"/>
          <w:tab w:val="decimal" w:pos="144"/>
        </w:tabs>
        <w:numPr>
          <w:ilvl w:val="0"/>
          <w:numId w:val="2"/>
        </w:numPr>
        <w:rPr>
          <w:color w:val="#0C0D0C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</w:pPr>
      <w:r>
        <w:rPr>
          <w:color w:val="#0C0D0C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  <w:t xml:space="preserve">Drobné opravy souvisejících ploch a konstrukcí.</w:t>
      </w:r>
    </w:p>
    <w:p>
      <w:pPr>
        <w:ind w:right="0" w:left="0" w:firstLine="0"/>
        <w:spacing w:before="0" w:after="0" w:line="240" w:lineRule="auto"/>
        <w:jc w:val="left"/>
        <w:rPr>
          <w:color w:val="#0C0D0C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</w:pPr>
      <w:r>
        <w:rPr>
          <w:color w:val="#0C0D0C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- Odvoz suti a odt</w:t>
      </w:r>
      <w:r>
        <w:rPr>
          <w:color w:val="#0C0D0C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ěžené zeminy na skládku + předpokládané skládkovné.</w:t>
      </w:r>
    </w:p>
    <w:p>
      <w:pPr>
        <w:ind w:right="0" w:left="0" w:firstLine="0"/>
        <w:spacing w:before="0" w:after="0" w:line="240" w:lineRule="auto"/>
        <w:jc w:val="left"/>
        <w:rPr>
          <w:color w:val="#0C0D0C"/>
          <w:sz w:val="23"/>
          <w:lang w:val="cs-CZ"/>
          <w:spacing w:val="-2"/>
          <w:w w:val="105"/>
          <w:strike w:val="false"/>
          <w:vertAlign w:val="baseline"/>
          <w:rFonts w:ascii="Times New Roman" w:hAnsi="Times New Roman"/>
        </w:rPr>
      </w:pPr>
      <w:r>
        <w:rPr>
          <w:color w:val="#0C0D0C"/>
          <w:sz w:val="23"/>
          <w:lang w:val="cs-CZ"/>
          <w:spacing w:val="-2"/>
          <w:w w:val="105"/>
          <w:strike w:val="false"/>
          <w:vertAlign w:val="baseline"/>
          <w:rFonts w:ascii="Times New Roman" w:hAnsi="Times New Roman"/>
        </w:rPr>
        <w:t xml:space="preserve">Sou</w:t>
      </w:r>
      <w:r>
        <w:rPr>
          <w:color w:val="#0C0D0C"/>
          <w:sz w:val="23"/>
          <w:lang w:val="cs-CZ"/>
          <w:spacing w:val="-2"/>
          <w:w w:val="105"/>
          <w:strike w:val="false"/>
          <w:vertAlign w:val="baseline"/>
          <w:rFonts w:ascii="Times New Roman" w:hAnsi="Times New Roman"/>
        </w:rPr>
        <w:t xml:space="preserve">částí není předmětu pinění není:</w:t>
      </w:r>
    </w:p>
    <w:p>
      <w:pPr>
        <w:ind w:right="216" w:left="0" w:firstLine="0"/>
        <w:spacing w:before="0" w:after="0" w:line="240" w:lineRule="auto"/>
        <w:jc w:val="left"/>
        <w:tabs>
          <w:tab w:val="clear" w:pos="144"/>
          <w:tab w:val="decimal" w:pos="144"/>
        </w:tabs>
        <w:numPr>
          <w:ilvl w:val="0"/>
          <w:numId w:val="2"/>
        </w:numPr>
        <w:rPr>
          <w:color w:val="#0C0D0C"/>
          <w:sz w:val="23"/>
          <w:lang w:val="cs-CZ"/>
          <w:spacing w:val="-3"/>
          <w:w w:val="105"/>
          <w:strike w:val="false"/>
          <w:vertAlign w:val="baseline"/>
          <w:rFonts w:ascii="Times New Roman" w:hAnsi="Times New Roman"/>
        </w:rPr>
      </w:pPr>
      <w:r>
        <w:rPr>
          <w:color w:val="#0C0D0C"/>
          <w:sz w:val="23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úpravy hromosvod</w:t>
      </w:r>
      <w:r>
        <w:rPr>
          <w:color w:val="#0C0D0C"/>
          <w:sz w:val="23"/>
          <w:lang w:val="cs-CZ"/>
          <w:spacing w:val="-3"/>
          <w:w w:val="105"/>
          <w:strike w:val="false"/>
          <w:vertAlign w:val="baseline"/>
          <w:rFonts w:ascii="Times New Roman" w:hAnsi="Times New Roman"/>
        </w:rPr>
        <w:t xml:space="preserve">ů, vnitřních prostor, zateplení tělocvičny, repase dřevěných vchodových </w:t>
      </w:r>
      <w:r>
        <w:rPr>
          <w:color w:val="#0C0D0C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dveří.</w:t>
      </w:r>
    </w:p>
    <w:p>
      <w:pPr>
        <w:ind w:right="0" w:left="0" w:firstLine="648"/>
        <w:spacing w:before="540" w:after="0" w:line="240" w:lineRule="auto"/>
        <w:jc w:val="both"/>
        <w:rPr>
          <w:color w:val="#0C0D0C"/>
          <w:sz w:val="23"/>
          <w:lang w:val="cs-CZ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color w:val="#0C0D0C"/>
          <w:sz w:val="23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Objednatel i zhotovitel jsou srozum</w:t>
      </w:r>
      <w:r>
        <w:rPr>
          <w:color w:val="#0C0D0C"/>
          <w:sz w:val="23"/>
          <w:lang w:val="cs-CZ"/>
          <w:spacing w:val="-4"/>
          <w:w w:val="105"/>
          <w:strike w:val="false"/>
          <w:vertAlign w:val="baseline"/>
          <w:rFonts w:ascii="Times New Roman" w:hAnsi="Times New Roman"/>
        </w:rPr>
        <w:t xml:space="preserve">ěni, že předmět díla tak, jak je vymezen v článku I. </w:t>
      </w:r>
      <w:r>
        <w:rPr>
          <w:color w:val="#0C0D0C"/>
          <w:sz w:val="23"/>
          <w:lang w:val="cs-CZ"/>
          <w:spacing w:val="-5"/>
          <w:w w:val="105"/>
          <w:strike w:val="false"/>
          <w:vertAlign w:val="baseline"/>
          <w:rFonts w:ascii="Times New Roman" w:hAnsi="Times New Roman"/>
        </w:rPr>
        <w:t xml:space="preserve">smlouvy obsahuje pouze práce, které jsou předvídatelné a mezi stranami ujednané na základě </w:t>
      </w:r>
      <w:r>
        <w:rPr>
          <w:color w:val="#0C0D0C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stávajícího projektu projektanta Ing. Václava Vlčka, uvedeného shora .</w:t>
      </w:r>
    </w:p>
    <w:p>
      <w:pPr>
        <w:ind w:right="0" w:left="0" w:firstLine="648"/>
        <w:spacing w:before="288" w:after="0" w:line="240" w:lineRule="auto"/>
        <w:jc w:val="both"/>
        <w:rPr>
          <w:color w:val="#0C0D0C"/>
          <w:sz w:val="23"/>
          <w:lang w:val="cs-CZ"/>
          <w:spacing w:val="3"/>
          <w:w w:val="105"/>
          <w:strike w:val="false"/>
          <w:vertAlign w:val="baseline"/>
          <w:rFonts w:ascii="Times New Roman" w:hAnsi="Times New Roman"/>
        </w:rPr>
      </w:pPr>
      <w:r>
        <w:rPr>
          <w:color w:val="#0C0D0C"/>
          <w:sz w:val="23"/>
          <w:lang w:val="cs-CZ"/>
          <w:spacing w:val="3"/>
          <w:w w:val="105"/>
          <w:strike w:val="false"/>
          <w:vertAlign w:val="baseline"/>
          <w:rFonts w:ascii="Times New Roman" w:hAnsi="Times New Roman"/>
        </w:rPr>
        <w:t xml:space="preserve">Ú</w:t>
      </w:r>
      <w:r>
        <w:rPr>
          <w:color w:val="#0C0D0C"/>
          <w:sz w:val="23"/>
          <w:lang w:val="cs-CZ"/>
          <w:spacing w:val="3"/>
          <w:w w:val="105"/>
          <w:strike w:val="false"/>
          <w:vertAlign w:val="baseline"/>
          <w:rFonts w:ascii="Times New Roman" w:hAnsi="Times New Roman"/>
        </w:rPr>
        <w:t xml:space="preserve">častníci dohodli se tak, že změny a vícepráce budou projednány oběma stranami </w:t>
      </w:r>
      <w:r>
        <w:rPr>
          <w:color w:val="#0C0D0C"/>
          <w:sz w:val="23"/>
          <w:lang w:val="cs-CZ"/>
          <w:spacing w:val="4"/>
          <w:w w:val="105"/>
          <w:strike w:val="false"/>
          <w:vertAlign w:val="baseline"/>
          <w:rFonts w:ascii="Times New Roman" w:hAnsi="Times New Roman"/>
        </w:rPr>
        <w:t xml:space="preserve">před zahájením těchto prací (pokud nebyly zahrnuty do rozsahu díla dle tohoto článku smlouvy) a budou řešeny dodatkem k této smlouvě a oceněny rozpočtem v programu RTS </w:t>
      </w:r>
      <w:r>
        <w:rPr>
          <w:color w:val="#0C0D0C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  <w:t xml:space="preserve">v cenách jednotlivých položek tak, jak bylo provedeno ocenění známých částí díla v této </w:t>
      </w:r>
      <w:r>
        <w:rPr>
          <w:color w:val="#0C0D0C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smlouvě.</w:t>
      </w:r>
    </w:p>
    <w:p>
      <w:pPr>
        <w:ind w:right="0" w:left="4176" w:firstLine="0"/>
        <w:spacing w:before="396" w:after="0" w:line="194" w:lineRule="auto"/>
        <w:jc w:val="left"/>
        <w:rPr>
          <w:color w:val="#0C0D0C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C0D0C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II.</w:t>
      </w:r>
    </w:p>
    <w:p>
      <w:pPr>
        <w:ind w:right="0" w:left="4032" w:firstLine="0"/>
        <w:spacing w:before="72" w:after="0" w:line="240" w:lineRule="auto"/>
        <w:jc w:val="left"/>
        <w:rPr>
          <w:color w:val="#0C0D0C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C0D0C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Podmínky</w:t>
      </w:r>
    </w:p>
    <w:p>
      <w:pPr>
        <w:ind w:right="0" w:left="0" w:firstLine="648"/>
        <w:spacing w:before="252" w:after="0" w:line="240" w:lineRule="auto"/>
        <w:jc w:val="left"/>
        <w:rPr>
          <w:color w:val="#0C0D0C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</w:pPr>
      <w:r>
        <w:rPr>
          <w:color w:val="#0C0D0C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  <w:t xml:space="preserve">Objednatel se zhotovitelem se dohodli tak, že zhotovitel pro objednatele provede dílo </w:t>
      </w:r>
      <w:r>
        <w:rPr>
          <w:color w:val="#0C0D0C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za podmínek:</w:t>
      </w:r>
    </w:p>
    <w:p>
      <w:pPr>
        <w:ind w:right="0" w:left="0" w:firstLine="648"/>
        <w:spacing w:before="288" w:after="0" w:line="240" w:lineRule="auto"/>
        <w:jc w:val="both"/>
        <w:rPr>
          <w:color w:val="#0C0D0C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</w:pPr>
      <w:r>
        <w:rPr>
          <w:color w:val="#0C0D0C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Objednatel se zavazuje zajistit zhotoviteli na sv</w:t>
      </w:r>
      <w:r>
        <w:rPr>
          <w:color w:val="#0C0D0C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ůj náklad a své nebezpečí přístup ke </w:t>
      </w:r>
      <w:r>
        <w:rPr>
          <w:color w:val="#0C0D0C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staveništi přes náležící pozemky, vyřídit zábor chodníku , případně komunikace, pokud jich </w:t>
      </w:r>
      <w:r>
        <w:rPr>
          <w:color w:val="#0C0D0C"/>
          <w:sz w:val="23"/>
          <w:lang w:val="cs-CZ"/>
          <w:spacing w:val="-2"/>
          <w:w w:val="105"/>
          <w:strike w:val="false"/>
          <w:vertAlign w:val="baseline"/>
          <w:rFonts w:ascii="Times New Roman" w:hAnsi="Times New Roman"/>
        </w:rPr>
        <w:t xml:space="preserve">bude zapotřebí .</w:t>
      </w:r>
    </w:p>
    <w:p>
      <w:pPr>
        <w:ind w:right="0" w:left="0" w:firstLine="720"/>
        <w:spacing w:before="288" w:after="0" w:line="240" w:lineRule="auto"/>
        <w:jc w:val="left"/>
        <w:rPr>
          <w:color w:val="#0C0D0C"/>
          <w:sz w:val="23"/>
          <w:lang w:val="cs-CZ"/>
          <w:spacing w:val="3"/>
          <w:w w:val="105"/>
          <w:strike w:val="false"/>
          <w:vertAlign w:val="baseline"/>
          <w:rFonts w:ascii="Times New Roman" w:hAnsi="Times New Roman"/>
        </w:rPr>
      </w:pPr>
      <w:r>
        <w:rPr>
          <w:color w:val="#0C0D0C"/>
          <w:sz w:val="23"/>
          <w:lang w:val="cs-CZ"/>
          <w:spacing w:val="3"/>
          <w:w w:val="105"/>
          <w:strike w:val="false"/>
          <w:vertAlign w:val="baseline"/>
          <w:rFonts w:ascii="Times New Roman" w:hAnsi="Times New Roman"/>
        </w:rPr>
        <w:t xml:space="preserve">Objednatel se zavazuje na sv</w:t>
      </w:r>
      <w:r>
        <w:rPr>
          <w:color w:val="#0C0D0C"/>
          <w:sz w:val="23"/>
          <w:lang w:val="cs-CZ"/>
          <w:spacing w:val="3"/>
          <w:w w:val="105"/>
          <w:strike w:val="false"/>
          <w:vertAlign w:val="baseline"/>
          <w:rFonts w:ascii="Times New Roman" w:hAnsi="Times New Roman"/>
        </w:rPr>
        <w:t xml:space="preserve">ůj náklad zabezpečit pro zhotovitele možnost odběru </w:t>
      </w:r>
      <w:r>
        <w:rPr>
          <w:color w:val="#0C0D0C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pitné nebo užitkové vody a přívod elektrické energie.</w:t>
      </w:r>
    </w:p>
    <w:p>
      <w:pPr>
        <w:ind w:right="0" w:left="0" w:firstLine="720"/>
        <w:spacing w:before="324" w:after="0" w:line="240" w:lineRule="auto"/>
        <w:jc w:val="left"/>
        <w:rPr>
          <w:color w:val="#0C0D0C"/>
          <w:sz w:val="23"/>
          <w:lang w:val="cs-CZ"/>
          <w:spacing w:val="-2"/>
          <w:w w:val="105"/>
          <w:strike w:val="false"/>
          <w:vertAlign w:val="baseline"/>
          <w:rFonts w:ascii="Times New Roman" w:hAnsi="Times New Roman"/>
        </w:rPr>
      </w:pPr>
      <w:r>
        <w:rPr>
          <w:color w:val="#0C0D0C"/>
          <w:sz w:val="23"/>
          <w:lang w:val="cs-CZ"/>
          <w:spacing w:val="-2"/>
          <w:w w:val="105"/>
          <w:strike w:val="false"/>
          <w:vertAlign w:val="baseline"/>
          <w:rFonts w:ascii="Times New Roman" w:hAnsi="Times New Roman"/>
        </w:rPr>
        <w:t xml:space="preserve">Objednatel zajistí vytý</w:t>
      </w:r>
      <w:r>
        <w:rPr>
          <w:color w:val="#0C0D0C"/>
          <w:sz w:val="23"/>
          <w:lang w:val="cs-CZ"/>
          <w:spacing w:val="-2"/>
          <w:w w:val="105"/>
          <w:strike w:val="false"/>
          <w:vertAlign w:val="baseline"/>
          <w:rFonts w:ascii="Times New Roman" w:hAnsi="Times New Roman"/>
        </w:rPr>
        <w:t xml:space="preserve">čení veškerých inženýrských sítí a jejich zabezpečení po dobu </w:t>
      </w:r>
      <w:r>
        <w:rPr>
          <w:color w:val="#0C0D0C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realizace stavby a zpětné předání správcům sítí.</w:t>
      </w:r>
    </w:p>
    <w:p>
      <w:pPr>
        <w:ind w:right="0" w:left="720" w:firstLine="0"/>
        <w:spacing w:before="288" w:after="0" w:line="240" w:lineRule="auto"/>
        <w:jc w:val="left"/>
        <w:rPr>
          <w:color w:val="#0C0D0C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</w:pPr>
      <w:r>
        <w:rPr>
          <w:color w:val="#0C0D0C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Zhotovitel se zavazuje dbát maximální opatrnosti p</w:t>
      </w:r>
      <w:r>
        <w:rPr>
          <w:color w:val="#0C0D0C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ři provádění prací.</w:t>
      </w:r>
    </w:p>
    <w:p>
      <w:pPr>
        <w:ind w:right="0" w:left="0" w:firstLine="720"/>
        <w:spacing w:before="0" w:after="0" w:line="240" w:lineRule="auto"/>
        <w:jc w:val="both"/>
        <w:rPr>
          <w:color w:val="#0C0D0C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C0D0C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Za všechny škody, které vzniknou </w:t>
      </w:r>
      <w:r>
        <w:rPr>
          <w:color w:val="#0C0D0C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činností zhotovitele v důsledku provádění stavby </w:t>
      </w:r>
      <w:r>
        <w:rPr>
          <w:color w:val="#0C0D0C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  <w:t xml:space="preserve">třetím osobám, včetně objednatele, odpovídá zhotovitel, který je povinen vzniklou škodu </w:t>
      </w:r>
      <w:r>
        <w:rPr>
          <w:color w:val="#0C0D0C"/>
          <w:sz w:val="23"/>
          <w:lang w:val="cs-CZ"/>
          <w:spacing w:val="-2"/>
          <w:w w:val="105"/>
          <w:strike w:val="false"/>
          <w:vertAlign w:val="baseline"/>
          <w:rFonts w:ascii="Times New Roman" w:hAnsi="Times New Roman"/>
        </w:rPr>
        <w:t xml:space="preserve">odstranit nebo uhradit.</w:t>
      </w:r>
    </w:p>
    <w:p>
      <w:pPr>
        <w:ind w:right="0" w:left="0" w:firstLine="576"/>
        <w:spacing w:before="324" w:after="0" w:line="240" w:lineRule="auto"/>
        <w:jc w:val="both"/>
        <w:rPr>
          <w:color w:val="#0C0D0C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</w:pPr>
      <w:r>
        <w:rPr>
          <w:color w:val="#0C0D0C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Zhotovitel v piné mí</w:t>
      </w:r>
      <w:r>
        <w:rPr>
          <w:color w:val="#0C0D0C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ře zodpovídá za bezpečnost a ochranu zdraví svých zaměstnanců a </w:t>
      </w:r>
      <w:r>
        <w:rPr>
          <w:color w:val="#0C0D0C"/>
          <w:sz w:val="23"/>
          <w:lang w:val="cs-CZ"/>
          <w:spacing w:val="6"/>
          <w:w w:val="105"/>
          <w:strike w:val="false"/>
          <w:vertAlign w:val="baseline"/>
          <w:rFonts w:ascii="Times New Roman" w:hAnsi="Times New Roman"/>
        </w:rPr>
        <w:t xml:space="preserve">osob, které na staveniště přizval. Zabezpečí jejich vybavení ochrannými pracovními </w:t>
      </w:r>
      <w:r>
        <w:rPr>
          <w:color w:val="#0C0D0C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pomůckami. Zhotovitel se zavazuje dodržovat hygienické předpisy. Zhotovitel zajistí stavbu </w:t>
      </w:r>
      <w:r>
        <w:rPr>
          <w:color w:val="#0C0D0C"/>
          <w:sz w:val="23"/>
          <w:lang w:val="cs-CZ"/>
          <w:spacing w:val="4"/>
          <w:w w:val="105"/>
          <w:strike w:val="false"/>
          <w:vertAlign w:val="baseline"/>
          <w:rFonts w:ascii="Times New Roman" w:hAnsi="Times New Roman"/>
        </w:rPr>
        <w:t xml:space="preserve">tak, aby nedošlo k ohrožování osob v okolí staveniště, nadměrnému nebo zbytečnému </w:t>
      </w:r>
      <w:r>
        <w:rPr>
          <w:color w:val="#0C0D0C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znečišťování komunikací, vod a ovzduší.</w:t>
      </w:r>
    </w:p>
    <w:p>
      <w:pPr>
        <w:ind w:right="0" w:left="0" w:firstLine="0"/>
        <w:spacing w:before="612" w:after="0" w:line="240" w:lineRule="auto"/>
        <w:jc w:val="center"/>
        <w:rPr>
          <w:color w:val="#0C0D0C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C0D0C"/>
          <w:sz w:val="24"/>
          <w:lang w:val="cs-CZ"/>
          <w:spacing w:val="0"/>
          <w:w w:val="100"/>
          <w:strike w:val="false"/>
          <w:vertAlign w:val="baseline"/>
          <w:rFonts w:ascii="Times New Roman" w:hAnsi="Times New Roman"/>
        </w:rPr>
        <w:t xml:space="preserve">III.
</w:t>
        <w:br/>
      </w:r>
      <w:r>
        <w:rPr>
          <w:color w:val="#0C0D0C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Termíny</w:t>
      </w:r>
    </w:p>
    <w:p>
      <w:pPr>
        <w:ind w:right="0" w:left="0" w:firstLine="720"/>
        <w:spacing w:before="288" w:after="0" w:line="240" w:lineRule="auto"/>
        <w:jc w:val="both"/>
        <w:rPr>
          <w:color w:val="#0C0D0C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C0D0C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Zhotovitel se zavazuje zahájit práce na díle dne 20.6.2017. termín dokon</w:t>
      </w:r>
      <w:r>
        <w:rPr>
          <w:color w:val="#0C0D0C"/>
          <w:sz w:val="23"/>
          <w:lang w:val="cs-CZ"/>
          <w:spacing w:val="0"/>
          <w:w w:val="105"/>
          <w:strike w:val="false"/>
          <w:vertAlign w:val="baseline"/>
          <w:rFonts w:ascii="Times New Roman" w:hAnsi="Times New Roman"/>
        </w:rPr>
        <w:t xml:space="preserve">čení díla je </w:t>
      </w:r>
      <w:r>
        <w:rPr>
          <w:color w:val="#0C0D0C"/>
          <w:sz w:val="23"/>
          <w:lang w:val="cs-CZ"/>
          <w:spacing w:val="1"/>
          <w:w w:val="105"/>
          <w:strike w:val="false"/>
          <w:vertAlign w:val="baseline"/>
          <w:rFonts w:ascii="Times New Roman" w:hAnsi="Times New Roman"/>
        </w:rPr>
        <w:t xml:space="preserve">závislý na rozsahu předmětu pinění Termín dokončení 10.9.2017. V případě, že dojde ke </w:t>
      </w:r>
      <w:r>
        <w:rPr>
          <w:color w:val="#0C0D0C"/>
          <w:sz w:val="23"/>
          <w:lang w:val="cs-CZ"/>
          <w:spacing w:val="2"/>
          <w:w w:val="105"/>
          <w:strike w:val="false"/>
          <w:vertAlign w:val="baseline"/>
          <w:rFonts w:ascii="Times New Roman" w:hAnsi="Times New Roman"/>
        </w:rPr>
        <w:t xml:space="preserve">zdržení způsobenému objednatelem, může být termín dokončení díla odložen o příslušný </w:t>
      </w:r>
      <w:r>
        <w:rPr>
          <w:color w:val="#0C0D0C"/>
          <w:sz w:val="23"/>
          <w:lang w:val="cs-CZ"/>
          <w:spacing w:val="-1"/>
          <w:w w:val="105"/>
          <w:strike w:val="false"/>
          <w:vertAlign w:val="baseline"/>
          <w:rFonts w:ascii="Times New Roman" w:hAnsi="Times New Roman"/>
        </w:rPr>
        <w:t xml:space="preserve">počet dní. Změna termínu dokončení bude řešena písemným dodatkem ke smlouvě.</w:t>
      </w:r>
    </w:p>
    <w:sectPr>
      <w:pgSz w:w="11918" w:h="16854" w:orient="portrait"/>
      <w:type w:val="nextPage"/>
      <w:textDirection w:val="lrTb"/>
      <w:pgMar w:bottom="760" w:top="786" w:right="1355" w:left="1423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bullet"/>
      <w:lvlText w:val="-"/>
      <w:start w:val="1"/>
      <w:lvlJc w:val="left"/>
      <w:pPr>
        <w:ind w:left="720"/>
        <w:tabs>
          <w:tab w:val="decimal" w:pos="144"/>
        </w:tabs>
      </w:pPr>
      <w:rPr>
        <w:color w:val="#0C0D0C"/>
        <w:sz w:val="23"/>
        <w:lang w:val="cs-CZ"/>
        <w:spacing w:val="1"/>
        <w:w w:val="105"/>
        <w:strike w:val="false"/>
        <w:vertAlign w:val="baseline"/>
        <w:rFonts w:ascii="Symbol" w:hAnsi="Symbol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