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720"/>
        <w:spacing w:before="0" w:after="0" w:line="240" w:lineRule="auto"/>
        <w:jc w:val="both"/>
        <w:rPr>
          <w:color w:val="#000000"/>
          <w:sz w:val="23"/>
          <w:lang w:val="cs-CZ"/>
          <w:spacing w:val="12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pt;height:11.55pt;z-index:-1000;margin-left:0pt;margin-top:749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right"/>
                    <w:framePr w:hAnchor="text" w:vAnchor="text" w:y="14992" w:w="9060" w:h="231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5/5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12"/>
          <w:w w:val="105"/>
          <w:strike w:val="false"/>
          <w:vertAlign w:val="baseline"/>
          <w:rFonts w:ascii="Times New Roman" w:hAnsi="Times New Roman"/>
        </w:rPr>
        <w:t xml:space="preserve">Zhotovitel je oprávn</w:t>
      </w:r>
      <w:r>
        <w:rPr>
          <w:color w:val="#000000"/>
          <w:sz w:val="23"/>
          <w:lang w:val="cs-CZ"/>
          <w:spacing w:val="12"/>
          <w:w w:val="105"/>
          <w:strike w:val="false"/>
          <w:vertAlign w:val="baseline"/>
          <w:rFonts w:ascii="Times New Roman" w:hAnsi="Times New Roman"/>
        </w:rPr>
        <w:t xml:space="preserve">ěn od smlouvy odstoupit, pokud je objednatel v prodlení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s přípravou staveniště delším než 15 dnů a pokud objednatel je v prodlení s placením faktur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delším než 30 dnů.</w:t>
      </w:r>
    </w:p>
    <w:p>
      <w:pPr>
        <w:ind w:right="0" w:left="0" w:firstLine="720"/>
        <w:spacing w:before="324" w:after="0" w:line="240" w:lineRule="auto"/>
        <w:jc w:val="both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řípadě odstoupení od smlouvy je objednatel povinen uhradit zhotoviteli práce, 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které byly provedeny v souladu s touto smlouvou o dílo ve sjednané kvalitě a nebyly dosud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fakturovány, či nejsou pokryty zálohovými platbami.</w:t>
      </w:r>
    </w:p>
    <w:p>
      <w:pPr>
        <w:ind w:right="3744" w:left="3744" w:firstLine="648"/>
        <w:spacing w:before="576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Smluvní pokuty</w:t>
      </w:r>
    </w:p>
    <w:p>
      <w:pPr>
        <w:ind w:right="0" w:left="0" w:firstLine="648"/>
        <w:spacing w:before="288" w:after="0" w:line="240" w:lineRule="auto"/>
        <w:jc w:val="left"/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Zhotovitel se zavazuje uhradit objednateli smluvní pokutu za prodlení s termínem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dokon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čení díla ve výši 0,05% z ceny díla bez DPH za každý kalendářní den prodlení.</w:t>
      </w:r>
    </w:p>
    <w:p>
      <w:pPr>
        <w:ind w:right="0" w:left="0" w:firstLine="648"/>
        <w:spacing w:before="288" w:after="0" w:line="240" w:lineRule="auto"/>
        <w:jc w:val="both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Zhotovitel se zavazuje uhradit objednateli smluvní pokutu v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částce 0,05% z ceny díla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bez DPH za každý kalendářní den prodlení s vyklizením staveniště, stejnou smluvní pokutu </w:t>
      </w:r>
      <w:r>
        <w:rPr>
          <w:color w:val="#000000"/>
          <w:sz w:val="23"/>
          <w:lang w:val="cs-CZ"/>
          <w:spacing w:val="8"/>
          <w:w w:val="105"/>
          <w:strike w:val="false"/>
          <w:vertAlign w:val="baseline"/>
          <w:rFonts w:ascii="Times New Roman" w:hAnsi="Times New Roman"/>
        </w:rPr>
        <w:t xml:space="preserve">zaplatí zhotovitel za každý den prodlení v termínu stanovenému k odstranění vad a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nedodělků.</w:t>
      </w:r>
    </w:p>
    <w:p>
      <w:pPr>
        <w:ind w:right="0" w:left="0" w:firstLine="720"/>
        <w:spacing w:before="360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Objednatel se zavazuje zaplatit zhotoviteli smluvní pokutu za prodlení s termínem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splatnosti jednotlivých faktur ve výši 0,05% z dlužné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částky za každý den prodlení.</w:t>
      </w:r>
    </w:p>
    <w:p>
      <w:pPr>
        <w:ind w:right="3600" w:left="3600" w:firstLine="792"/>
        <w:spacing w:before="576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Obecná ustanovení</w:t>
      </w:r>
    </w:p>
    <w:p>
      <w:pPr>
        <w:ind w:right="36" w:left="0" w:firstLine="0"/>
        <w:spacing w:before="288" w:after="0" w:line="240" w:lineRule="auto"/>
        <w:jc w:val="righ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Tato smlouva je zhotovena ve 2 stejnopisech, z nichž každá ze smluvních stran obdrží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jeden.</w:t>
      </w:r>
    </w:p>
    <w:p>
      <w:pPr>
        <w:ind w:right="0" w:left="0" w:firstLine="720"/>
        <w:spacing w:before="288" w:after="0" w:line="240" w:lineRule="auto"/>
        <w:jc w:val="left"/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Práva a povinnosti mezi ú</w:t>
      </w:r>
      <w:r>
        <w:rPr>
          <w:color w:val="#000000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častníky touto smlouvou výslovně neupravené se řídí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ustanoveními § 2586 - § 2619 Zákona číslo 89/2012 (NOZ).</w:t>
      </w:r>
    </w:p>
    <w:p>
      <w:pPr>
        <w:ind w:right="0" w:left="720" w:firstLine="0"/>
        <w:spacing w:before="324" w:after="0" w:line="240" w:lineRule="auto"/>
        <w:jc w:val="left"/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řílohou č. 1 této smlouvy je položkový rozpočet prací.</w:t>
      </w:r>
    </w:p>
    <w:p>
      <w:pPr>
        <w:ind w:right="0" w:left="0" w:firstLine="648"/>
        <w:spacing w:before="216" w:after="828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Na základ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 své svobodné a vážné vůle, účastníci tuto smlouvu po jejím prostudování jako správnou podepsali.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681"/>
        <w:gridCol w:w="1992"/>
        <w:gridCol w:w="3387"/>
      </w:tblGrid>
      <w:tr>
        <w:trPr>
          <w:trHeight w:val="1779" w:hRule="exact"/>
        </w:trPr>
        <w:tc>
          <w:tcPr>
            <w:gridSpan w:val="1"/>
            <w:tcBorders>
              <w:top w:val="none" w:sz="0" w:color="#000000"/>
              <w:bottom w:val="dashed" w:sz="8" w:color="#000000"/>
              <w:left w:val="none" w:sz="0" w:color="#000000"/>
              <w:right w:val="none" w:sz="0" w:color="#000000"/>
            </w:tcBorders>
            <w:tcW w:w="3681" w:type="auto"/>
            <w:textDirection w:val="lrTb"/>
            <w:vAlign w:val="top"/>
          </w:tcPr>
          <w:p>
            <w:pPr>
              <w:ind w:right="607" w:left="0" w:firstLine="0"/>
              <w:spacing w:before="0" w:after="0" w:line="240" w:lineRule="auto"/>
              <w:jc w:val="right"/>
              <w:tabs>
                <w:tab w:val="right" w:leader="none" w:pos="3074"/>
              </w:tabs>
              <w:rPr>
                <w:color w:val="#000000"/>
                <w:sz w:val="23"/>
                <w:lang w:val="cs-CZ"/>
                <w:spacing w:val="-2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3"/>
                <w:lang w:val="cs-CZ"/>
                <w:spacing w:val="-2"/>
                <w:w w:val="105"/>
                <w:strike w:val="false"/>
                <w:vertAlign w:val="baseline"/>
                <w:rFonts w:ascii="Times New Roman" w:hAnsi="Times New Roman"/>
              </w:rPr>
              <w:t xml:space="preserve">V Klatovech	</w:t>
            </w:r>
            <w:r>
              <w:rPr>
                <w:color w:val="#000000"/>
                <w:sz w:val="23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dne 19.6.2017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73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dashed" w:sz="8" w:color="#000000"/>
              <w:left w:val="none" w:sz="0" w:color="#000000"/>
              <w:right w:val="none" w:sz="0" w:color="#000000"/>
            </w:tcBorders>
            <w:tcW w:w="9060" w:type="auto"/>
            <w:textDirection w:val="lrTb"/>
            <w:vAlign w:val="top"/>
          </w:tcPr>
          <w:p/>
        </w:tc>
      </w:tr>
      <w:tr>
        <w:trPr>
          <w:trHeight w:val="26" w:hRule="exact"/>
        </w:trPr>
        <w:tc>
          <w:tcPr>
            <w:gridSpan w:val="1"/>
            <w:tcBorders>
              <w:top w:val="dashed" w:sz="8" w:color="#000000"/>
              <w:bottom w:val="none" w:sz="0" w:color="#000000"/>
              <w:left w:val="none" w:sz="0" w:color="#000000"/>
              <w:right w:val="none" w:sz="0" w:color="#000000"/>
            </w:tcBorders>
            <w:tcW w:w="3681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673" w:type="auto"/>
            <w:textDirection w:val="lrTb"/>
            <w:vAlign w:val="top"/>
          </w:tcPr>
          <w:p/>
        </w:tc>
        <w:tc>
          <w:tcPr>
            <w:gridSpan w:val="1"/>
            <w:tcBorders>
              <w:top w:val="dashed" w:sz="8" w:color="#000000"/>
              <w:bottom w:val="dashed" w:sz="8" w:color="#000000"/>
              <w:left w:val="none" w:sz="0" w:color="#000000"/>
              <w:right w:val="none" w:sz="0" w:color="#000000"/>
            </w:tcBorders>
            <w:tcW w:w="9060" w:type="auto"/>
            <w:textDirection w:val="lrTb"/>
            <w:vAlign w:val="top"/>
          </w:tcPr>
          <w:p/>
        </w:tc>
      </w:tr>
    </w:tbl>
    <w:p>
      <w:pPr>
        <w:spacing w:before="0" w:after="59" w:line="20" w:lineRule="exact"/>
      </w:pPr>
    </w:p>
    <w:p>
      <w:pPr>
        <w:ind w:right="0" w:left="0" w:firstLine="0"/>
        <w:spacing w:before="0" w:after="0" w:line="302" w:lineRule="auto"/>
        <w:jc w:val="left"/>
        <w:tabs>
          <w:tab w:val="right" w:leader="none" w:pos="7588"/>
        </w:tabs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za ŠIMÁ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ČEK-STAVBY , spol. s r.o.	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Dům dětí a mládeže</w:t>
      </w:r>
    </w:p>
    <w:p>
      <w:pPr>
        <w:ind w:right="0" w:left="288" w:firstLine="0"/>
        <w:spacing w:before="0" w:after="0" w:line="240" w:lineRule="auto"/>
        <w:jc w:val="left"/>
        <w:tabs>
          <w:tab w:val="right" w:leader="none" w:pos="7401"/>
        </w:tabs>
        <w:rPr>
          <w:color w:val="#000000"/>
          <w:sz w:val="23"/>
          <w:lang w:val="cs-CZ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0"/>
          <w:w w:val="105"/>
          <w:strike w:val="false"/>
          <w:vertAlign w:val="baseline"/>
          <w:rFonts w:ascii="Times New Roman" w:hAnsi="Times New Roman"/>
        </w:rPr>
        <w:t xml:space="preserve">Dita Svobodová — jednatel	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Jarmila Javorská</w:t>
      </w:r>
    </w:p>
    <w:sectPr>
      <w:pgSz w:w="11918" w:h="16854" w:orient="portrait"/>
      <w:type w:val="nextPage"/>
      <w:textDirection w:val="lrTb"/>
      <w:pgMar w:bottom="746" w:top="786" w:right="1366" w:left="143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10"/>
      <w:lvlJc w:val="left"/>
      <w:pPr>
        <w:ind w:left="720"/>
        <w:tabs>
          <w:tab w:val="decimal" w:pos="288"/>
        </w:tabs>
      </w:pPr>
      <w:rPr>
        <w:color w:val="#000000"/>
        <w:sz w:val="23"/>
        <w:lang w:val="cs-CZ"/>
        <w:spacing w:val="0"/>
        <w:w w:val="105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