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MC22-R-ORS00015/2024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*MC22X009IRIV*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MC22X009IRIV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23.04.2024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Beran Petr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Zpracování projektu a inženýrské činnosti pro DUSP a pro PDPS - Chodník u Lidlu v ulici Bečovská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DOPRAVNÍ A INŽENÝRSKÉ PROJEKTY s.r.o., zkráceně: DIPRO, spol. s 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Modřanská 1387/11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 4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48592722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zpracování projektu a inženýrské činnosti pro DUSP a pro PDPS - Chodník u Lidlu v ulici Bečovská, dle cenové nabídky ze dne 2.4.2024 a na základě schváleného usnesení RMČ číslo UR-248-12/24 ze schůze rady č. 12/2024 dne 17.4.2024.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30.10.2024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550 671,00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Smolka Petr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