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01FD2545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2C715B">
        <w:rPr>
          <w:b/>
          <w:bCs/>
          <w:sz w:val="28"/>
        </w:rPr>
        <w:t>0</w:t>
      </w:r>
      <w:r w:rsidR="00DD67D0">
        <w:rPr>
          <w:b/>
          <w:bCs/>
          <w:sz w:val="28"/>
        </w:rPr>
        <w:t>1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77777777" w:rsidR="00DD67D0" w:rsidRDefault="000D2BB2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Mgr. Milada Frantíková - </w:t>
      </w:r>
      <w:r w:rsidR="00A75757">
        <w:rPr>
          <w:b/>
          <w:sz w:val="24"/>
        </w:rPr>
        <w:t>S</w:t>
      </w:r>
      <w:r w:rsidR="008E3409">
        <w:rPr>
          <w:b/>
          <w:sz w:val="24"/>
        </w:rPr>
        <w:t>tudio Lodička</w:t>
      </w:r>
      <w:r w:rsidR="00EF11DA">
        <w:rPr>
          <w:b/>
          <w:sz w:val="24"/>
        </w:rPr>
        <w:t>,</w:t>
      </w:r>
      <w:r w:rsidR="00EF11DA" w:rsidRPr="00DD67D0">
        <w:rPr>
          <w:b/>
          <w:sz w:val="24"/>
        </w:rPr>
        <w:t xml:space="preserve">  </w:t>
      </w:r>
    </w:p>
    <w:p w14:paraId="0B63F5F7" w14:textId="51AC5303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48023477 </w:t>
      </w:r>
      <w:r w:rsidRPr="00DD67D0">
        <w:rPr>
          <w:sz w:val="24"/>
        </w:rPr>
        <w:t xml:space="preserve"> </w:t>
      </w:r>
    </w:p>
    <w:p w14:paraId="14DFC9BE" w14:textId="5AF986CF" w:rsidR="00EF11DA" w:rsidRDefault="00A75757" w:rsidP="002C715B">
      <w:pPr>
        <w:spacing w:before="120"/>
        <w:ind w:left="360"/>
        <w:rPr>
          <w:sz w:val="24"/>
        </w:rPr>
      </w:pPr>
      <w:r>
        <w:rPr>
          <w:sz w:val="24"/>
        </w:rPr>
        <w:t>Domašínská 24/3</w:t>
      </w:r>
      <w:r w:rsidR="002C715B">
        <w:rPr>
          <w:sz w:val="24"/>
        </w:rPr>
        <w:t>, Dolní Chabry, 184 00</w:t>
      </w:r>
      <w:r w:rsidR="002C715B" w:rsidRPr="002C715B">
        <w:rPr>
          <w:sz w:val="24"/>
        </w:rPr>
        <w:t xml:space="preserve"> </w:t>
      </w:r>
      <w:r w:rsidR="002C715B">
        <w:rPr>
          <w:sz w:val="24"/>
        </w:rPr>
        <w:t>Praha 8</w:t>
      </w:r>
    </w:p>
    <w:p w14:paraId="684B3CA9" w14:textId="1FDE0805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Mgr. </w:t>
      </w:r>
      <w:r w:rsidR="00A75757">
        <w:rPr>
          <w:sz w:val="24"/>
        </w:rPr>
        <w:t>Miladou Frantíkovou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2FA64244" w:rsidR="008E3409" w:rsidRDefault="007F65A0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ú</w:t>
      </w:r>
      <w:r w:rsidR="008E3409">
        <w:rPr>
          <w:sz w:val="24"/>
        </w:rPr>
        <w:t>terý</w:t>
      </w:r>
      <w:r>
        <w:rPr>
          <w:sz w:val="24"/>
        </w:rPr>
        <w:t xml:space="preserve"> </w:t>
      </w:r>
      <w:r>
        <w:rPr>
          <w:sz w:val="24"/>
        </w:rPr>
        <w:tab/>
      </w:r>
      <w:r w:rsidR="0079375C">
        <w:rPr>
          <w:sz w:val="24"/>
        </w:rPr>
        <w:t>16</w:t>
      </w:r>
      <w:r w:rsidR="0079375C">
        <w:rPr>
          <w:sz w:val="24"/>
          <w:vertAlign w:val="superscript"/>
        </w:rPr>
        <w:t>0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79375C">
        <w:rPr>
          <w:sz w:val="24"/>
        </w:rPr>
        <w:t>8</w:t>
      </w:r>
      <w:r w:rsidR="0079375C">
        <w:rPr>
          <w:sz w:val="24"/>
          <w:vertAlign w:val="superscript"/>
        </w:rPr>
        <w:t>15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>
        <w:rPr>
          <w:sz w:val="24"/>
          <w:szCs w:val="24"/>
        </w:rPr>
        <w:tab/>
      </w:r>
      <w:r w:rsidR="00F14E48" w:rsidRPr="00CC28B7">
        <w:rPr>
          <w:b/>
          <w:sz w:val="24"/>
          <w:u w:val="single"/>
        </w:rPr>
        <w:t xml:space="preserve">tj. </w:t>
      </w:r>
      <w:r w:rsidR="007C6274">
        <w:rPr>
          <w:b/>
          <w:sz w:val="24"/>
          <w:u w:val="single"/>
        </w:rPr>
        <w:t>66</w:t>
      </w:r>
      <w:r w:rsidR="00CC28B7" w:rsidRPr="00CC28B7">
        <w:rPr>
          <w:b/>
          <w:sz w:val="24"/>
          <w:u w:val="single"/>
        </w:rPr>
        <w:t xml:space="preserve"> lekcí (lekce =</w:t>
      </w:r>
      <w:r w:rsidR="00B603AC" w:rsidRPr="00CC28B7">
        <w:rPr>
          <w:b/>
          <w:sz w:val="24"/>
          <w:u w:val="single"/>
        </w:rPr>
        <w:t xml:space="preserve"> </w:t>
      </w:r>
      <w:r w:rsidR="0079375C">
        <w:rPr>
          <w:b/>
          <w:sz w:val="24"/>
          <w:u w:val="single"/>
        </w:rPr>
        <w:t>45 minut</w:t>
      </w:r>
      <w:r w:rsidR="00CC28B7" w:rsidRPr="00CC28B7">
        <w:rPr>
          <w:b/>
          <w:sz w:val="24"/>
          <w:u w:val="single"/>
        </w:rPr>
        <w:t>)</w:t>
      </w:r>
      <w:r w:rsidR="00443073" w:rsidRPr="00CC28B7">
        <w:rPr>
          <w:b/>
          <w:sz w:val="24"/>
          <w:u w:val="single"/>
        </w:rPr>
        <w:t xml:space="preserve"> po </w:t>
      </w:r>
      <w:r w:rsidR="0079375C">
        <w:rPr>
          <w:b/>
          <w:sz w:val="24"/>
          <w:u w:val="single"/>
        </w:rPr>
        <w:t>2 200</w:t>
      </w:r>
      <w:r w:rsidR="00C87726" w:rsidRPr="00CC28B7">
        <w:rPr>
          <w:b/>
          <w:sz w:val="24"/>
          <w:u w:val="single"/>
        </w:rPr>
        <w:t xml:space="preserve"> Kč </w:t>
      </w:r>
      <w:r w:rsidR="00957C6B">
        <w:rPr>
          <w:b/>
          <w:sz w:val="24"/>
          <w:u w:val="single"/>
        </w:rPr>
        <w:t>vč.</w:t>
      </w:r>
      <w:r w:rsidR="00CC28B7" w:rsidRPr="00CC28B7">
        <w:rPr>
          <w:b/>
          <w:sz w:val="24"/>
          <w:u w:val="single"/>
        </w:rPr>
        <w:t> </w:t>
      </w:r>
      <w:r w:rsidR="00C87726" w:rsidRPr="00CC28B7">
        <w:rPr>
          <w:b/>
          <w:sz w:val="24"/>
          <w:u w:val="single"/>
        </w:rPr>
        <w:t>DPH</w:t>
      </w:r>
      <w:r w:rsidR="00CC28B7" w:rsidRPr="00CC28B7">
        <w:rPr>
          <w:b/>
          <w:sz w:val="24"/>
          <w:u w:val="single"/>
        </w:rPr>
        <w:t>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1194CEF8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7C6274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7C6274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07D3C2DD" w14:textId="1C915F0A" w:rsidR="007C6274" w:rsidRDefault="007C6274" w:rsidP="007C6274">
      <w:pPr>
        <w:spacing w:before="120"/>
        <w:jc w:val="both"/>
        <w:rPr>
          <w:sz w:val="24"/>
        </w:rPr>
      </w:pPr>
      <w:r>
        <w:rPr>
          <w:sz w:val="24"/>
        </w:rPr>
        <w:t xml:space="preserve">Celková částka za pronájem činí </w:t>
      </w:r>
      <w:r>
        <w:rPr>
          <w:b/>
          <w:sz w:val="24"/>
          <w:u w:val="single"/>
        </w:rPr>
        <w:t>145 20</w:t>
      </w:r>
      <w:r>
        <w:rPr>
          <w:b/>
          <w:sz w:val="24"/>
          <w:u w:val="single"/>
        </w:rPr>
        <w:t>0</w:t>
      </w:r>
      <w:r w:rsidRPr="00957C6B">
        <w:rPr>
          <w:b/>
          <w:sz w:val="24"/>
          <w:u w:val="single"/>
        </w:rPr>
        <w:t xml:space="preserve"> Kč vč. DPH.</w:t>
      </w:r>
      <w:r>
        <w:rPr>
          <w:sz w:val="24"/>
        </w:rPr>
        <w:t xml:space="preserve"> Platba je rozdělena na dvě části. </w:t>
      </w:r>
    </w:p>
    <w:p w14:paraId="61E74C49" w14:textId="5F7F1D6B" w:rsidR="007C6274" w:rsidRDefault="007C6274" w:rsidP="007C6274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 w:rsidRPr="003E7C15">
        <w:rPr>
          <w:b/>
          <w:sz w:val="24"/>
        </w:rPr>
        <w:t>66 000 Kč vč. DPH</w:t>
      </w:r>
      <w:r>
        <w:rPr>
          <w:sz w:val="24"/>
        </w:rPr>
        <w:t xml:space="preserve"> </w:t>
      </w:r>
      <w:r>
        <w:rPr>
          <w:sz w:val="24"/>
        </w:rPr>
        <w:t>bude uhrazena do konce dubna.</w:t>
      </w:r>
    </w:p>
    <w:p w14:paraId="0166689C" w14:textId="45F2ED74" w:rsidR="007C6274" w:rsidRDefault="007C6274" w:rsidP="007C6274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 w:rsidR="003E7C15">
        <w:rPr>
          <w:b/>
          <w:sz w:val="24"/>
        </w:rPr>
        <w:t>79 200</w:t>
      </w:r>
      <w:r w:rsidRPr="00A01440">
        <w:rPr>
          <w:b/>
          <w:sz w:val="24"/>
        </w:rPr>
        <w:t xml:space="preserve"> Kč</w:t>
      </w:r>
      <w:r>
        <w:rPr>
          <w:sz w:val="24"/>
        </w:rPr>
        <w:t xml:space="preserve"> </w:t>
      </w:r>
      <w:r w:rsidRPr="00EF25F2">
        <w:rPr>
          <w:b/>
          <w:sz w:val="24"/>
        </w:rPr>
        <w:t>vč. DPH</w:t>
      </w:r>
      <w:r>
        <w:rPr>
          <w:sz w:val="24"/>
        </w:rPr>
        <w:t xml:space="preserve"> bude uhrazena do konce června.</w:t>
      </w:r>
    </w:p>
    <w:p w14:paraId="50C7E537" w14:textId="77777777" w:rsidR="007C6274" w:rsidRDefault="007C6274" w:rsidP="007C6274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47C3BDD0" w:rsidR="008C24D3" w:rsidRDefault="008C24D3" w:rsidP="009C0C30">
      <w:pPr>
        <w:spacing w:before="120"/>
        <w:jc w:val="both"/>
        <w:rPr>
          <w:sz w:val="24"/>
        </w:rPr>
      </w:pPr>
      <w:bookmarkStart w:id="0" w:name="_GoBack"/>
      <w:bookmarkEnd w:id="0"/>
      <w:r w:rsidRPr="008C24D3">
        <w:rPr>
          <w:sz w:val="24"/>
        </w:rPr>
        <w:t xml:space="preserve">Pro vyloučení všech pochybností smluvní strany shodně prohlašují, že Pronajímatel fakticky Nájemci i v období ode dne 1. 1.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1.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4C158104" w:rsidR="00EF11DA" w:rsidRPr="0075777E" w:rsidRDefault="007C6274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38CA035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5827A4D3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7C6274">
        <w:rPr>
          <w:sz w:val="24"/>
        </w:rPr>
        <w:t>19. 4</w:t>
      </w:r>
      <w:r>
        <w:rPr>
          <w:sz w:val="24"/>
        </w:rPr>
        <w:t>.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45399" w14:textId="77777777" w:rsidR="00A37030" w:rsidRDefault="00A37030" w:rsidP="007F65A0">
      <w:r>
        <w:separator/>
      </w:r>
    </w:p>
  </w:endnote>
  <w:endnote w:type="continuationSeparator" w:id="0">
    <w:p w14:paraId="18A19F42" w14:textId="77777777" w:rsidR="00A37030" w:rsidRDefault="00A37030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72AD9619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C15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F6362" w14:textId="77777777" w:rsidR="00A37030" w:rsidRDefault="00A37030" w:rsidP="007F65A0">
      <w:r>
        <w:separator/>
      </w:r>
    </w:p>
  </w:footnote>
  <w:footnote w:type="continuationSeparator" w:id="0">
    <w:p w14:paraId="3F53B7EE" w14:textId="77777777" w:rsidR="00A37030" w:rsidRDefault="00A37030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304B08"/>
    <w:rsid w:val="00337C61"/>
    <w:rsid w:val="00392F75"/>
    <w:rsid w:val="003C24CE"/>
    <w:rsid w:val="003E7C15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515BCA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502A5"/>
    <w:rsid w:val="0075777E"/>
    <w:rsid w:val="0079375C"/>
    <w:rsid w:val="007C6274"/>
    <w:rsid w:val="007D3B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37030"/>
    <w:rsid w:val="00A533EC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E5FD6"/>
    <w:rsid w:val="00CF4BD5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4</cp:revision>
  <cp:lastPrinted>2016-01-26T08:32:00Z</cp:lastPrinted>
  <dcterms:created xsi:type="dcterms:W3CDTF">2024-03-28T09:40:00Z</dcterms:created>
  <dcterms:modified xsi:type="dcterms:W3CDTF">2024-04-19T07:17:00Z</dcterms:modified>
</cp:coreProperties>
</file>