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Pr="00DC2BB3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  <w:sz w:val="12"/>
          <w:szCs w:val="12"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Pr="00DC2BB3" w:rsidRDefault="00C87AA5" w:rsidP="005409C8">
      <w:pPr>
        <w:jc w:val="both"/>
        <w:rPr>
          <w:rFonts w:ascii="Calibri" w:hAnsi="Calibri" w:cs="Calibri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8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4057FDE5" w:rsidR="00733993" w:rsidRPr="00B21306" w:rsidRDefault="0041754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453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68C53BEC" w14:textId="068C439A" w:rsidR="00355609" w:rsidRPr="005357FF" w:rsidRDefault="005357FF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>Petr Motyka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1D5A443C" w:rsidR="002B618A" w:rsidRPr="005357FF" w:rsidRDefault="005357FF" w:rsidP="005357FF">
            <w:pPr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 xml:space="preserve">   I. P. Pavlova 62</w:t>
            </w:r>
            <w:r>
              <w:rPr>
                <w:rFonts w:asciiTheme="minorHAnsi" w:hAnsiTheme="minorHAnsi" w:cstheme="minorHAnsi"/>
              </w:rPr>
              <w:t>, 779 00  Olomouc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4B385312" w:rsidR="002B618A" w:rsidRPr="005357FF" w:rsidRDefault="005357FF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88231771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028B32F" w:rsidR="002B618A" w:rsidRPr="005357FF" w:rsidRDefault="00143BCB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>neplátce DPH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20D12634" w:rsidR="007A133F" w:rsidRPr="005357FF" w:rsidRDefault="0041754A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1307A6D7" w14:textId="0E37E630" w:rsidR="00B7679E" w:rsidRDefault="00261DFB" w:rsidP="00241F93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Calibri"/>
          <w:snapToGrid w:val="0"/>
        </w:rPr>
      </w:pPr>
      <w:r w:rsidRPr="00B969C1">
        <w:rPr>
          <w:rFonts w:asciiTheme="minorHAnsi" w:hAnsiTheme="minorHAnsi" w:cs="Calibri"/>
        </w:rPr>
        <w:t xml:space="preserve">Na základě této smlouvy se Zhotovitel zavazuje provést osobně na svůj náklad a nebezpečí </w:t>
      </w:r>
      <w:r w:rsidR="005357FF">
        <w:rPr>
          <w:rFonts w:asciiTheme="minorHAnsi" w:hAnsiTheme="minorHAnsi" w:cs="Arial"/>
        </w:rPr>
        <w:t>výměnu podlahov</w:t>
      </w:r>
      <w:r w:rsidR="00EB4062">
        <w:rPr>
          <w:rFonts w:asciiTheme="minorHAnsi" w:hAnsiTheme="minorHAnsi" w:cs="Arial"/>
        </w:rPr>
        <w:t>ých</w:t>
      </w:r>
      <w:r w:rsidR="005357FF">
        <w:rPr>
          <w:rFonts w:asciiTheme="minorHAnsi" w:hAnsiTheme="minorHAnsi" w:cs="Arial"/>
        </w:rPr>
        <w:t xml:space="preserve"> krytin</w:t>
      </w:r>
      <w:r w:rsidR="00EB4062">
        <w:rPr>
          <w:rFonts w:asciiTheme="minorHAnsi" w:hAnsiTheme="minorHAnsi" w:cs="Arial"/>
        </w:rPr>
        <w:t xml:space="preserve"> v kuchyňkách, místnosti za kuchyňkou a úklidových místnostech domova mládeže</w:t>
      </w:r>
      <w:r w:rsidR="005357FF">
        <w:rPr>
          <w:rFonts w:asciiTheme="minorHAnsi" w:hAnsiTheme="minorHAnsi" w:cs="Arial"/>
        </w:rPr>
        <w:t xml:space="preserve">. </w:t>
      </w:r>
      <w:r w:rsidR="004B6B05" w:rsidRPr="00B969C1">
        <w:rPr>
          <w:rFonts w:asciiTheme="minorHAnsi" w:hAnsiTheme="minorHAnsi" w:cs="Arial"/>
        </w:rPr>
        <w:t xml:space="preserve"> </w:t>
      </w:r>
      <w:r w:rsidR="00241F93">
        <w:rPr>
          <w:rFonts w:asciiTheme="minorHAnsi" w:hAnsiTheme="minorHAnsi" w:cs="Arial"/>
        </w:rPr>
        <w:t>Rozsah díla a specifikace prací jsou stanoveny v cenové nabídce Zhotovitele, která je uvedena v Příloze č. 1 této smlouvy.</w:t>
      </w:r>
    </w:p>
    <w:p w14:paraId="27985455" w14:textId="73796942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</w:t>
      </w:r>
      <w:r w:rsidR="005357FF">
        <w:rPr>
          <w:rFonts w:asciiTheme="minorHAnsi" w:hAnsiTheme="minorHAnsi" w:cs="Arial"/>
        </w:rPr>
        <w:t xml:space="preserve">dodávku a </w:t>
      </w:r>
      <w:r w:rsidRPr="00724346">
        <w:rPr>
          <w:rFonts w:asciiTheme="minorHAnsi" w:hAnsiTheme="minorHAnsi" w:cs="Arial"/>
        </w:rPr>
        <w:t>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</w:rPr>
        <w:t xml:space="preserve">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76396ED3" w14:textId="77B2135D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D85DF1">
        <w:rPr>
          <w:rFonts w:asciiTheme="minorHAnsi" w:hAnsiTheme="minorHAnsi" w:cs="Calibri"/>
        </w:rPr>
        <w:t>domova mládeže</w:t>
      </w:r>
      <w:r w:rsidR="00875ED0">
        <w:rPr>
          <w:rFonts w:asciiTheme="minorHAnsi" w:hAnsiTheme="minorHAnsi" w:cs="Calibri"/>
        </w:rPr>
        <w:t xml:space="preserve"> </w:t>
      </w:r>
      <w:r w:rsidR="00D85DF1">
        <w:rPr>
          <w:rFonts w:asciiTheme="minorHAnsi" w:hAnsiTheme="minorHAnsi" w:cs="Calibri"/>
        </w:rPr>
        <w:t xml:space="preserve">U Sportovní haly 41/1, Olomouc. </w:t>
      </w:r>
    </w:p>
    <w:p w14:paraId="145D9BE7" w14:textId="622F65A5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125F62EB" w:rsidR="00203C6E" w:rsidRPr="000A7AC5" w:rsidRDefault="005815A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0A7AC5">
        <w:rPr>
          <w:rFonts w:ascii="Calibri" w:hAnsi="Calibri" w:cs="Calibri"/>
          <w:snapToGrid w:val="0"/>
        </w:rPr>
        <w:t>D</w:t>
      </w:r>
      <w:r w:rsidR="005A41A6" w:rsidRPr="000A7AC5">
        <w:rPr>
          <w:rFonts w:ascii="Calibri" w:hAnsi="Calibri" w:cs="Calibri"/>
          <w:snapToGrid w:val="0"/>
        </w:rPr>
        <w:t>íl</w:t>
      </w:r>
      <w:r w:rsidRPr="000A7AC5">
        <w:rPr>
          <w:rFonts w:ascii="Calibri" w:hAnsi="Calibri" w:cs="Calibri"/>
          <w:snapToGrid w:val="0"/>
        </w:rPr>
        <w:t>o</w:t>
      </w:r>
      <w:r w:rsidR="005A41A6" w:rsidRPr="000A7AC5">
        <w:rPr>
          <w:rFonts w:ascii="Calibri" w:hAnsi="Calibri" w:cs="Calibri"/>
          <w:snapToGrid w:val="0"/>
        </w:rPr>
        <w:t xml:space="preserve"> </w:t>
      </w:r>
      <w:r w:rsidR="00203C6E" w:rsidRPr="000A7AC5">
        <w:rPr>
          <w:rFonts w:ascii="Calibri" w:hAnsi="Calibri" w:cs="Calibri"/>
          <w:snapToGrid w:val="0"/>
        </w:rPr>
        <w:t xml:space="preserve">bude </w:t>
      </w:r>
      <w:r w:rsidRPr="000A7AC5">
        <w:rPr>
          <w:rFonts w:ascii="Calibri" w:hAnsi="Calibri" w:cs="Calibri"/>
          <w:snapToGrid w:val="0"/>
        </w:rPr>
        <w:t>Zhotovitelem</w:t>
      </w:r>
      <w:r w:rsidR="00E16C80" w:rsidRPr="000A7AC5">
        <w:rPr>
          <w:rFonts w:ascii="Calibri" w:hAnsi="Calibri" w:cs="Calibri"/>
          <w:snapToGrid w:val="0"/>
        </w:rPr>
        <w:t xml:space="preserve"> předá</w:t>
      </w:r>
      <w:r w:rsidR="000A7AC5" w:rsidRPr="000A7AC5">
        <w:rPr>
          <w:rFonts w:ascii="Calibri" w:hAnsi="Calibri" w:cs="Calibri"/>
          <w:snapToGrid w:val="0"/>
        </w:rPr>
        <w:t>váno ve třech etapách v závislosti na dokončení jednotlivých etap rekonstrukce elektroinstalace v budově. V</w:t>
      </w:r>
      <w:r w:rsidR="005357FF" w:rsidRPr="000A7AC5">
        <w:rPr>
          <w:rFonts w:ascii="Calibri" w:hAnsi="Calibri" w:cs="Calibri"/>
          <w:snapToGrid w:val="0"/>
        </w:rPr>
        <w:t>ýměna podlahov</w:t>
      </w:r>
      <w:r w:rsidR="000A7AC5" w:rsidRPr="000A7AC5">
        <w:rPr>
          <w:rFonts w:ascii="Calibri" w:hAnsi="Calibri" w:cs="Calibri"/>
          <w:snapToGrid w:val="0"/>
        </w:rPr>
        <w:t>ých</w:t>
      </w:r>
      <w:r w:rsidR="005357FF" w:rsidRPr="000A7AC5">
        <w:rPr>
          <w:rFonts w:ascii="Calibri" w:hAnsi="Calibri" w:cs="Calibri"/>
          <w:snapToGrid w:val="0"/>
        </w:rPr>
        <w:t xml:space="preserve"> krytin bude</w:t>
      </w:r>
      <w:r w:rsidR="00E116C6" w:rsidRPr="000A7AC5">
        <w:rPr>
          <w:rFonts w:ascii="Calibri" w:hAnsi="Calibri" w:cs="Calibri"/>
          <w:snapToGrid w:val="0"/>
        </w:rPr>
        <w:t xml:space="preserve"> provedena po</w:t>
      </w:r>
      <w:r w:rsidR="000A7AC5" w:rsidRPr="000A7AC5">
        <w:rPr>
          <w:rFonts w:ascii="Calibri" w:hAnsi="Calibri" w:cs="Calibri"/>
          <w:snapToGrid w:val="0"/>
        </w:rPr>
        <w:t> </w:t>
      </w:r>
      <w:r w:rsidR="00E116C6" w:rsidRPr="000A7AC5">
        <w:rPr>
          <w:rFonts w:ascii="Calibri" w:hAnsi="Calibri" w:cs="Calibri"/>
          <w:snapToGrid w:val="0"/>
        </w:rPr>
        <w:t>dohodě Zhotovitele s Objednatele</w:t>
      </w:r>
      <w:r w:rsidRPr="000A7AC5">
        <w:rPr>
          <w:rFonts w:ascii="Calibri" w:hAnsi="Calibri" w:cs="Calibri"/>
          <w:snapToGrid w:val="0"/>
        </w:rPr>
        <w:t>m</w:t>
      </w:r>
      <w:r w:rsidR="00E116C6" w:rsidRPr="000A7AC5">
        <w:rPr>
          <w:rFonts w:ascii="Calibri" w:hAnsi="Calibri" w:cs="Calibri"/>
          <w:snapToGrid w:val="0"/>
        </w:rPr>
        <w:t xml:space="preserve"> tak, aby </w:t>
      </w:r>
      <w:r w:rsidR="008879BF" w:rsidRPr="000A7AC5">
        <w:rPr>
          <w:rFonts w:ascii="Calibri" w:hAnsi="Calibri" w:cs="Calibri"/>
          <w:snapToGrid w:val="0"/>
        </w:rPr>
        <w:t xml:space="preserve">navazovala na další práce </w:t>
      </w:r>
      <w:r w:rsidR="000A7AC5" w:rsidRPr="000A7AC5">
        <w:rPr>
          <w:rFonts w:ascii="Calibri" w:hAnsi="Calibri" w:cs="Calibri"/>
          <w:snapToGrid w:val="0"/>
        </w:rPr>
        <w:t>v budově.</w:t>
      </w:r>
      <w:r w:rsidR="00E116C6" w:rsidRPr="000A7AC5">
        <w:rPr>
          <w:rFonts w:ascii="Calibri" w:hAnsi="Calibri" w:cs="Calibri"/>
          <w:snapToGrid w:val="0"/>
        </w:rPr>
        <w:t xml:space="preserve"> </w:t>
      </w:r>
      <w:r w:rsidR="000A7AC5">
        <w:rPr>
          <w:rFonts w:ascii="Calibri" w:hAnsi="Calibri" w:cs="Calibri"/>
          <w:snapToGrid w:val="0"/>
        </w:rPr>
        <w:t>První etapa bude zahrnovat místnosti 2NP a 3NP</w:t>
      </w:r>
      <w:r w:rsidR="00416A94">
        <w:rPr>
          <w:rFonts w:ascii="Calibri" w:hAnsi="Calibri" w:cs="Calibri"/>
          <w:snapToGrid w:val="0"/>
        </w:rPr>
        <w:t xml:space="preserve"> a úklidovou místnost 1NP</w:t>
      </w:r>
      <w:r w:rsidR="000A7AC5">
        <w:rPr>
          <w:rFonts w:ascii="Calibri" w:hAnsi="Calibri" w:cs="Calibri"/>
          <w:snapToGrid w:val="0"/>
        </w:rPr>
        <w:t xml:space="preserve">, druhá etapa místnosti 4NP a 5NP a třetí etapa místnosti 6NP. </w:t>
      </w:r>
      <w:r w:rsidR="000A7AC5" w:rsidRPr="000A7AC5">
        <w:rPr>
          <w:rFonts w:ascii="Calibri" w:hAnsi="Calibri" w:cs="Calibri"/>
          <w:snapToGrid w:val="0"/>
        </w:rPr>
        <w:t xml:space="preserve">Celkové dílo bude dokončeno nejpozději do 15. 11. 2024. </w:t>
      </w:r>
    </w:p>
    <w:p w14:paraId="4E72EAF3" w14:textId="5C7F26ED" w:rsidR="00C87AA5" w:rsidRPr="00E16C80" w:rsidRDefault="00416A94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Zhotovitel předá každou etapu</w:t>
      </w:r>
      <w:r w:rsidR="000A7AC5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>
        <w:rPr>
          <w:rFonts w:ascii="Calibri" w:hAnsi="Calibri" w:cs="Calibri"/>
          <w:snapToGrid w:val="0"/>
        </w:rPr>
        <w:t>samostatně</w:t>
      </w:r>
      <w:r w:rsidR="00736E15"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Zhotovitel se zavazuje vyzvat Objednatele k předání </w:t>
      </w:r>
      <w:r>
        <w:rPr>
          <w:rFonts w:ascii="Calibri" w:hAnsi="Calibri" w:cs="Calibri"/>
          <w:snapToGrid w:val="0"/>
        </w:rPr>
        <w:t xml:space="preserve">etapy </w:t>
      </w:r>
      <w:r w:rsidR="0055339A" w:rsidRPr="00E16C80">
        <w:rPr>
          <w:rFonts w:ascii="Calibri" w:hAnsi="Calibri" w:cs="Calibri"/>
          <w:snapToGrid w:val="0"/>
        </w:rPr>
        <w:t>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</w:t>
      </w:r>
      <w:r>
        <w:rPr>
          <w:rFonts w:ascii="Calibri" w:hAnsi="Calibri" w:cs="Calibri"/>
          <w:snapToGrid w:val="0"/>
        </w:rPr>
        <w:t xml:space="preserve">etapy </w:t>
      </w:r>
      <w:r w:rsidR="00A43C22" w:rsidRPr="00E16C80">
        <w:rPr>
          <w:rFonts w:ascii="Calibri" w:hAnsi="Calibri" w:cs="Calibri"/>
          <w:snapToGrid w:val="0"/>
        </w:rPr>
        <w:t xml:space="preserve">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49E63FEB" w:rsidR="00C87AA5" w:rsidRPr="00072686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16A94">
        <w:rPr>
          <w:rFonts w:asciiTheme="minorHAnsi" w:hAnsiTheme="minorHAnsi"/>
          <w:b w:val="0"/>
          <w:sz w:val="24"/>
          <w:szCs w:val="24"/>
        </w:rPr>
        <w:t xml:space="preserve">Smluvní strany sjednávají </w:t>
      </w:r>
      <w:r w:rsidR="00416A94" w:rsidRPr="00416A94">
        <w:rPr>
          <w:rFonts w:asciiTheme="minorHAnsi" w:hAnsiTheme="minorHAnsi"/>
          <w:b w:val="0"/>
          <w:sz w:val="24"/>
          <w:szCs w:val="24"/>
        </w:rPr>
        <w:t xml:space="preserve">celkovou </w:t>
      </w:r>
      <w:r w:rsidRPr="00416A94">
        <w:rPr>
          <w:rFonts w:asciiTheme="minorHAnsi" w:hAnsiTheme="minorHAnsi"/>
          <w:b w:val="0"/>
          <w:sz w:val="24"/>
          <w:szCs w:val="24"/>
        </w:rPr>
        <w:t>cenu za provedení díla dle této smlouvy ve výši</w:t>
      </w:r>
      <w:r w:rsidR="00416A94" w:rsidRPr="00416A94">
        <w:rPr>
          <w:rFonts w:asciiTheme="minorHAnsi" w:hAnsiTheme="minorHAnsi"/>
          <w:b w:val="0"/>
          <w:sz w:val="24"/>
          <w:szCs w:val="24"/>
        </w:rPr>
        <w:t xml:space="preserve"> 135 378 Kč.</w:t>
      </w:r>
    </w:p>
    <w:p w14:paraId="4FFF0B5C" w14:textId="4CF568F0" w:rsidR="00072686" w:rsidRDefault="00072686" w:rsidP="00072686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>Celková cena bude hrazena po předání jednotlivých etap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686" w14:paraId="54EC0855" w14:textId="77777777" w:rsidTr="00072686">
        <w:tc>
          <w:tcPr>
            <w:tcW w:w="4531" w:type="dxa"/>
          </w:tcPr>
          <w:p w14:paraId="2090C451" w14:textId="6AAAB33B" w:rsidR="00072686" w:rsidRDefault="00231F72" w:rsidP="00072686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- po předání první etapy </w:t>
            </w:r>
          </w:p>
        </w:tc>
        <w:tc>
          <w:tcPr>
            <w:tcW w:w="4531" w:type="dxa"/>
          </w:tcPr>
          <w:p w14:paraId="6CC822CD" w14:textId="6D4E3C2D" w:rsidR="00072686" w:rsidRDefault="00231F72" w:rsidP="00231F7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57 384 Kč</w:t>
            </w:r>
          </w:p>
        </w:tc>
      </w:tr>
      <w:tr w:rsidR="00072686" w14:paraId="151AEEE4" w14:textId="77777777" w:rsidTr="00072686">
        <w:tc>
          <w:tcPr>
            <w:tcW w:w="4531" w:type="dxa"/>
          </w:tcPr>
          <w:p w14:paraId="7E089A70" w14:textId="428CF4A2" w:rsidR="00072686" w:rsidRDefault="00231F72" w:rsidP="00231F7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- po předání druhé etapy</w:t>
            </w:r>
          </w:p>
        </w:tc>
        <w:tc>
          <w:tcPr>
            <w:tcW w:w="4531" w:type="dxa"/>
          </w:tcPr>
          <w:p w14:paraId="2B19BAAB" w14:textId="4C8EB0BD" w:rsidR="00072686" w:rsidRDefault="00231F72" w:rsidP="00231F7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51 996 Kč</w:t>
            </w:r>
          </w:p>
        </w:tc>
      </w:tr>
      <w:tr w:rsidR="00072686" w14:paraId="452518BB" w14:textId="77777777" w:rsidTr="00072686">
        <w:tc>
          <w:tcPr>
            <w:tcW w:w="4531" w:type="dxa"/>
          </w:tcPr>
          <w:p w14:paraId="454B6038" w14:textId="1E5A5507" w:rsidR="00072686" w:rsidRDefault="00231F72" w:rsidP="00072686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- po předání třetí etapy</w:t>
            </w:r>
          </w:p>
        </w:tc>
        <w:tc>
          <w:tcPr>
            <w:tcW w:w="4531" w:type="dxa"/>
          </w:tcPr>
          <w:p w14:paraId="77B71171" w14:textId="18018849" w:rsidR="00072686" w:rsidRDefault="00231F72" w:rsidP="00231F7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25 998 Kč</w:t>
            </w:r>
          </w:p>
        </w:tc>
      </w:tr>
    </w:tbl>
    <w:p w14:paraId="22A569B7" w14:textId="36310FD3" w:rsidR="006160CD" w:rsidRDefault="006160CD" w:rsidP="00231F72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5F5221DB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00337810" w14:textId="7883AF11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4F335A94" w:rsidR="00D2577C" w:rsidRPr="00231F72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231F72">
        <w:rPr>
          <w:rStyle w:val="standardtext"/>
          <w:rFonts w:cs="Calibri"/>
          <w:sz w:val="24"/>
          <w:szCs w:val="24"/>
        </w:rPr>
        <w:t xml:space="preserve">Fakturace bude provedena do 14-ti dnů po předání </w:t>
      </w:r>
      <w:r w:rsidR="00231F72" w:rsidRPr="00231F72">
        <w:rPr>
          <w:rStyle w:val="standardtext"/>
          <w:rFonts w:cs="Calibri"/>
          <w:sz w:val="24"/>
          <w:szCs w:val="24"/>
        </w:rPr>
        <w:t>jednotlivých etap</w:t>
      </w:r>
      <w:r w:rsidRPr="00231F72">
        <w:rPr>
          <w:rStyle w:val="standardtext"/>
          <w:rFonts w:cs="Calibri"/>
          <w:sz w:val="24"/>
          <w:szCs w:val="24"/>
        </w:rPr>
        <w:t xml:space="preserve"> Objednateli.</w:t>
      </w:r>
    </w:p>
    <w:p w14:paraId="1B1BA1C6" w14:textId="1A7D3A4A" w:rsidR="00D2577C" w:rsidRPr="00231F72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31F72">
        <w:rPr>
          <w:rFonts w:cs="Arial"/>
          <w:sz w:val="24"/>
          <w:szCs w:val="24"/>
        </w:rPr>
        <w:t xml:space="preserve">Na faktuře bude uveden </w:t>
      </w:r>
      <w:r w:rsidRPr="00231F72">
        <w:rPr>
          <w:rFonts w:asciiTheme="minorHAnsi" w:hAnsiTheme="minorHAnsi" w:cs="Arial"/>
          <w:sz w:val="24"/>
          <w:szCs w:val="24"/>
        </w:rPr>
        <w:t>název Objednatele:</w:t>
      </w:r>
      <w:r w:rsidRPr="00231F72">
        <w:rPr>
          <w:rFonts w:cs="Arial"/>
          <w:sz w:val="24"/>
          <w:szCs w:val="24"/>
        </w:rPr>
        <w:t xml:space="preserve"> Střední zdravotnická škola a Vyšší odborná škola zdravotnická Emanuela Pöttinga a Jazyková škola s právem státní jazykové zkoušky Olomouc, Pöttingova </w:t>
      </w:r>
      <w:r w:rsidR="002476B8" w:rsidRPr="00231F72">
        <w:rPr>
          <w:rFonts w:cs="Arial"/>
          <w:sz w:val="24"/>
          <w:szCs w:val="24"/>
        </w:rPr>
        <w:t>624/</w:t>
      </w:r>
      <w:r w:rsidRPr="00231F72">
        <w:rPr>
          <w:rFonts w:cs="Arial"/>
          <w:sz w:val="24"/>
          <w:szCs w:val="24"/>
        </w:rPr>
        <w:t>2, 77</w:t>
      </w:r>
      <w:r w:rsidR="003438A2" w:rsidRPr="00231F72">
        <w:rPr>
          <w:rFonts w:cs="Arial"/>
          <w:sz w:val="24"/>
          <w:szCs w:val="24"/>
        </w:rPr>
        <w:t>9</w:t>
      </w:r>
      <w:r w:rsidRPr="00231F72">
        <w:rPr>
          <w:rFonts w:cs="Arial"/>
          <w:sz w:val="24"/>
          <w:szCs w:val="24"/>
        </w:rPr>
        <w:t xml:space="preserve"> 00 Olomouc </w:t>
      </w:r>
      <w:r w:rsidRPr="00231F72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231F72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231F7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231F72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231F72">
        <w:rPr>
          <w:rFonts w:ascii="Calibri" w:hAnsi="Calibri" w:cs="Calibri"/>
        </w:rPr>
        <w:t>Zhotovitel</w:t>
      </w:r>
      <w:r w:rsidRPr="00231F72">
        <w:rPr>
          <w:rStyle w:val="standardtext"/>
          <w:rFonts w:ascii="Calibri" w:hAnsi="Calibri" w:cs="Calibri"/>
        </w:rPr>
        <w:t xml:space="preserve"> povinen </w:t>
      </w:r>
      <w:r w:rsidRPr="00231F72">
        <w:rPr>
          <w:rFonts w:ascii="Calibri" w:hAnsi="Calibri" w:cs="Calibri"/>
        </w:rPr>
        <w:t>Objednateli</w:t>
      </w:r>
      <w:r w:rsidRPr="00231F72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5FA8A80C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231F72">
        <w:rPr>
          <w:rStyle w:val="standardtext"/>
          <w:rFonts w:ascii="Calibri" w:hAnsi="Calibri" w:cs="Calibri"/>
        </w:rPr>
        <w:t xml:space="preserve">Faktura musí obsahovat náležitosti </w:t>
      </w:r>
      <w:r w:rsidR="005357FF" w:rsidRPr="00231F72">
        <w:rPr>
          <w:rStyle w:val="standardtext"/>
          <w:rFonts w:ascii="Calibri" w:hAnsi="Calibri" w:cs="Calibri"/>
        </w:rPr>
        <w:t>stanovené zákonem o účetnictví</w:t>
      </w:r>
      <w:r w:rsidRPr="00231F72">
        <w:rPr>
          <w:rStyle w:val="standardtext"/>
          <w:rFonts w:ascii="Calibri" w:hAnsi="Calibri" w:cs="Calibri"/>
        </w:rPr>
        <w:t xml:space="preserve"> a náležitosti stanovené § 435 občanského zákoníku. Faktura musí dále obsahovat odkaz na uzavřenou</w:t>
      </w:r>
      <w:r>
        <w:rPr>
          <w:rStyle w:val="standardtext"/>
          <w:rFonts w:ascii="Calibri" w:hAnsi="Calibri" w:cs="Calibri"/>
        </w:rPr>
        <w:t xml:space="preserve">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6EE49722" w14:textId="77777777" w:rsidR="00B51CCD" w:rsidRDefault="00B51CCD" w:rsidP="00B51CCD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Style w:val="standardtext"/>
          <w:rFonts w:ascii="Calibri" w:hAnsi="Calibri" w:cs="Calibri"/>
        </w:rPr>
      </w:pPr>
    </w:p>
    <w:p w14:paraId="1C20C508" w14:textId="7B173071" w:rsidR="00B51CCD" w:rsidRPr="00B51CCD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51CCD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30339714" w14:textId="77777777" w:rsidR="00B51CCD" w:rsidRPr="000D48AF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016B4992" w14:textId="0BF2079C" w:rsidR="00B51CCD" w:rsidRDefault="00B51CCD" w:rsidP="00B51CCD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="Calibri" w:hAnsi="Calibri" w:cs="Calibri"/>
        </w:rPr>
      </w:pPr>
    </w:p>
    <w:p w14:paraId="0ACD3C8F" w14:textId="28877256" w:rsidR="00B51CCD" w:rsidRPr="000D48AF" w:rsidRDefault="00075B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AC12FF">
        <w:rPr>
          <w:rStyle w:val="standardtext"/>
          <w:rFonts w:cs="Calibri"/>
          <w:sz w:val="24"/>
          <w:szCs w:val="24"/>
        </w:rPr>
        <w:t>dílo</w:t>
      </w:r>
      <w:r>
        <w:rPr>
          <w:rStyle w:val="standardtext"/>
          <w:rFonts w:cs="Calibri"/>
          <w:sz w:val="24"/>
          <w:szCs w:val="24"/>
        </w:rPr>
        <w:t xml:space="preserve">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v době jeho předání a dále v rámci poskytnuté záruky v délce </w:t>
      </w:r>
      <w:r w:rsidR="00B51CCD">
        <w:rPr>
          <w:rStyle w:val="standardtext"/>
          <w:rFonts w:cs="Calibri"/>
          <w:sz w:val="24"/>
          <w:szCs w:val="24"/>
        </w:rPr>
        <w:t>36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měsíců,</w:t>
      </w:r>
      <w:r w:rsidR="00B51CCD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za vady zjištěné po celou dobu záruční lhůty. </w:t>
      </w:r>
    </w:p>
    <w:p w14:paraId="7E98EFBF" w14:textId="7C4F32EF" w:rsidR="00B51CCD" w:rsidRPr="000D48AF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Záruční doba běží počínaje převzetím </w:t>
      </w:r>
      <w:r w:rsidR="00AC12FF">
        <w:rPr>
          <w:rStyle w:val="standardtext"/>
          <w:rFonts w:asciiTheme="minorHAnsi" w:hAnsiTheme="minorHAnsi" w:cs="Calibri"/>
          <w:sz w:val="24"/>
          <w:szCs w:val="24"/>
        </w:rPr>
        <w:t>díla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B2F8E">
        <w:rPr>
          <w:rStyle w:val="standardtext"/>
          <w:rFonts w:asciiTheme="minorHAnsi" w:hAnsiTheme="minorHAnsi" w:cs="Calibri"/>
          <w:sz w:val="24"/>
          <w:szCs w:val="24"/>
        </w:rPr>
        <w:t>O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>bjednatelem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4C325C43" w14:textId="5D2F5E4B" w:rsidR="00B51CCD" w:rsidRPr="000D48AF" w:rsidRDefault="00AC12FF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Dílo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</w:t>
      </w:r>
      <w:r>
        <w:rPr>
          <w:rStyle w:val="standardtext"/>
          <w:rFonts w:asciiTheme="minorHAnsi" w:hAnsiTheme="minorHAnsi" w:cs="Calibri"/>
          <w:sz w:val="24"/>
          <w:szCs w:val="24"/>
        </w:rPr>
        <w:t>é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>, pokud nebude mít při přebírání a v rámci poskytnuté záruky:</w:t>
      </w:r>
    </w:p>
    <w:p w14:paraId="430A4324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7BBE9CE2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14:paraId="5A957E04" w14:textId="77777777" w:rsidR="00B51CCD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14:paraId="3410394B" w14:textId="7C6AD269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Objednatel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Zhotoviteli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</w:t>
      </w:r>
      <w:r w:rsidR="00AC12F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41754A">
        <w:rPr>
          <w:rStyle w:val="standardtext"/>
          <w:rFonts w:asciiTheme="minorHAnsi" w:hAnsiTheme="minorHAnsi" w:cs="Calibri"/>
          <w:sz w:val="24"/>
          <w:szCs w:val="24"/>
        </w:rPr>
        <w:t>xxxxxxxxxxxxxx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6D72C3EA" w14:textId="2D907C76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Zhotovitel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Objednatelem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14:paraId="66D2E7C2" w14:textId="6F95A1A7" w:rsidR="00B51CCD" w:rsidRPr="000661D7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0A7DFA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14:paraId="4411F224" w14:textId="77777777" w:rsidR="00B51CCD" w:rsidRDefault="00B51CCD" w:rsidP="008358F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43AA5F0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3D8764A5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náleží </w:t>
      </w:r>
      <w:r w:rsidR="008B2F8E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504A0681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8B2F8E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8B2F8E">
        <w:rPr>
          <w:rFonts w:ascii="Calibri" w:hAnsi="Calibri" w:cs="Calibri"/>
        </w:rPr>
        <w:t>O</w:t>
      </w:r>
      <w:r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A0C72AB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</w:t>
      </w:r>
      <w:r w:rsidR="00B51CC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4A98163D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020E0A0C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</w:t>
      </w:r>
      <w:r w:rsidR="00B04D0D">
        <w:rPr>
          <w:rFonts w:cs="Calibri"/>
          <w:sz w:val="24"/>
          <w:szCs w:val="24"/>
        </w:rPr>
        <w:t xml:space="preserve">Objednatel </w:t>
      </w:r>
      <w:r w:rsidRPr="006222AF">
        <w:rPr>
          <w:rFonts w:cs="Calibri"/>
          <w:sz w:val="24"/>
          <w:szCs w:val="24"/>
        </w:rPr>
        <w:t>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8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79DACA10" w14:textId="77777777" w:rsidR="00C87AA5" w:rsidRPr="00A431A7" w:rsidRDefault="00C87AA5" w:rsidP="00C87AA5">
      <w:r>
        <w:t xml:space="preserve">               </w:t>
      </w:r>
    </w:p>
    <w:p w14:paraId="5986AEC3" w14:textId="77777777" w:rsidR="00C87AA5" w:rsidRPr="00800932" w:rsidRDefault="00C87AA5" w:rsidP="00C87AA5">
      <w:pPr>
        <w:rPr>
          <w:rFonts w:ascii="Calibri" w:hAnsi="Calibri" w:cs="Calibri"/>
        </w:rPr>
      </w:pPr>
    </w:p>
    <w:p w14:paraId="1EEB5EDC" w14:textId="231E84C2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D85DF1">
        <w:rPr>
          <w:rFonts w:ascii="Calibri" w:hAnsi="Calibri" w:cs="Calibri"/>
          <w:b w:val="0"/>
          <w:bCs w:val="0"/>
          <w:color w:val="auto"/>
          <w:sz w:val="24"/>
          <w:szCs w:val="24"/>
        </w:rPr>
        <w:t>14. 4. 2024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 ………………. dne …………………..</w:t>
      </w:r>
    </w:p>
    <w:p w14:paraId="46A2E69A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2C2D7F85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AC12FF">
        <w:rPr>
          <w:rFonts w:ascii="Calibri" w:hAnsi="Calibri" w:cs="Calibri"/>
        </w:rPr>
        <w:t>Petr Motyka</w:t>
      </w:r>
    </w:p>
    <w:p w14:paraId="110F6266" w14:textId="0D114F71" w:rsidR="00906574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p w14:paraId="6C216183" w14:textId="57A6D906" w:rsidR="00336154" w:rsidRDefault="00336154" w:rsidP="00520621">
      <w:pPr>
        <w:ind w:left="540"/>
        <w:jc w:val="both"/>
        <w:rPr>
          <w:rFonts w:ascii="Calibri" w:hAnsi="Calibri" w:cs="Calibri"/>
        </w:rPr>
      </w:pPr>
    </w:p>
    <w:p w14:paraId="28DDF29D" w14:textId="77777777" w:rsidR="00593FCE" w:rsidRDefault="00593FC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964ED30" w14:textId="77238623" w:rsidR="002E1D0B" w:rsidRDefault="002E1D0B" w:rsidP="002E1D0B">
      <w:pPr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1</w:t>
      </w:r>
    </w:p>
    <w:p w14:paraId="3B1A0843" w14:textId="47E78778" w:rsidR="002E1D0B" w:rsidRPr="00AB529D" w:rsidRDefault="002E1D0B" w:rsidP="002E1D0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529D">
        <w:rPr>
          <w:rFonts w:asciiTheme="minorHAnsi" w:hAnsiTheme="minorHAnsi" w:cstheme="minorHAnsi"/>
          <w:b/>
          <w:bCs/>
          <w:sz w:val="28"/>
          <w:szCs w:val="28"/>
        </w:rPr>
        <w:t>Internát – 1. patro - kuchyňka + pokoj</w:t>
      </w:r>
    </w:p>
    <w:p w14:paraId="70BBC1D6" w14:textId="77777777" w:rsidR="002E1D0B" w:rsidRPr="00AB529D" w:rsidRDefault="002E1D0B" w:rsidP="002E1D0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505"/>
        <w:gridCol w:w="1309"/>
        <w:gridCol w:w="1029"/>
        <w:gridCol w:w="1380"/>
        <w:gridCol w:w="1608"/>
      </w:tblGrid>
      <w:tr w:rsidR="00AB529D" w:rsidRPr="00AB529D" w14:paraId="6F1492F1" w14:textId="77777777" w:rsidTr="000D5616">
        <w:trPr>
          <w:trHeight w:val="16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8243A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  <w:t>Pol.č.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2BE14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  <w:t>Druh materiálu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2EC97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  <w:t>Množství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4934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  <w:t>Jedn.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1C8C" w14:textId="624FC4B1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  <w:t>Cena/jedn</w:t>
            </w:r>
            <w:r w:rsidR="000D5616"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  <w:t>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D35E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b/>
                <w:bCs/>
                <w:spacing w:val="15"/>
                <w:kern w:val="3"/>
                <w:lang w:eastAsia="zh-CN" w:bidi="hi-IN"/>
              </w:rPr>
              <w:t>Cena celkem</w:t>
            </w:r>
          </w:p>
        </w:tc>
      </w:tr>
      <w:tr w:rsidR="00AB529D" w:rsidRPr="00AB529D" w14:paraId="708E8279" w14:textId="77777777" w:rsidTr="000D5616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0C12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1.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C89C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Příprava podkladů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D9BE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22,4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3C65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m2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B786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70,-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586F" w14:textId="77777777" w:rsidR="002E1D0B" w:rsidRPr="00AB529D" w:rsidRDefault="002E1D0B" w:rsidP="000D561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1 568,-</w:t>
            </w:r>
          </w:p>
        </w:tc>
      </w:tr>
      <w:tr w:rsidR="00AB529D" w:rsidRPr="00AB529D" w14:paraId="25B8D93E" w14:textId="77777777" w:rsidTr="000D5616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483B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2.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C50B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Zátěžové PVC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0706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24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245B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m2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09339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490,-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CC39B" w14:textId="77777777" w:rsidR="002E1D0B" w:rsidRPr="00AB529D" w:rsidRDefault="002E1D0B" w:rsidP="000D561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11 760,-</w:t>
            </w:r>
          </w:p>
        </w:tc>
      </w:tr>
      <w:tr w:rsidR="00AB529D" w:rsidRPr="00AB529D" w14:paraId="1809C10E" w14:textId="77777777" w:rsidTr="000D5616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E163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3.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5FD8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Lepení PVC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2A2E2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22,4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8188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m2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188B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160,-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F7A0B" w14:textId="77777777" w:rsidR="002E1D0B" w:rsidRPr="00AB529D" w:rsidRDefault="002E1D0B" w:rsidP="000D561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4 032,-</w:t>
            </w:r>
          </w:p>
        </w:tc>
      </w:tr>
      <w:tr w:rsidR="00AB529D" w:rsidRPr="00AB529D" w14:paraId="5DC81F42" w14:textId="77777777" w:rsidTr="000D5616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ED62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4.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A464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Sokl PVC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575D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25,5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945C2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bm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5D514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100,-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438B" w14:textId="77777777" w:rsidR="002E1D0B" w:rsidRPr="00AB529D" w:rsidRDefault="002E1D0B" w:rsidP="000D561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2 250,-</w:t>
            </w:r>
          </w:p>
        </w:tc>
      </w:tr>
      <w:tr w:rsidR="00AB529D" w:rsidRPr="00AB529D" w14:paraId="292DDEDB" w14:textId="77777777" w:rsidTr="000D5616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192A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5.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65991" w14:textId="77777777" w:rsidR="002E1D0B" w:rsidRPr="00AB529D" w:rsidRDefault="002E1D0B" w:rsidP="00D66A8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Doprava a přesun materiálu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EC70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-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5996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-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7B40" w14:textId="77777777" w:rsidR="002E1D0B" w:rsidRPr="00AB529D" w:rsidRDefault="002E1D0B" w:rsidP="00D66A8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2317" w14:textId="77777777" w:rsidR="002E1D0B" w:rsidRPr="00AB529D" w:rsidRDefault="002E1D0B" w:rsidP="000D561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</w:pPr>
            <w:r w:rsidRPr="00AB529D">
              <w:rPr>
                <w:rFonts w:asciiTheme="minorHAnsi" w:hAnsiTheme="minorHAnsi" w:cstheme="minorHAnsi"/>
                <w:spacing w:val="15"/>
                <w:kern w:val="3"/>
                <w:szCs w:val="20"/>
                <w:lang w:eastAsia="zh-CN" w:bidi="hi-IN"/>
              </w:rPr>
              <w:t>1 000,-</w:t>
            </w:r>
          </w:p>
        </w:tc>
      </w:tr>
    </w:tbl>
    <w:p w14:paraId="5FCB458F" w14:textId="046D7B65" w:rsidR="002E1D0B" w:rsidRPr="00AB529D" w:rsidRDefault="002E1D0B" w:rsidP="0035214F">
      <w:pPr>
        <w:tabs>
          <w:tab w:val="right" w:pos="907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AB529D">
        <w:rPr>
          <w:rFonts w:asciiTheme="minorHAnsi" w:hAnsiTheme="minorHAnsi" w:cstheme="minorHAnsi"/>
          <w:sz w:val="28"/>
          <w:szCs w:val="28"/>
        </w:rPr>
        <w:t xml:space="preserve">Cena celkem                         </w:t>
      </w:r>
      <w:r w:rsidR="0035214F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 w:rsidR="000D5616">
        <w:rPr>
          <w:rFonts w:asciiTheme="minorHAnsi" w:hAnsiTheme="minorHAnsi" w:cstheme="minorHAnsi"/>
          <w:sz w:val="28"/>
          <w:szCs w:val="28"/>
        </w:rPr>
        <w:t xml:space="preserve">   </w:t>
      </w:r>
      <w:r w:rsidR="00AB529D">
        <w:rPr>
          <w:rFonts w:asciiTheme="minorHAnsi" w:hAnsiTheme="minorHAnsi" w:cstheme="minorHAnsi"/>
          <w:sz w:val="28"/>
          <w:szCs w:val="28"/>
        </w:rPr>
        <w:t xml:space="preserve"> </w:t>
      </w:r>
      <w:r w:rsidRPr="00AB529D">
        <w:rPr>
          <w:rFonts w:asciiTheme="minorHAnsi" w:hAnsiTheme="minorHAnsi" w:cstheme="minorHAnsi"/>
          <w:sz w:val="28"/>
          <w:szCs w:val="28"/>
        </w:rPr>
        <w:t>20 610,-</w:t>
      </w:r>
    </w:p>
    <w:p w14:paraId="143867AA" w14:textId="77777777" w:rsidR="002E1D0B" w:rsidRPr="00AB529D" w:rsidRDefault="002E1D0B" w:rsidP="003521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2EDA558" w14:textId="77777777" w:rsidR="002E1D0B" w:rsidRPr="00AB529D" w:rsidRDefault="002E1D0B" w:rsidP="002E1D0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B529D"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  <w:r w:rsidRPr="00AB529D">
        <w:rPr>
          <w:rFonts w:asciiTheme="minorHAnsi" w:hAnsiTheme="minorHAnsi" w:cstheme="minorHAnsi"/>
          <w:b/>
          <w:bCs/>
          <w:sz w:val="28"/>
          <w:szCs w:val="28"/>
        </w:rPr>
        <w:t>Internát – 1. patro – úklidová místnost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505"/>
        <w:gridCol w:w="1309"/>
        <w:gridCol w:w="1029"/>
        <w:gridCol w:w="1333"/>
        <w:gridCol w:w="1608"/>
      </w:tblGrid>
      <w:tr w:rsidR="00AB529D" w:rsidRPr="00AB529D" w14:paraId="77A3921E" w14:textId="77777777" w:rsidTr="00D66A8D">
        <w:trPr>
          <w:trHeight w:val="16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D10D7" w14:textId="77777777" w:rsidR="002E1D0B" w:rsidRPr="000D5616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  <w:b/>
                <w:bCs/>
              </w:rPr>
            </w:pPr>
            <w:r w:rsidRPr="000D5616">
              <w:rPr>
                <w:rFonts w:asciiTheme="minorHAnsi" w:hAnsiTheme="minorHAnsi" w:cstheme="minorHAnsi"/>
                <w:b/>
                <w:bCs/>
              </w:rPr>
              <w:t>Pol.č.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BC2D9" w14:textId="77777777" w:rsidR="002E1D0B" w:rsidRPr="000D5616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  <w:b/>
                <w:bCs/>
              </w:rPr>
            </w:pPr>
            <w:r w:rsidRPr="000D5616">
              <w:rPr>
                <w:rFonts w:asciiTheme="minorHAnsi" w:hAnsiTheme="minorHAnsi" w:cstheme="minorHAnsi"/>
                <w:b/>
                <w:bCs/>
              </w:rPr>
              <w:t>Druh materiálu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E843" w14:textId="77777777" w:rsidR="002E1D0B" w:rsidRPr="000D5616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  <w:b/>
                <w:bCs/>
              </w:rPr>
            </w:pPr>
            <w:r w:rsidRPr="000D5616">
              <w:rPr>
                <w:rFonts w:asciiTheme="minorHAnsi" w:hAnsiTheme="minorHAnsi" w:cstheme="minorHAnsi"/>
                <w:b/>
                <w:bCs/>
              </w:rPr>
              <w:t>Množství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0C43" w14:textId="77777777" w:rsidR="002E1D0B" w:rsidRPr="000D5616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  <w:b/>
                <w:bCs/>
              </w:rPr>
            </w:pPr>
            <w:r w:rsidRPr="000D5616">
              <w:rPr>
                <w:rFonts w:asciiTheme="minorHAnsi" w:hAnsiTheme="minorHAnsi" w:cstheme="minorHAnsi"/>
                <w:b/>
                <w:bCs/>
              </w:rPr>
              <w:t>Jedn.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297A" w14:textId="77777777" w:rsidR="002E1D0B" w:rsidRPr="000D5616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  <w:b/>
                <w:bCs/>
              </w:rPr>
            </w:pPr>
            <w:r w:rsidRPr="000D5616">
              <w:rPr>
                <w:rFonts w:asciiTheme="minorHAnsi" w:hAnsiTheme="minorHAnsi" w:cstheme="minorHAnsi"/>
                <w:b/>
                <w:bCs/>
              </w:rPr>
              <w:t>Cena /jedn.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3FD92" w14:textId="77777777" w:rsidR="002E1D0B" w:rsidRPr="000D5616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  <w:b/>
                <w:bCs/>
              </w:rPr>
            </w:pPr>
            <w:r w:rsidRPr="000D5616">
              <w:rPr>
                <w:rFonts w:asciiTheme="minorHAnsi" w:hAnsiTheme="minorHAnsi" w:cstheme="minorHAnsi"/>
                <w:b/>
                <w:bCs/>
              </w:rPr>
              <w:t>Cena celkem</w:t>
            </w:r>
          </w:p>
        </w:tc>
      </w:tr>
      <w:tr w:rsidR="00AB529D" w:rsidRPr="00AB529D" w14:paraId="6E57F9BC" w14:textId="77777777" w:rsidTr="00D66A8D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7F0F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4D86" w14:textId="77777777" w:rsidR="002E1D0B" w:rsidRPr="00AB529D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PVC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D6D0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BA7D3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47AE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490,-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CC21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2 352,-</w:t>
            </w:r>
          </w:p>
        </w:tc>
      </w:tr>
      <w:tr w:rsidR="00AB529D" w:rsidRPr="00AB529D" w14:paraId="41BF1111" w14:textId="77777777" w:rsidTr="00D66A8D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82C7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F245" w14:textId="77777777" w:rsidR="002E1D0B" w:rsidRPr="00AB529D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Stržení a likvid. pův. krytiny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2313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59DB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0B1E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100,-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2862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360,-</w:t>
            </w:r>
          </w:p>
        </w:tc>
      </w:tr>
      <w:tr w:rsidR="00AB529D" w:rsidRPr="00AB529D" w14:paraId="1157A542" w14:textId="77777777" w:rsidTr="00D66A8D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8E5E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9A25" w14:textId="77777777" w:rsidR="002E1D0B" w:rsidRPr="00AB529D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Sokl PVC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49CC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CE1C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bm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C817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100,-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D9E4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700,-</w:t>
            </w:r>
          </w:p>
        </w:tc>
      </w:tr>
      <w:tr w:rsidR="00AB529D" w:rsidRPr="00AB529D" w14:paraId="2C71CBEE" w14:textId="77777777" w:rsidTr="00D66A8D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9141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C9E" w14:textId="77777777" w:rsidR="002E1D0B" w:rsidRPr="00AB529D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Tmelení podkladu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DEE10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2E5C2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0663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250,-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2E5AD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900,-</w:t>
            </w:r>
          </w:p>
        </w:tc>
      </w:tr>
      <w:tr w:rsidR="00AB529D" w:rsidRPr="00AB529D" w14:paraId="76FC137D" w14:textId="77777777" w:rsidTr="00D66A8D">
        <w:trPr>
          <w:trHeight w:val="25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93823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65EB" w14:textId="77777777" w:rsidR="002E1D0B" w:rsidRPr="00AB529D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Lepení PVC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9BA0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05E4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E195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160,-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DE61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576,-</w:t>
            </w:r>
          </w:p>
        </w:tc>
      </w:tr>
      <w:tr w:rsidR="00AB529D" w:rsidRPr="00AB529D" w14:paraId="2B533F44" w14:textId="77777777" w:rsidTr="00D66A8D">
        <w:trPr>
          <w:trHeight w:val="25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A3F6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F074" w14:textId="77777777" w:rsidR="002E1D0B" w:rsidRPr="00AB529D" w:rsidRDefault="002E1D0B" w:rsidP="00D66A8D">
            <w:pPr>
              <w:tabs>
                <w:tab w:val="left" w:pos="3384"/>
              </w:tabs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 xml:space="preserve">Doprava 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750C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A1E35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B0B8" w14:textId="77777777" w:rsidR="002E1D0B" w:rsidRPr="00AB529D" w:rsidRDefault="002E1D0B" w:rsidP="00D66A8D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580A" w14:textId="77777777" w:rsidR="002E1D0B" w:rsidRPr="00AB529D" w:rsidRDefault="002E1D0B" w:rsidP="000D5616">
            <w:pPr>
              <w:tabs>
                <w:tab w:val="left" w:pos="3384"/>
              </w:tabs>
              <w:jc w:val="center"/>
              <w:rPr>
                <w:rFonts w:asciiTheme="minorHAnsi" w:hAnsiTheme="minorHAnsi" w:cstheme="minorHAnsi"/>
              </w:rPr>
            </w:pPr>
            <w:r w:rsidRPr="00AB529D">
              <w:rPr>
                <w:rFonts w:asciiTheme="minorHAnsi" w:hAnsiTheme="minorHAnsi" w:cstheme="minorHAnsi"/>
              </w:rPr>
              <w:t>500,-</w:t>
            </w:r>
          </w:p>
        </w:tc>
      </w:tr>
    </w:tbl>
    <w:p w14:paraId="33AEE00E" w14:textId="77777777" w:rsidR="002E1D0B" w:rsidRPr="00AB529D" w:rsidRDefault="002E1D0B" w:rsidP="002E1D0B">
      <w:pPr>
        <w:tabs>
          <w:tab w:val="left" w:pos="3384"/>
        </w:tabs>
        <w:rPr>
          <w:rFonts w:asciiTheme="minorHAnsi" w:hAnsiTheme="minorHAnsi" w:cstheme="minorHAnsi"/>
          <w:sz w:val="28"/>
          <w:szCs w:val="28"/>
        </w:rPr>
      </w:pPr>
      <w:r w:rsidRPr="00AB529D">
        <w:rPr>
          <w:rFonts w:asciiTheme="minorHAnsi" w:hAnsiTheme="minorHAnsi" w:cstheme="minorHAnsi"/>
          <w:sz w:val="28"/>
          <w:szCs w:val="28"/>
        </w:rPr>
        <w:t>Cena celkem                                                                                                            5 388,-</w:t>
      </w:r>
    </w:p>
    <w:p w14:paraId="56D65672" w14:textId="77777777" w:rsidR="002E1D0B" w:rsidRPr="00AB529D" w:rsidRDefault="002E1D0B" w:rsidP="002E1D0B">
      <w:pPr>
        <w:tabs>
          <w:tab w:val="left" w:pos="3384"/>
        </w:tabs>
        <w:rPr>
          <w:rFonts w:asciiTheme="minorHAnsi" w:hAnsiTheme="minorHAnsi" w:cstheme="minorHAnsi"/>
          <w:sz w:val="28"/>
          <w:szCs w:val="28"/>
        </w:rPr>
      </w:pPr>
    </w:p>
    <w:p w14:paraId="77BF39B0" w14:textId="77777777" w:rsidR="002E1D0B" w:rsidRPr="00AB529D" w:rsidRDefault="002E1D0B" w:rsidP="002E1D0B">
      <w:pPr>
        <w:tabs>
          <w:tab w:val="left" w:pos="3384"/>
        </w:tabs>
        <w:rPr>
          <w:rFonts w:asciiTheme="minorHAnsi" w:hAnsiTheme="minorHAnsi" w:cstheme="minorHAnsi"/>
          <w:sz w:val="28"/>
          <w:szCs w:val="28"/>
        </w:rPr>
      </w:pPr>
      <w:r w:rsidRPr="00AB529D">
        <w:rPr>
          <w:rFonts w:asciiTheme="minorHAnsi" w:hAnsiTheme="minorHAnsi" w:cstheme="minorHAnsi"/>
          <w:sz w:val="28"/>
          <w:szCs w:val="28"/>
        </w:rPr>
        <w:t>Podlahářství Petr Motyka 2.4.2024</w:t>
      </w:r>
    </w:p>
    <w:p w14:paraId="3CB21B6B" w14:textId="7E1512D0" w:rsidR="00241F93" w:rsidRPr="00AB529D" w:rsidRDefault="00241F93">
      <w:pPr>
        <w:spacing w:after="200" w:line="276" w:lineRule="auto"/>
        <w:rPr>
          <w:rFonts w:asciiTheme="minorHAnsi" w:hAnsiTheme="minorHAnsi" w:cstheme="minorHAnsi"/>
        </w:rPr>
      </w:pPr>
    </w:p>
    <w:p w14:paraId="166D5DF8" w14:textId="7CBAA7D7" w:rsidR="00241F93" w:rsidRDefault="00241F93">
      <w:pPr>
        <w:spacing w:after="200" w:line="276" w:lineRule="auto"/>
        <w:rPr>
          <w:rFonts w:ascii="Calibri" w:hAnsi="Calibri" w:cs="Calibri"/>
        </w:rPr>
      </w:pPr>
    </w:p>
    <w:p w14:paraId="1FC5DE84" w14:textId="04F627BA" w:rsidR="00241F93" w:rsidRDefault="00241F93">
      <w:pPr>
        <w:spacing w:after="200" w:line="276" w:lineRule="auto"/>
        <w:rPr>
          <w:rFonts w:ascii="Calibri" w:hAnsi="Calibri" w:cs="Calibri"/>
        </w:rPr>
      </w:pPr>
    </w:p>
    <w:p w14:paraId="725EBFC4" w14:textId="66166690" w:rsidR="00241F93" w:rsidRDefault="00241F93">
      <w:pPr>
        <w:spacing w:after="200" w:line="276" w:lineRule="auto"/>
        <w:rPr>
          <w:rFonts w:ascii="Calibri" w:hAnsi="Calibri" w:cs="Calibri"/>
        </w:rPr>
      </w:pPr>
    </w:p>
    <w:p w14:paraId="60F6C9E4" w14:textId="1F09BBAC" w:rsidR="00C12D96" w:rsidRDefault="00C12D96">
      <w:pPr>
        <w:spacing w:after="200" w:line="276" w:lineRule="auto"/>
        <w:rPr>
          <w:rFonts w:ascii="Calibri" w:hAnsi="Calibri" w:cs="Calibri"/>
        </w:rPr>
      </w:pPr>
    </w:p>
    <w:p w14:paraId="53716F7A" w14:textId="524889F5" w:rsidR="00C12D96" w:rsidRDefault="00C12D96">
      <w:pPr>
        <w:spacing w:after="200" w:line="276" w:lineRule="auto"/>
        <w:rPr>
          <w:rFonts w:ascii="Calibri" w:hAnsi="Calibri" w:cs="Calibri"/>
        </w:rPr>
      </w:pPr>
    </w:p>
    <w:sectPr w:rsidR="00C12D96" w:rsidSect="00E4472C">
      <w:headerReference w:type="default" r:id="rId9"/>
      <w:footerReference w:type="default" r:id="rId10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B1B2" w14:textId="77777777" w:rsidR="00E4472C" w:rsidRDefault="00E4472C" w:rsidP="00F21921">
      <w:r>
        <w:separator/>
      </w:r>
    </w:p>
  </w:endnote>
  <w:endnote w:type="continuationSeparator" w:id="0">
    <w:p w14:paraId="391B734D" w14:textId="77777777" w:rsidR="00E4472C" w:rsidRDefault="00E4472C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7058" w14:textId="77777777" w:rsidR="00E4472C" w:rsidRDefault="00E4472C" w:rsidP="00F21921">
      <w:r>
        <w:separator/>
      </w:r>
    </w:p>
  </w:footnote>
  <w:footnote w:type="continuationSeparator" w:id="0">
    <w:p w14:paraId="53B74AFB" w14:textId="77777777" w:rsidR="00E4472C" w:rsidRDefault="00E4472C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1651376196" name="Obrázek 1651376196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00726DF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10061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B7D9B"/>
    <w:multiLevelType w:val="hybridMultilevel"/>
    <w:tmpl w:val="EA82038A"/>
    <w:lvl w:ilvl="0" w:tplc="80CA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664180"/>
    <w:multiLevelType w:val="hybridMultilevel"/>
    <w:tmpl w:val="B7FE3EE2"/>
    <w:lvl w:ilvl="0" w:tplc="9A8C5964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4"/>
  </w:num>
  <w:num w:numId="3" w16cid:durableId="64306003">
    <w:abstractNumId w:val="9"/>
  </w:num>
  <w:num w:numId="4" w16cid:durableId="1687051523">
    <w:abstractNumId w:val="5"/>
  </w:num>
  <w:num w:numId="5" w16cid:durableId="267588508">
    <w:abstractNumId w:val="18"/>
  </w:num>
  <w:num w:numId="6" w16cid:durableId="1952518315">
    <w:abstractNumId w:val="8"/>
  </w:num>
  <w:num w:numId="7" w16cid:durableId="809790209">
    <w:abstractNumId w:val="15"/>
  </w:num>
  <w:num w:numId="8" w16cid:durableId="1516726828">
    <w:abstractNumId w:val="10"/>
  </w:num>
  <w:num w:numId="9" w16cid:durableId="66853122">
    <w:abstractNumId w:val="3"/>
  </w:num>
  <w:num w:numId="10" w16cid:durableId="1750997649">
    <w:abstractNumId w:val="17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6"/>
  </w:num>
  <w:num w:numId="16" w16cid:durableId="1857846961">
    <w:abstractNumId w:val="13"/>
  </w:num>
  <w:num w:numId="17" w16cid:durableId="1886134235">
    <w:abstractNumId w:val="11"/>
  </w:num>
  <w:num w:numId="18" w16cid:durableId="106585419">
    <w:abstractNumId w:val="12"/>
  </w:num>
  <w:num w:numId="19" w16cid:durableId="351998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72686"/>
    <w:rsid w:val="00075BCD"/>
    <w:rsid w:val="00081E46"/>
    <w:rsid w:val="00087C28"/>
    <w:rsid w:val="00090370"/>
    <w:rsid w:val="000A13B3"/>
    <w:rsid w:val="000A51CB"/>
    <w:rsid w:val="000A5DC1"/>
    <w:rsid w:val="000A65F2"/>
    <w:rsid w:val="000A7AC5"/>
    <w:rsid w:val="000A7DFA"/>
    <w:rsid w:val="000C5A77"/>
    <w:rsid w:val="000D1989"/>
    <w:rsid w:val="000D5616"/>
    <w:rsid w:val="000F63BA"/>
    <w:rsid w:val="00102FD4"/>
    <w:rsid w:val="00106548"/>
    <w:rsid w:val="001110C3"/>
    <w:rsid w:val="00111E3D"/>
    <w:rsid w:val="00126798"/>
    <w:rsid w:val="00133491"/>
    <w:rsid w:val="00133A65"/>
    <w:rsid w:val="001368A4"/>
    <w:rsid w:val="00143BCB"/>
    <w:rsid w:val="0014484D"/>
    <w:rsid w:val="001468D6"/>
    <w:rsid w:val="00157EC9"/>
    <w:rsid w:val="00165800"/>
    <w:rsid w:val="0018250D"/>
    <w:rsid w:val="00182AD2"/>
    <w:rsid w:val="001A6FBE"/>
    <w:rsid w:val="001A7630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27426"/>
    <w:rsid w:val="00231F72"/>
    <w:rsid w:val="00241F93"/>
    <w:rsid w:val="002476B8"/>
    <w:rsid w:val="002536FC"/>
    <w:rsid w:val="002577F7"/>
    <w:rsid w:val="00261DFB"/>
    <w:rsid w:val="002749A5"/>
    <w:rsid w:val="00281F00"/>
    <w:rsid w:val="002827A2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D6680"/>
    <w:rsid w:val="002E1D0B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36154"/>
    <w:rsid w:val="003438A2"/>
    <w:rsid w:val="0034594F"/>
    <w:rsid w:val="0035214F"/>
    <w:rsid w:val="00355609"/>
    <w:rsid w:val="0036229B"/>
    <w:rsid w:val="0036472E"/>
    <w:rsid w:val="0036708D"/>
    <w:rsid w:val="0036763C"/>
    <w:rsid w:val="0038107A"/>
    <w:rsid w:val="0038505B"/>
    <w:rsid w:val="00390516"/>
    <w:rsid w:val="00390BAC"/>
    <w:rsid w:val="00396F4E"/>
    <w:rsid w:val="003A4179"/>
    <w:rsid w:val="003B321A"/>
    <w:rsid w:val="003B3CEF"/>
    <w:rsid w:val="003B5C05"/>
    <w:rsid w:val="003C38DE"/>
    <w:rsid w:val="003C678E"/>
    <w:rsid w:val="003D0263"/>
    <w:rsid w:val="003E158E"/>
    <w:rsid w:val="003E1EE4"/>
    <w:rsid w:val="0040004F"/>
    <w:rsid w:val="00404C3C"/>
    <w:rsid w:val="00416A94"/>
    <w:rsid w:val="0041754A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B5D03"/>
    <w:rsid w:val="004B6B05"/>
    <w:rsid w:val="004C19ED"/>
    <w:rsid w:val="004D3F09"/>
    <w:rsid w:val="004D44CD"/>
    <w:rsid w:val="004E523A"/>
    <w:rsid w:val="004E75FA"/>
    <w:rsid w:val="00500CCC"/>
    <w:rsid w:val="0050472F"/>
    <w:rsid w:val="00511FB6"/>
    <w:rsid w:val="00512243"/>
    <w:rsid w:val="005150FD"/>
    <w:rsid w:val="00515BB5"/>
    <w:rsid w:val="00520621"/>
    <w:rsid w:val="00522478"/>
    <w:rsid w:val="005332B1"/>
    <w:rsid w:val="005357FF"/>
    <w:rsid w:val="00536B69"/>
    <w:rsid w:val="005409C8"/>
    <w:rsid w:val="0055339A"/>
    <w:rsid w:val="00553872"/>
    <w:rsid w:val="00564578"/>
    <w:rsid w:val="005656C3"/>
    <w:rsid w:val="00571521"/>
    <w:rsid w:val="00575BF9"/>
    <w:rsid w:val="00581417"/>
    <w:rsid w:val="005815AE"/>
    <w:rsid w:val="00582800"/>
    <w:rsid w:val="00585203"/>
    <w:rsid w:val="00593FCE"/>
    <w:rsid w:val="005A0518"/>
    <w:rsid w:val="005A0D30"/>
    <w:rsid w:val="005A2C3E"/>
    <w:rsid w:val="005A30BE"/>
    <w:rsid w:val="005A41A6"/>
    <w:rsid w:val="005B2921"/>
    <w:rsid w:val="005F3D83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74120"/>
    <w:rsid w:val="00680018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C6702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349"/>
    <w:rsid w:val="00736E15"/>
    <w:rsid w:val="00745044"/>
    <w:rsid w:val="00751B01"/>
    <w:rsid w:val="0075382D"/>
    <w:rsid w:val="0075422E"/>
    <w:rsid w:val="00756F03"/>
    <w:rsid w:val="007629DD"/>
    <w:rsid w:val="007629E3"/>
    <w:rsid w:val="00765E4E"/>
    <w:rsid w:val="00772B37"/>
    <w:rsid w:val="0077488B"/>
    <w:rsid w:val="007855DA"/>
    <w:rsid w:val="00786DAA"/>
    <w:rsid w:val="007A0B42"/>
    <w:rsid w:val="007A0D8A"/>
    <w:rsid w:val="007A133F"/>
    <w:rsid w:val="007A2BEC"/>
    <w:rsid w:val="007B60FB"/>
    <w:rsid w:val="007B69DC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358FA"/>
    <w:rsid w:val="00842434"/>
    <w:rsid w:val="0085317F"/>
    <w:rsid w:val="00855F76"/>
    <w:rsid w:val="00857433"/>
    <w:rsid w:val="008614A7"/>
    <w:rsid w:val="00865B8F"/>
    <w:rsid w:val="00875ED0"/>
    <w:rsid w:val="0087713E"/>
    <w:rsid w:val="00881944"/>
    <w:rsid w:val="008879BF"/>
    <w:rsid w:val="00896E31"/>
    <w:rsid w:val="008A5CA2"/>
    <w:rsid w:val="008A6243"/>
    <w:rsid w:val="008B1C3B"/>
    <w:rsid w:val="008B2F8E"/>
    <w:rsid w:val="008B4B94"/>
    <w:rsid w:val="008B4EC7"/>
    <w:rsid w:val="008B668F"/>
    <w:rsid w:val="008C67ED"/>
    <w:rsid w:val="008D6668"/>
    <w:rsid w:val="008D6D36"/>
    <w:rsid w:val="008E2B14"/>
    <w:rsid w:val="008E4392"/>
    <w:rsid w:val="008E559E"/>
    <w:rsid w:val="008E76A6"/>
    <w:rsid w:val="008F197E"/>
    <w:rsid w:val="008F6BD9"/>
    <w:rsid w:val="00905167"/>
    <w:rsid w:val="00906574"/>
    <w:rsid w:val="00927218"/>
    <w:rsid w:val="00933172"/>
    <w:rsid w:val="0096265B"/>
    <w:rsid w:val="009657F7"/>
    <w:rsid w:val="00970B2F"/>
    <w:rsid w:val="0097496A"/>
    <w:rsid w:val="009875F7"/>
    <w:rsid w:val="009C0AD9"/>
    <w:rsid w:val="009D05FB"/>
    <w:rsid w:val="009D5027"/>
    <w:rsid w:val="009D5C31"/>
    <w:rsid w:val="009E147A"/>
    <w:rsid w:val="009F2730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2F6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B529D"/>
    <w:rsid w:val="00AC12FF"/>
    <w:rsid w:val="00AC3B15"/>
    <w:rsid w:val="00AC6405"/>
    <w:rsid w:val="00AD2635"/>
    <w:rsid w:val="00AD3F9D"/>
    <w:rsid w:val="00AE3B8A"/>
    <w:rsid w:val="00AE5AD0"/>
    <w:rsid w:val="00AE69DA"/>
    <w:rsid w:val="00AF30B8"/>
    <w:rsid w:val="00B04861"/>
    <w:rsid w:val="00B04D0D"/>
    <w:rsid w:val="00B21306"/>
    <w:rsid w:val="00B24525"/>
    <w:rsid w:val="00B47D49"/>
    <w:rsid w:val="00B51CCD"/>
    <w:rsid w:val="00B54584"/>
    <w:rsid w:val="00B609F8"/>
    <w:rsid w:val="00B75CB0"/>
    <w:rsid w:val="00B7679E"/>
    <w:rsid w:val="00B92330"/>
    <w:rsid w:val="00B969C1"/>
    <w:rsid w:val="00B969D7"/>
    <w:rsid w:val="00BA0819"/>
    <w:rsid w:val="00BB315E"/>
    <w:rsid w:val="00BB4032"/>
    <w:rsid w:val="00BC050B"/>
    <w:rsid w:val="00BD183F"/>
    <w:rsid w:val="00BD5191"/>
    <w:rsid w:val="00BF0529"/>
    <w:rsid w:val="00BF4C09"/>
    <w:rsid w:val="00BF5BBB"/>
    <w:rsid w:val="00BF7352"/>
    <w:rsid w:val="00C006EE"/>
    <w:rsid w:val="00C00ADE"/>
    <w:rsid w:val="00C12D96"/>
    <w:rsid w:val="00C16168"/>
    <w:rsid w:val="00C16FAF"/>
    <w:rsid w:val="00C23FC7"/>
    <w:rsid w:val="00C323F4"/>
    <w:rsid w:val="00C336BD"/>
    <w:rsid w:val="00C50263"/>
    <w:rsid w:val="00C53F9F"/>
    <w:rsid w:val="00C55974"/>
    <w:rsid w:val="00C66AC1"/>
    <w:rsid w:val="00C73C55"/>
    <w:rsid w:val="00C801DB"/>
    <w:rsid w:val="00C87AA5"/>
    <w:rsid w:val="00C9074E"/>
    <w:rsid w:val="00C926FD"/>
    <w:rsid w:val="00CA28AA"/>
    <w:rsid w:val="00CC7BAD"/>
    <w:rsid w:val="00CD4972"/>
    <w:rsid w:val="00CF0403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54302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5DF1"/>
    <w:rsid w:val="00D875F1"/>
    <w:rsid w:val="00D87BC8"/>
    <w:rsid w:val="00D9522F"/>
    <w:rsid w:val="00DC1E4C"/>
    <w:rsid w:val="00DC2BB3"/>
    <w:rsid w:val="00DC3936"/>
    <w:rsid w:val="00DC7F5E"/>
    <w:rsid w:val="00DE0B13"/>
    <w:rsid w:val="00DE6048"/>
    <w:rsid w:val="00DF7667"/>
    <w:rsid w:val="00E010EA"/>
    <w:rsid w:val="00E116C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4472C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4062"/>
    <w:rsid w:val="00EB5225"/>
    <w:rsid w:val="00EC139E"/>
    <w:rsid w:val="00EC2C46"/>
    <w:rsid w:val="00EC3C02"/>
    <w:rsid w:val="00ED0519"/>
    <w:rsid w:val="00ED2042"/>
    <w:rsid w:val="00ED412E"/>
    <w:rsid w:val="00EE0068"/>
    <w:rsid w:val="00EE3D22"/>
    <w:rsid w:val="00EE6860"/>
    <w:rsid w:val="00F05F4B"/>
    <w:rsid w:val="00F10FE1"/>
    <w:rsid w:val="00F21921"/>
    <w:rsid w:val="00F32FDD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.cz/o-skole/uredni-deska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503E-56D9-4C07-AAEB-745CBEF1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4</cp:revision>
  <cp:lastPrinted>2022-08-11T11:52:00Z</cp:lastPrinted>
  <dcterms:created xsi:type="dcterms:W3CDTF">2024-04-17T09:40:00Z</dcterms:created>
  <dcterms:modified xsi:type="dcterms:W3CDTF">2024-04-17T09:41:00Z</dcterms:modified>
</cp:coreProperties>
</file>