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256" w:rsidRPr="009B5256" w:rsidRDefault="000E1FFB">
      <w:pPr>
        <w:pStyle w:val="Nzev"/>
        <w:rPr>
          <w:rFonts w:ascii="Calibri" w:hAnsi="Calibri" w:cs="Calibri"/>
          <w:sz w:val="32"/>
          <w:szCs w:val="22"/>
        </w:rPr>
      </w:pPr>
      <w:r w:rsidRPr="009B5256">
        <w:rPr>
          <w:rFonts w:ascii="Calibri" w:hAnsi="Calibri" w:cs="Calibri"/>
          <w:sz w:val="32"/>
          <w:szCs w:val="22"/>
        </w:rPr>
        <w:t xml:space="preserve">Smlouva o dílo </w:t>
      </w:r>
    </w:p>
    <w:p w:rsidR="00A61AD7" w:rsidRPr="00405833" w:rsidRDefault="00A61AD7" w:rsidP="00A61AD7">
      <w:pPr>
        <w:widowControl w:val="0"/>
        <w:jc w:val="center"/>
        <w:rPr>
          <w:rFonts w:ascii="Calibri" w:hAnsi="Calibri"/>
          <w:b/>
          <w:sz w:val="26"/>
          <w:szCs w:val="26"/>
        </w:rPr>
      </w:pPr>
      <w:r w:rsidRPr="00405833">
        <w:rPr>
          <w:rFonts w:ascii="Calibri" w:hAnsi="Calibri"/>
          <w:b/>
          <w:sz w:val="26"/>
          <w:szCs w:val="26"/>
        </w:rPr>
        <w:t xml:space="preserve">č. </w:t>
      </w:r>
      <w:r w:rsidR="009C2A0A">
        <w:rPr>
          <w:rFonts w:ascii="Calibri" w:hAnsi="Calibri"/>
          <w:b/>
          <w:sz w:val="26"/>
          <w:szCs w:val="26"/>
        </w:rPr>
        <w:t>TSML/24/0023</w:t>
      </w:r>
    </w:p>
    <w:p w:rsidR="00A61AD7" w:rsidRPr="00876EC2" w:rsidRDefault="00A61AD7" w:rsidP="00876EC2">
      <w:pPr>
        <w:pStyle w:val="Nzev"/>
        <w:rPr>
          <w:rFonts w:ascii="Calibri" w:hAnsi="Calibri" w:cs="Calibri"/>
          <w:sz w:val="32"/>
          <w:szCs w:val="22"/>
        </w:rPr>
      </w:pPr>
      <w:r w:rsidRPr="00876EC2">
        <w:rPr>
          <w:rFonts w:ascii="Calibri" w:hAnsi="Calibri" w:cs="Calibri"/>
          <w:sz w:val="32"/>
          <w:szCs w:val="22"/>
        </w:rPr>
        <w:t>„</w:t>
      </w:r>
      <w:r w:rsidR="00F02BAC">
        <w:rPr>
          <w:rFonts w:ascii="Calibri" w:hAnsi="Calibri" w:cs="Calibri"/>
          <w:sz w:val="32"/>
          <w:szCs w:val="22"/>
        </w:rPr>
        <w:t>Pomocné práce na provádění běžné údržby</w:t>
      </w:r>
      <w:r w:rsidR="006E3E51">
        <w:rPr>
          <w:rFonts w:ascii="Calibri" w:hAnsi="Calibri" w:cs="Calibri"/>
          <w:sz w:val="32"/>
          <w:szCs w:val="22"/>
        </w:rPr>
        <w:t xml:space="preserve"> komunikací</w:t>
      </w:r>
      <w:r w:rsidR="00DA2971">
        <w:rPr>
          <w:rFonts w:ascii="Calibri" w:hAnsi="Calibri" w:cs="Calibri"/>
          <w:sz w:val="32"/>
          <w:szCs w:val="22"/>
        </w:rPr>
        <w:t xml:space="preserve"> II</w:t>
      </w:r>
      <w:r w:rsidRPr="00876EC2">
        <w:rPr>
          <w:rFonts w:ascii="Calibri" w:hAnsi="Calibri" w:cs="Calibri"/>
          <w:sz w:val="32"/>
          <w:szCs w:val="22"/>
        </w:rPr>
        <w:t>“</w:t>
      </w:r>
    </w:p>
    <w:p w:rsidR="00DF432C" w:rsidRPr="00906EF5" w:rsidRDefault="00DF432C">
      <w:pPr>
        <w:jc w:val="center"/>
        <w:rPr>
          <w:rFonts w:ascii="Calibri" w:hAnsi="Calibri" w:cs="Calibri"/>
          <w:b/>
          <w:szCs w:val="28"/>
        </w:rPr>
      </w:pPr>
    </w:p>
    <w:p w:rsidR="009B5256" w:rsidRPr="009046BD" w:rsidRDefault="009B5256" w:rsidP="009B5256">
      <w:pPr>
        <w:widowControl w:val="0"/>
        <w:jc w:val="center"/>
        <w:rPr>
          <w:rFonts w:ascii="Calibri" w:hAnsi="Calibri"/>
        </w:rPr>
      </w:pPr>
      <w:r w:rsidRPr="009046BD">
        <w:rPr>
          <w:rFonts w:ascii="Calibri" w:hAnsi="Calibri"/>
        </w:rPr>
        <w:t>uzavřená v souladu s § 2586 a násl. zákona č. 89/2012 Sb., občanský zákoník, ve znění pozdějších právních předpisů:</w:t>
      </w:r>
    </w:p>
    <w:p w:rsidR="00DF432C" w:rsidRDefault="00DF432C">
      <w:pPr>
        <w:jc w:val="center"/>
        <w:rPr>
          <w:rFonts w:ascii="Calibri" w:hAnsi="Calibri" w:cs="Calibri"/>
          <w:b/>
          <w:sz w:val="28"/>
        </w:rPr>
      </w:pPr>
    </w:p>
    <w:p w:rsidR="003B5741" w:rsidRPr="00DA2971" w:rsidRDefault="003B5741">
      <w:pPr>
        <w:jc w:val="center"/>
        <w:rPr>
          <w:rFonts w:ascii="Calibri" w:hAnsi="Calibri" w:cs="Calibri"/>
          <w:b/>
          <w:sz w:val="20"/>
          <w:szCs w:val="14"/>
        </w:rPr>
      </w:pPr>
    </w:p>
    <w:p w:rsidR="00DF432C" w:rsidRPr="00440722" w:rsidRDefault="00DF432C" w:rsidP="00000A19">
      <w:pPr>
        <w:spacing w:line="340" w:lineRule="exact"/>
        <w:jc w:val="both"/>
        <w:rPr>
          <w:rFonts w:ascii="Calibri" w:hAnsi="Calibri" w:cs="Calibri"/>
        </w:rPr>
      </w:pPr>
      <w:r w:rsidRPr="00440722">
        <w:rPr>
          <w:rFonts w:ascii="Calibri" w:hAnsi="Calibri" w:cs="Calibri"/>
          <w:b/>
        </w:rPr>
        <w:t xml:space="preserve">Technické služby města </w:t>
      </w:r>
      <w:r w:rsidR="007F1974" w:rsidRPr="00440722">
        <w:rPr>
          <w:rFonts w:ascii="Calibri" w:hAnsi="Calibri" w:cs="Calibri"/>
          <w:b/>
        </w:rPr>
        <w:t xml:space="preserve">Liberec, </w:t>
      </w:r>
      <w:proofErr w:type="spellStart"/>
      <w:proofErr w:type="gramStart"/>
      <w:r w:rsidR="007F1974" w:rsidRPr="00440722">
        <w:rPr>
          <w:rFonts w:ascii="Calibri" w:hAnsi="Calibri" w:cs="Calibri"/>
          <w:b/>
        </w:rPr>
        <w:t>p.o</w:t>
      </w:r>
      <w:proofErr w:type="spellEnd"/>
      <w:r w:rsidR="007F1974" w:rsidRPr="00440722">
        <w:rPr>
          <w:rFonts w:ascii="Calibri" w:hAnsi="Calibri" w:cs="Calibri"/>
          <w:b/>
        </w:rPr>
        <w:t>.</w:t>
      </w:r>
      <w:proofErr w:type="gramEnd"/>
    </w:p>
    <w:p w:rsidR="00DF432C" w:rsidRPr="00440722" w:rsidRDefault="00562D4B" w:rsidP="00000A19">
      <w:pPr>
        <w:spacing w:line="340" w:lineRule="exact"/>
        <w:jc w:val="both"/>
        <w:rPr>
          <w:rFonts w:ascii="Calibri" w:hAnsi="Calibri" w:cs="Calibri"/>
        </w:rPr>
      </w:pPr>
      <w:r w:rsidRPr="00D631D2">
        <w:rPr>
          <w:rFonts w:ascii="Calibri" w:hAnsi="Calibri"/>
          <w:szCs w:val="24"/>
        </w:rPr>
        <w:t>se sídlem</w:t>
      </w:r>
      <w:r w:rsidR="00DF432C" w:rsidRPr="00440722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DF432C" w:rsidRPr="00440722">
        <w:rPr>
          <w:rFonts w:ascii="Calibri" w:hAnsi="Calibri" w:cs="Calibri"/>
        </w:rPr>
        <w:t xml:space="preserve">Erbenova </w:t>
      </w:r>
      <w:proofErr w:type="gramStart"/>
      <w:r w:rsidR="00DF432C" w:rsidRPr="00440722">
        <w:rPr>
          <w:rFonts w:ascii="Calibri" w:hAnsi="Calibri" w:cs="Calibri"/>
        </w:rPr>
        <w:t>376,  460 08</w:t>
      </w:r>
      <w:proofErr w:type="gramEnd"/>
      <w:r w:rsidR="00DF432C" w:rsidRPr="00440722">
        <w:rPr>
          <w:rFonts w:ascii="Calibri" w:hAnsi="Calibri" w:cs="Calibri"/>
        </w:rPr>
        <w:t xml:space="preserve">  Liberec 8</w:t>
      </w:r>
    </w:p>
    <w:p w:rsidR="007B31D3" w:rsidRDefault="00562D4B" w:rsidP="007527F6">
      <w:pPr>
        <w:tabs>
          <w:tab w:val="left" w:pos="4536"/>
        </w:tabs>
        <w:spacing w:line="340" w:lineRule="exact"/>
        <w:ind w:left="2130" w:hanging="2130"/>
        <w:jc w:val="both"/>
        <w:rPr>
          <w:rFonts w:ascii="Calibri" w:hAnsi="Calibri" w:cs="Calibri"/>
        </w:rPr>
      </w:pPr>
      <w:r w:rsidRPr="00440722">
        <w:rPr>
          <w:rFonts w:ascii="Calibri" w:hAnsi="Calibri" w:cs="Calibri"/>
        </w:rPr>
        <w:t xml:space="preserve">zastoupený </w:t>
      </w:r>
      <w:r w:rsidR="007B31D3">
        <w:rPr>
          <w:rFonts w:ascii="Calibri" w:hAnsi="Calibri" w:cs="Calibri"/>
        </w:rPr>
        <w:tab/>
      </w:r>
      <w:r w:rsidRPr="00440722">
        <w:rPr>
          <w:rFonts w:ascii="Calibri" w:hAnsi="Calibri" w:cs="Calibri"/>
        </w:rPr>
        <w:t xml:space="preserve">ve věcech smluvních </w:t>
      </w:r>
      <w:r w:rsidRPr="00440722">
        <w:rPr>
          <w:rFonts w:ascii="Calibri" w:hAnsi="Calibri" w:cs="Calibri"/>
        </w:rPr>
        <w:tab/>
      </w:r>
      <w:r w:rsidR="007B31D3">
        <w:rPr>
          <w:rFonts w:ascii="Calibri" w:hAnsi="Calibri" w:cs="Calibri"/>
        </w:rPr>
        <w:t>Petr Syrový</w:t>
      </w:r>
      <w:r w:rsidR="007B31D3" w:rsidRPr="00440722">
        <w:rPr>
          <w:rFonts w:ascii="Calibri" w:hAnsi="Calibri" w:cs="Calibri"/>
        </w:rPr>
        <w:t xml:space="preserve">, </w:t>
      </w:r>
      <w:r w:rsidR="007B31D3">
        <w:rPr>
          <w:rFonts w:ascii="Calibri" w:hAnsi="Calibri" w:cs="Calibri"/>
        </w:rPr>
        <w:t xml:space="preserve">vedoucí informační soustavy a  </w:t>
      </w:r>
    </w:p>
    <w:p w:rsidR="007B31D3" w:rsidRPr="00440722" w:rsidRDefault="007B31D3" w:rsidP="007527F6">
      <w:pPr>
        <w:tabs>
          <w:tab w:val="left" w:pos="4536"/>
        </w:tabs>
        <w:spacing w:line="340" w:lineRule="exact"/>
        <w:ind w:left="4248" w:right="-144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controllingu, pověřený výkonem funkce </w:t>
      </w:r>
      <w:r>
        <w:rPr>
          <w:rFonts w:ascii="Calibri" w:hAnsi="Calibri" w:cs="Calibri"/>
        </w:rPr>
        <w:tab/>
        <w:t>ředitele</w:t>
      </w:r>
    </w:p>
    <w:p w:rsidR="00562D4B" w:rsidRPr="00440722" w:rsidRDefault="00562D4B" w:rsidP="00F255B4">
      <w:pPr>
        <w:tabs>
          <w:tab w:val="left" w:pos="4536"/>
        </w:tabs>
        <w:spacing w:line="340" w:lineRule="exact"/>
        <w:ind w:left="1416" w:firstLine="708"/>
        <w:jc w:val="both"/>
        <w:rPr>
          <w:rFonts w:ascii="Calibri" w:hAnsi="Calibri" w:cs="Calibri"/>
        </w:rPr>
      </w:pPr>
      <w:r w:rsidRPr="00440722">
        <w:rPr>
          <w:rFonts w:ascii="Calibri" w:hAnsi="Calibri" w:cs="Calibri"/>
        </w:rPr>
        <w:t xml:space="preserve">ve věcech technických </w:t>
      </w:r>
      <w:r w:rsidRPr="00440722">
        <w:rPr>
          <w:rFonts w:ascii="Calibri" w:hAnsi="Calibri" w:cs="Calibri"/>
        </w:rPr>
        <w:tab/>
      </w:r>
      <w:r w:rsidR="00F255B4">
        <w:rPr>
          <w:rFonts w:ascii="Calibri" w:hAnsi="Calibri" w:cs="Calibri"/>
        </w:rPr>
        <w:t>xxxxxxxxxxxxxxxxxxxxxxxxxxxxxxxxxxxxxxxxxx</w:t>
      </w:r>
      <w:bookmarkStart w:id="0" w:name="_GoBack"/>
      <w:bookmarkEnd w:id="0"/>
    </w:p>
    <w:p w:rsidR="00562D4B" w:rsidRDefault="00562D4B" w:rsidP="00000A19">
      <w:pPr>
        <w:spacing w:line="340" w:lineRule="exact"/>
        <w:jc w:val="both"/>
        <w:rPr>
          <w:rFonts w:ascii="Calibri" w:hAnsi="Calibri" w:cs="Calibri"/>
        </w:rPr>
      </w:pPr>
      <w:r w:rsidRPr="00440722">
        <w:rPr>
          <w:rFonts w:ascii="Calibri" w:hAnsi="Calibri" w:cs="Calibri"/>
        </w:rPr>
        <w:t>IČO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440722">
        <w:rPr>
          <w:rFonts w:ascii="Calibri" w:hAnsi="Calibri" w:cs="Calibri"/>
        </w:rPr>
        <w:t>08881545</w:t>
      </w:r>
    </w:p>
    <w:p w:rsidR="00562D4B" w:rsidRDefault="00562D4B" w:rsidP="00000A19">
      <w:pPr>
        <w:spacing w:line="340" w:lineRule="exact"/>
        <w:jc w:val="both"/>
        <w:rPr>
          <w:rFonts w:ascii="Calibri" w:hAnsi="Calibri" w:cs="Calibri"/>
        </w:rPr>
      </w:pPr>
      <w:r w:rsidRPr="00440722">
        <w:rPr>
          <w:rFonts w:ascii="Calibri" w:hAnsi="Calibri" w:cs="Calibri"/>
        </w:rPr>
        <w:t>DIČ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440722">
        <w:rPr>
          <w:rFonts w:ascii="Calibri" w:hAnsi="Calibri" w:cs="Calibri"/>
        </w:rPr>
        <w:t>CZ-08881545</w:t>
      </w:r>
    </w:p>
    <w:p w:rsidR="00562D4B" w:rsidRDefault="00A61AD7" w:rsidP="00000A19">
      <w:pPr>
        <w:spacing w:line="340" w:lineRule="exac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="00562D4B" w:rsidRPr="00440722">
        <w:rPr>
          <w:rFonts w:ascii="Calibri" w:hAnsi="Calibri" w:cs="Calibri"/>
        </w:rPr>
        <w:t>ank</w:t>
      </w:r>
      <w:r w:rsidR="00562D4B">
        <w:rPr>
          <w:rFonts w:ascii="Calibri" w:hAnsi="Calibri" w:cs="Calibri"/>
        </w:rPr>
        <w:t>ovní</w:t>
      </w:r>
      <w:r w:rsidR="00562D4B" w:rsidRPr="00440722">
        <w:rPr>
          <w:rFonts w:ascii="Calibri" w:hAnsi="Calibri" w:cs="Calibri"/>
        </w:rPr>
        <w:t xml:space="preserve"> </w:t>
      </w:r>
      <w:r w:rsidR="00562D4B">
        <w:rPr>
          <w:rFonts w:ascii="Calibri" w:hAnsi="Calibri" w:cs="Calibri"/>
        </w:rPr>
        <w:t>s</w:t>
      </w:r>
      <w:r w:rsidR="00562D4B" w:rsidRPr="00440722">
        <w:rPr>
          <w:rFonts w:ascii="Calibri" w:hAnsi="Calibri" w:cs="Calibri"/>
        </w:rPr>
        <w:t>pojení</w:t>
      </w:r>
      <w:r w:rsidR="00562D4B">
        <w:rPr>
          <w:rFonts w:ascii="Calibri" w:hAnsi="Calibri" w:cs="Calibri"/>
        </w:rPr>
        <w:tab/>
      </w:r>
      <w:r w:rsidR="00562D4B" w:rsidRPr="00440722">
        <w:rPr>
          <w:rFonts w:ascii="Calibri" w:hAnsi="Calibri" w:cs="Calibri"/>
        </w:rPr>
        <w:t>ČS Liberec</w:t>
      </w:r>
    </w:p>
    <w:p w:rsidR="00562D4B" w:rsidRPr="00440722" w:rsidRDefault="00A61AD7" w:rsidP="00000A19">
      <w:pPr>
        <w:spacing w:line="340" w:lineRule="exac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č</w:t>
      </w:r>
      <w:r w:rsidR="00562D4B">
        <w:rPr>
          <w:rFonts w:ascii="Calibri" w:hAnsi="Calibri" w:cs="Calibri"/>
        </w:rPr>
        <w:t>íslo účtu</w:t>
      </w:r>
      <w:r w:rsidR="00562D4B" w:rsidRPr="00440722">
        <w:rPr>
          <w:rFonts w:ascii="Calibri" w:hAnsi="Calibri" w:cs="Calibri"/>
        </w:rPr>
        <w:t xml:space="preserve"> </w:t>
      </w:r>
      <w:r w:rsidR="00562D4B">
        <w:rPr>
          <w:rFonts w:ascii="Calibri" w:hAnsi="Calibri" w:cs="Calibri"/>
        </w:rPr>
        <w:tab/>
      </w:r>
      <w:r w:rsidR="00562D4B">
        <w:rPr>
          <w:rFonts w:ascii="Calibri" w:hAnsi="Calibri" w:cs="Calibri"/>
        </w:rPr>
        <w:tab/>
      </w:r>
      <w:r w:rsidR="00562D4B" w:rsidRPr="00440722">
        <w:rPr>
          <w:rFonts w:ascii="Calibri" w:hAnsi="Calibri" w:cs="Calibri"/>
        </w:rPr>
        <w:t>8524482/0800</w:t>
      </w:r>
    </w:p>
    <w:p w:rsidR="00DF432C" w:rsidRPr="00440722" w:rsidRDefault="00DF432C" w:rsidP="00000A19">
      <w:pPr>
        <w:spacing w:line="340" w:lineRule="exact"/>
        <w:jc w:val="both"/>
        <w:rPr>
          <w:rFonts w:ascii="Calibri" w:hAnsi="Calibri" w:cs="Calibri"/>
        </w:rPr>
      </w:pPr>
      <w:r w:rsidRPr="00440722">
        <w:rPr>
          <w:rFonts w:ascii="Calibri" w:hAnsi="Calibri" w:cs="Calibri"/>
        </w:rPr>
        <w:t xml:space="preserve">zapsané v OR u Krajského soudu v Ústí n. L. dne </w:t>
      </w:r>
      <w:proofErr w:type="gramStart"/>
      <w:r w:rsidR="007F1974" w:rsidRPr="00440722">
        <w:rPr>
          <w:rFonts w:ascii="Calibri" w:hAnsi="Calibri" w:cs="Calibri"/>
        </w:rPr>
        <w:t>8.2.2020</w:t>
      </w:r>
      <w:proofErr w:type="gramEnd"/>
      <w:r w:rsidR="007F1974" w:rsidRPr="00440722">
        <w:rPr>
          <w:rFonts w:ascii="Calibri" w:hAnsi="Calibri" w:cs="Calibri"/>
        </w:rPr>
        <w:t>, oddíl PR</w:t>
      </w:r>
      <w:r w:rsidRPr="00440722">
        <w:rPr>
          <w:rFonts w:ascii="Calibri" w:hAnsi="Calibri" w:cs="Calibri"/>
        </w:rPr>
        <w:t xml:space="preserve">, vložka </w:t>
      </w:r>
      <w:r w:rsidR="007F1974" w:rsidRPr="00440722">
        <w:rPr>
          <w:rFonts w:ascii="Calibri" w:hAnsi="Calibri" w:cs="Calibri"/>
        </w:rPr>
        <w:t>1165</w:t>
      </w:r>
    </w:p>
    <w:p w:rsidR="00746887" w:rsidRPr="00C92D08" w:rsidRDefault="00746887" w:rsidP="00746887">
      <w:pPr>
        <w:widowControl w:val="0"/>
        <w:spacing w:before="120"/>
        <w:rPr>
          <w:rFonts w:ascii="Calibri" w:hAnsi="Calibri"/>
          <w:i/>
        </w:rPr>
      </w:pPr>
      <w:r w:rsidRPr="00C92D08">
        <w:rPr>
          <w:rFonts w:ascii="Calibri" w:hAnsi="Calibri"/>
          <w:i/>
        </w:rPr>
        <w:t>dále jen „objednatel“</w:t>
      </w:r>
    </w:p>
    <w:p w:rsidR="00746887" w:rsidRPr="00DA2971" w:rsidRDefault="00746887" w:rsidP="00746887">
      <w:pPr>
        <w:widowControl w:val="0"/>
        <w:rPr>
          <w:rFonts w:ascii="Calibri" w:hAnsi="Calibri"/>
          <w:sz w:val="8"/>
          <w:szCs w:val="4"/>
        </w:rPr>
      </w:pPr>
    </w:p>
    <w:p w:rsidR="00746887" w:rsidRPr="009046BD" w:rsidRDefault="00746887" w:rsidP="00746887">
      <w:pPr>
        <w:widowControl w:val="0"/>
        <w:rPr>
          <w:rFonts w:ascii="Calibri" w:hAnsi="Calibri"/>
        </w:rPr>
      </w:pPr>
    </w:p>
    <w:p w:rsidR="00746887" w:rsidRPr="009046BD" w:rsidRDefault="00746887" w:rsidP="00746887">
      <w:pPr>
        <w:widowControl w:val="0"/>
        <w:rPr>
          <w:rFonts w:ascii="Calibri" w:hAnsi="Calibri"/>
        </w:rPr>
      </w:pPr>
      <w:r w:rsidRPr="009046BD">
        <w:rPr>
          <w:rFonts w:ascii="Calibri" w:hAnsi="Calibri"/>
        </w:rPr>
        <w:t xml:space="preserve">a </w:t>
      </w:r>
    </w:p>
    <w:p w:rsidR="00746887" w:rsidRPr="00DA2971" w:rsidRDefault="00746887" w:rsidP="00746887">
      <w:pPr>
        <w:widowControl w:val="0"/>
        <w:rPr>
          <w:rFonts w:ascii="Calibri" w:hAnsi="Calibri"/>
          <w:b/>
          <w:sz w:val="22"/>
          <w:szCs w:val="18"/>
        </w:rPr>
      </w:pPr>
    </w:p>
    <w:p w:rsidR="00746887" w:rsidRPr="009046BD" w:rsidRDefault="00746887" w:rsidP="00746887">
      <w:pPr>
        <w:widowControl w:val="0"/>
        <w:rPr>
          <w:rFonts w:ascii="Calibri" w:hAnsi="Calibri"/>
          <w:b/>
        </w:rPr>
      </w:pPr>
    </w:p>
    <w:p w:rsidR="00746887" w:rsidRPr="009046BD" w:rsidRDefault="00AE5E29" w:rsidP="00000A19">
      <w:pPr>
        <w:widowControl w:val="0"/>
        <w:spacing w:line="340" w:lineRule="exact"/>
        <w:rPr>
          <w:rFonts w:ascii="Calibri" w:hAnsi="Calibri"/>
          <w:b/>
          <w:bCs/>
          <w:szCs w:val="24"/>
        </w:rPr>
      </w:pPr>
      <w:proofErr w:type="spellStart"/>
      <w:r>
        <w:rPr>
          <w:rFonts w:ascii="Calibri" w:hAnsi="Calibri"/>
          <w:b/>
          <w:bCs/>
          <w:szCs w:val="24"/>
        </w:rPr>
        <w:t>Hochmark</w:t>
      </w:r>
      <w:proofErr w:type="spellEnd"/>
      <w:r>
        <w:rPr>
          <w:rFonts w:ascii="Calibri" w:hAnsi="Calibri"/>
          <w:b/>
          <w:bCs/>
          <w:szCs w:val="24"/>
        </w:rPr>
        <w:t xml:space="preserve"> </w:t>
      </w:r>
      <w:proofErr w:type="spellStart"/>
      <w:r>
        <w:rPr>
          <w:rFonts w:ascii="Calibri" w:hAnsi="Calibri"/>
          <w:b/>
          <w:bCs/>
          <w:szCs w:val="24"/>
        </w:rPr>
        <w:t>Building</w:t>
      </w:r>
      <w:proofErr w:type="spellEnd"/>
      <w:r>
        <w:rPr>
          <w:rFonts w:ascii="Calibri" w:hAnsi="Calibri"/>
          <w:b/>
          <w:bCs/>
          <w:szCs w:val="24"/>
        </w:rPr>
        <w:t xml:space="preserve"> s.r.o.</w:t>
      </w:r>
    </w:p>
    <w:p w:rsidR="00746887" w:rsidRPr="009046BD" w:rsidRDefault="00746887" w:rsidP="00000A19">
      <w:pPr>
        <w:widowControl w:val="0"/>
        <w:spacing w:line="340" w:lineRule="exact"/>
        <w:rPr>
          <w:rFonts w:ascii="Calibri" w:hAnsi="Calibri"/>
        </w:rPr>
      </w:pPr>
      <w:r w:rsidRPr="009046BD">
        <w:rPr>
          <w:rFonts w:ascii="Calibri" w:hAnsi="Calibri"/>
        </w:rPr>
        <w:t xml:space="preserve">se sídlem </w:t>
      </w:r>
      <w:r w:rsidRPr="009046BD">
        <w:rPr>
          <w:rFonts w:ascii="Calibri" w:hAnsi="Calibri"/>
        </w:rPr>
        <w:tab/>
      </w:r>
      <w:r w:rsidRPr="009046BD">
        <w:rPr>
          <w:rFonts w:ascii="Calibri" w:hAnsi="Calibri"/>
        </w:rPr>
        <w:tab/>
      </w:r>
      <w:proofErr w:type="spellStart"/>
      <w:r w:rsidR="00AE5E29">
        <w:rPr>
          <w:rFonts w:ascii="Calibri" w:hAnsi="Calibri"/>
        </w:rPr>
        <w:t>Chumelská</w:t>
      </w:r>
      <w:proofErr w:type="spellEnd"/>
      <w:r w:rsidR="00AE5E29">
        <w:rPr>
          <w:rFonts w:ascii="Calibri" w:hAnsi="Calibri"/>
        </w:rPr>
        <w:t xml:space="preserve"> 527, Kyje, 198 00 Praha 9</w:t>
      </w:r>
    </w:p>
    <w:p w:rsidR="00746887" w:rsidRPr="009046BD" w:rsidRDefault="00F12D67" w:rsidP="00000A19">
      <w:pPr>
        <w:widowControl w:val="0"/>
        <w:spacing w:line="340" w:lineRule="exact"/>
        <w:rPr>
          <w:rFonts w:ascii="Calibri" w:hAnsi="Calibri"/>
        </w:rPr>
      </w:pPr>
      <w:r>
        <w:rPr>
          <w:rFonts w:ascii="Calibri" w:hAnsi="Calibri"/>
        </w:rPr>
        <w:t>z</w:t>
      </w:r>
      <w:r w:rsidR="00746887" w:rsidRPr="009046BD">
        <w:rPr>
          <w:rFonts w:ascii="Calibri" w:hAnsi="Calibri"/>
        </w:rPr>
        <w:t>astoupená</w:t>
      </w:r>
      <w:r>
        <w:rPr>
          <w:rFonts w:ascii="Calibri" w:hAnsi="Calibri"/>
        </w:rPr>
        <w:t>/ý</w:t>
      </w:r>
      <w:r w:rsidR="00746887" w:rsidRPr="009046BD">
        <w:rPr>
          <w:rFonts w:ascii="Calibri" w:hAnsi="Calibri"/>
        </w:rPr>
        <w:t xml:space="preserve"> </w:t>
      </w:r>
      <w:r w:rsidR="00746887" w:rsidRPr="009046BD">
        <w:rPr>
          <w:rFonts w:ascii="Calibri" w:hAnsi="Calibri"/>
        </w:rPr>
        <w:tab/>
      </w:r>
      <w:r w:rsidR="00746887" w:rsidRPr="009046BD">
        <w:rPr>
          <w:rFonts w:ascii="Calibri" w:hAnsi="Calibri"/>
        </w:rPr>
        <w:tab/>
      </w:r>
      <w:proofErr w:type="spellStart"/>
      <w:r w:rsidR="00AE5E29">
        <w:rPr>
          <w:rFonts w:ascii="Calibri" w:hAnsi="Calibri"/>
        </w:rPr>
        <w:t>Yuri</w:t>
      </w:r>
      <w:proofErr w:type="spellEnd"/>
      <w:r w:rsidR="00AE5E29">
        <w:rPr>
          <w:rFonts w:ascii="Calibri" w:hAnsi="Calibri"/>
        </w:rPr>
        <w:t xml:space="preserve"> </w:t>
      </w:r>
      <w:proofErr w:type="spellStart"/>
      <w:r w:rsidR="00AE5E29">
        <w:rPr>
          <w:rFonts w:ascii="Calibri" w:hAnsi="Calibri"/>
        </w:rPr>
        <w:t>Horbach</w:t>
      </w:r>
      <w:proofErr w:type="spellEnd"/>
      <w:r w:rsidR="00AE5E29">
        <w:rPr>
          <w:rFonts w:ascii="Calibri" w:hAnsi="Calibri"/>
        </w:rPr>
        <w:t>, jednatel</w:t>
      </w:r>
    </w:p>
    <w:p w:rsidR="00746887" w:rsidRPr="009046BD" w:rsidRDefault="00746887" w:rsidP="00000A19">
      <w:pPr>
        <w:widowControl w:val="0"/>
        <w:spacing w:line="340" w:lineRule="exact"/>
        <w:rPr>
          <w:rFonts w:ascii="Calibri" w:hAnsi="Calibri"/>
        </w:rPr>
      </w:pPr>
      <w:r w:rsidRPr="009046BD">
        <w:rPr>
          <w:rFonts w:ascii="Calibri" w:hAnsi="Calibri"/>
        </w:rPr>
        <w:t xml:space="preserve">IČ </w:t>
      </w:r>
      <w:r w:rsidRPr="009046BD">
        <w:rPr>
          <w:rFonts w:ascii="Calibri" w:hAnsi="Calibri"/>
        </w:rPr>
        <w:tab/>
      </w:r>
      <w:r w:rsidRPr="009046BD">
        <w:rPr>
          <w:rFonts w:ascii="Calibri" w:hAnsi="Calibri"/>
        </w:rPr>
        <w:tab/>
      </w:r>
      <w:r w:rsidRPr="009046BD">
        <w:rPr>
          <w:rFonts w:ascii="Calibri" w:hAnsi="Calibri"/>
        </w:rPr>
        <w:tab/>
      </w:r>
      <w:r w:rsidR="00AE5E29">
        <w:rPr>
          <w:rFonts w:ascii="Calibri" w:hAnsi="Calibri"/>
        </w:rPr>
        <w:t>06007830</w:t>
      </w:r>
    </w:p>
    <w:p w:rsidR="00746887" w:rsidRPr="009046BD" w:rsidRDefault="00746887" w:rsidP="00000A19">
      <w:pPr>
        <w:widowControl w:val="0"/>
        <w:spacing w:line="340" w:lineRule="exact"/>
        <w:rPr>
          <w:rFonts w:ascii="Calibri" w:hAnsi="Calibri"/>
        </w:rPr>
      </w:pPr>
      <w:r w:rsidRPr="009046BD">
        <w:rPr>
          <w:rFonts w:ascii="Calibri" w:hAnsi="Calibri"/>
        </w:rPr>
        <w:t xml:space="preserve">DIČ </w:t>
      </w:r>
      <w:r w:rsidRPr="009046BD">
        <w:rPr>
          <w:rFonts w:ascii="Calibri" w:hAnsi="Calibri"/>
        </w:rPr>
        <w:tab/>
      </w:r>
      <w:r w:rsidRPr="009046BD">
        <w:rPr>
          <w:rFonts w:ascii="Calibri" w:hAnsi="Calibri"/>
        </w:rPr>
        <w:tab/>
      </w:r>
      <w:r w:rsidRPr="009046BD">
        <w:rPr>
          <w:rFonts w:ascii="Calibri" w:hAnsi="Calibri"/>
        </w:rPr>
        <w:tab/>
      </w:r>
      <w:r w:rsidR="00AE5E29">
        <w:rPr>
          <w:rFonts w:ascii="Calibri" w:hAnsi="Calibri"/>
        </w:rPr>
        <w:t>CZ06007830</w:t>
      </w:r>
    </w:p>
    <w:p w:rsidR="00746887" w:rsidRPr="009046BD" w:rsidRDefault="00746887" w:rsidP="00000A19">
      <w:pPr>
        <w:widowControl w:val="0"/>
        <w:spacing w:line="340" w:lineRule="exact"/>
        <w:rPr>
          <w:rFonts w:ascii="Calibri" w:hAnsi="Calibri"/>
        </w:rPr>
      </w:pPr>
      <w:r w:rsidRPr="009046BD">
        <w:rPr>
          <w:rFonts w:ascii="Calibri" w:hAnsi="Calibri"/>
        </w:rPr>
        <w:t xml:space="preserve">bankovní spojení </w:t>
      </w:r>
      <w:r w:rsidRPr="009046BD">
        <w:rPr>
          <w:rFonts w:ascii="Calibri" w:hAnsi="Calibri"/>
        </w:rPr>
        <w:tab/>
      </w:r>
      <w:r w:rsidR="00AE5E29">
        <w:rPr>
          <w:rFonts w:ascii="Calibri" w:hAnsi="Calibri"/>
        </w:rPr>
        <w:t>Komerční banka</w:t>
      </w:r>
    </w:p>
    <w:p w:rsidR="00746887" w:rsidRPr="009046BD" w:rsidRDefault="00746887" w:rsidP="00000A19">
      <w:pPr>
        <w:widowControl w:val="0"/>
        <w:spacing w:line="340" w:lineRule="exact"/>
        <w:rPr>
          <w:rFonts w:ascii="Calibri" w:hAnsi="Calibri"/>
        </w:rPr>
      </w:pPr>
      <w:r w:rsidRPr="009046BD">
        <w:rPr>
          <w:rFonts w:ascii="Calibri" w:hAnsi="Calibri"/>
        </w:rPr>
        <w:t xml:space="preserve">číslo účtu </w:t>
      </w:r>
      <w:r w:rsidRPr="009046BD">
        <w:rPr>
          <w:rFonts w:ascii="Calibri" w:hAnsi="Calibri"/>
        </w:rPr>
        <w:tab/>
      </w:r>
      <w:r w:rsidRPr="009046BD">
        <w:rPr>
          <w:rFonts w:ascii="Calibri" w:hAnsi="Calibri"/>
        </w:rPr>
        <w:tab/>
      </w:r>
      <w:r w:rsidR="00AE5E29">
        <w:rPr>
          <w:rFonts w:ascii="Calibri" w:hAnsi="Calibri"/>
        </w:rPr>
        <w:t>115-4405620257/0100</w:t>
      </w:r>
    </w:p>
    <w:p w:rsidR="00746887" w:rsidRPr="009046BD" w:rsidRDefault="00746887" w:rsidP="00000A19">
      <w:pPr>
        <w:widowControl w:val="0"/>
        <w:spacing w:line="340" w:lineRule="exact"/>
        <w:rPr>
          <w:rFonts w:ascii="Calibri" w:hAnsi="Calibri"/>
        </w:rPr>
      </w:pPr>
      <w:r w:rsidRPr="009046BD">
        <w:rPr>
          <w:rFonts w:ascii="Calibri" w:hAnsi="Calibri"/>
        </w:rPr>
        <w:t>zapsaná/ý v </w:t>
      </w:r>
      <w:r w:rsidRPr="009046BD">
        <w:rPr>
          <w:rFonts w:ascii="Calibri" w:hAnsi="Calibri"/>
        </w:rPr>
        <w:tab/>
      </w:r>
      <w:r w:rsidRPr="009046BD">
        <w:rPr>
          <w:rFonts w:ascii="Calibri" w:hAnsi="Calibri"/>
        </w:rPr>
        <w:tab/>
      </w:r>
      <w:proofErr w:type="spellStart"/>
      <w:r w:rsidR="00AE5E29" w:rsidRPr="00AE5E29">
        <w:rPr>
          <w:rFonts w:ascii="Calibri" w:hAnsi="Calibri"/>
        </w:rPr>
        <w:t>v</w:t>
      </w:r>
      <w:proofErr w:type="spellEnd"/>
      <w:r w:rsidR="00AE5E29">
        <w:rPr>
          <w:rFonts w:ascii="Calibri" w:hAnsi="Calibri"/>
        </w:rPr>
        <w:t xml:space="preserve"> OR u Městského soudu v Praze dne </w:t>
      </w:r>
      <w:proofErr w:type="gramStart"/>
      <w:r w:rsidR="00AE5E29">
        <w:rPr>
          <w:rFonts w:ascii="Calibri" w:hAnsi="Calibri"/>
        </w:rPr>
        <w:t>10.04.2027</w:t>
      </w:r>
      <w:proofErr w:type="gramEnd"/>
      <w:r w:rsidR="00AE5E29">
        <w:rPr>
          <w:rFonts w:ascii="Calibri" w:hAnsi="Calibri"/>
        </w:rPr>
        <w:t>, oddíl C, vložka 313019</w:t>
      </w:r>
      <w:r w:rsidRPr="00AE5E29">
        <w:rPr>
          <w:rFonts w:ascii="Calibri" w:hAnsi="Calibri"/>
        </w:rPr>
        <w:t xml:space="preserve"> </w:t>
      </w:r>
    </w:p>
    <w:p w:rsidR="00746887" w:rsidRPr="00C92D08" w:rsidRDefault="00746887" w:rsidP="00746887">
      <w:pPr>
        <w:widowControl w:val="0"/>
        <w:spacing w:before="120"/>
        <w:rPr>
          <w:rFonts w:ascii="Calibri" w:hAnsi="Calibri"/>
          <w:i/>
        </w:rPr>
      </w:pPr>
      <w:r w:rsidRPr="00C92D08">
        <w:rPr>
          <w:rFonts w:ascii="Calibri" w:hAnsi="Calibri"/>
          <w:i/>
        </w:rPr>
        <w:t>dále jen „zhotovitel“</w:t>
      </w:r>
    </w:p>
    <w:p w:rsidR="00806C74" w:rsidRDefault="00C97CBC" w:rsidP="00C97CBC">
      <w:pPr>
        <w:jc w:val="both"/>
        <w:rPr>
          <w:rFonts w:ascii="Calibri" w:hAnsi="Calibri" w:cs="Calibri"/>
        </w:rPr>
      </w:pPr>
      <w:r w:rsidRPr="00440722">
        <w:rPr>
          <w:rFonts w:ascii="Calibri" w:hAnsi="Calibri" w:cs="Calibri"/>
        </w:rPr>
        <w:tab/>
      </w:r>
      <w:r w:rsidRPr="00440722">
        <w:rPr>
          <w:rFonts w:ascii="Calibri" w:hAnsi="Calibri" w:cs="Calibri"/>
        </w:rPr>
        <w:tab/>
      </w:r>
      <w:r w:rsidR="00DF432C" w:rsidRPr="00440722">
        <w:rPr>
          <w:rFonts w:ascii="Calibri" w:hAnsi="Calibri" w:cs="Calibri"/>
        </w:rPr>
        <w:tab/>
      </w:r>
    </w:p>
    <w:p w:rsidR="009B5256" w:rsidRPr="009046BD" w:rsidRDefault="009B5256" w:rsidP="00906EF5">
      <w:pPr>
        <w:jc w:val="center"/>
        <w:rPr>
          <w:rFonts w:ascii="Calibri" w:hAnsi="Calibri"/>
        </w:rPr>
      </w:pPr>
      <w:proofErr w:type="gramStart"/>
      <w:r w:rsidRPr="009046BD">
        <w:rPr>
          <w:rFonts w:ascii="Calibri" w:hAnsi="Calibri"/>
        </w:rPr>
        <w:t>t</w:t>
      </w:r>
      <w:r>
        <w:rPr>
          <w:rFonts w:ascii="Calibri" w:hAnsi="Calibri"/>
        </w:rPr>
        <w:t xml:space="preserve"> </w:t>
      </w:r>
      <w:r w:rsidRPr="009046BD">
        <w:rPr>
          <w:rFonts w:ascii="Calibri" w:hAnsi="Calibri"/>
        </w:rPr>
        <w:t>a</w:t>
      </w:r>
      <w:r>
        <w:rPr>
          <w:rFonts w:ascii="Calibri" w:hAnsi="Calibri"/>
        </w:rPr>
        <w:t xml:space="preserve"> </w:t>
      </w:r>
      <w:r w:rsidRPr="009046BD">
        <w:rPr>
          <w:rFonts w:ascii="Calibri" w:hAnsi="Calibri"/>
        </w:rPr>
        <w:t>k</w:t>
      </w:r>
      <w:r>
        <w:rPr>
          <w:rFonts w:ascii="Calibri" w:hAnsi="Calibri"/>
        </w:rPr>
        <w:t> </w:t>
      </w:r>
      <w:r w:rsidRPr="009046BD">
        <w:rPr>
          <w:rFonts w:ascii="Calibri" w:hAnsi="Calibri"/>
        </w:rPr>
        <w:t>t</w:t>
      </w:r>
      <w:r>
        <w:rPr>
          <w:rFonts w:ascii="Calibri" w:hAnsi="Calibri"/>
        </w:rPr>
        <w:t xml:space="preserve"> </w:t>
      </w:r>
      <w:r w:rsidRPr="009046BD">
        <w:rPr>
          <w:rFonts w:ascii="Calibri" w:hAnsi="Calibri"/>
        </w:rPr>
        <w:t>o</w:t>
      </w:r>
      <w:r>
        <w:rPr>
          <w:rFonts w:ascii="Calibri" w:hAnsi="Calibri"/>
        </w:rPr>
        <w:t xml:space="preserve"> </w:t>
      </w:r>
      <w:r w:rsidRPr="009046BD">
        <w:rPr>
          <w:rFonts w:ascii="Calibri" w:hAnsi="Calibri"/>
        </w:rPr>
        <w:t>:</w:t>
      </w:r>
      <w:proofErr w:type="gramEnd"/>
    </w:p>
    <w:p w:rsidR="00F45D9E" w:rsidRPr="00D34A90" w:rsidRDefault="00DF432C" w:rsidP="00D34A90">
      <w:pPr>
        <w:ind w:left="4245"/>
        <w:jc w:val="both"/>
        <w:rPr>
          <w:rFonts w:ascii="Calibri" w:hAnsi="Calibri" w:cs="Calibri"/>
        </w:rPr>
      </w:pPr>
      <w:r w:rsidRPr="00440722">
        <w:rPr>
          <w:rFonts w:ascii="Calibri" w:hAnsi="Calibri" w:cs="Calibri"/>
        </w:rPr>
        <w:t xml:space="preserve"> </w:t>
      </w:r>
    </w:p>
    <w:p w:rsidR="00DF432C" w:rsidRDefault="00DF432C" w:rsidP="00F12D67">
      <w:pPr>
        <w:spacing w:line="300" w:lineRule="exact"/>
        <w:jc w:val="center"/>
        <w:rPr>
          <w:rFonts w:ascii="Calibri" w:hAnsi="Calibri" w:cs="Calibri"/>
          <w:b/>
        </w:rPr>
      </w:pPr>
      <w:r w:rsidRPr="00440722">
        <w:rPr>
          <w:rFonts w:ascii="Calibri" w:hAnsi="Calibri" w:cs="Calibri"/>
          <w:b/>
        </w:rPr>
        <w:t>Čl</w:t>
      </w:r>
      <w:r w:rsidR="00FF6A91">
        <w:rPr>
          <w:rFonts w:ascii="Calibri" w:hAnsi="Calibri" w:cs="Calibri"/>
          <w:b/>
        </w:rPr>
        <w:t>ánek</w:t>
      </w:r>
      <w:r w:rsidRPr="00440722">
        <w:rPr>
          <w:rFonts w:ascii="Calibri" w:hAnsi="Calibri" w:cs="Calibri"/>
          <w:b/>
        </w:rPr>
        <w:t xml:space="preserve"> I</w:t>
      </w:r>
      <w:r w:rsidR="00FF6A91">
        <w:rPr>
          <w:rFonts w:ascii="Calibri" w:hAnsi="Calibri" w:cs="Calibri"/>
          <w:b/>
        </w:rPr>
        <w:t>.</w:t>
      </w:r>
    </w:p>
    <w:p w:rsidR="00F45D9E" w:rsidRPr="00440722" w:rsidRDefault="00DF432C" w:rsidP="00F12D67">
      <w:pPr>
        <w:spacing w:after="120" w:line="300" w:lineRule="exact"/>
        <w:jc w:val="center"/>
        <w:rPr>
          <w:rFonts w:ascii="Calibri" w:hAnsi="Calibri" w:cs="Calibri"/>
          <w:b/>
        </w:rPr>
      </w:pPr>
      <w:r w:rsidRPr="00440722">
        <w:rPr>
          <w:rFonts w:ascii="Calibri" w:hAnsi="Calibri" w:cs="Calibri"/>
          <w:b/>
        </w:rPr>
        <w:t>Předmět smlouvy</w:t>
      </w:r>
    </w:p>
    <w:p w:rsidR="0098668E" w:rsidRPr="0098668E" w:rsidRDefault="0098668E" w:rsidP="0098668E">
      <w:pPr>
        <w:spacing w:line="276" w:lineRule="auto"/>
        <w:jc w:val="both"/>
        <w:rPr>
          <w:rFonts w:ascii="Calibri" w:hAnsi="Calibri" w:cs="Calibri"/>
        </w:rPr>
      </w:pPr>
      <w:r w:rsidRPr="0098668E">
        <w:rPr>
          <w:rFonts w:ascii="Calibri" w:hAnsi="Calibri" w:cs="Calibri"/>
        </w:rPr>
        <w:t xml:space="preserve">Předmětem </w:t>
      </w:r>
      <w:r>
        <w:rPr>
          <w:rFonts w:ascii="Calibri" w:hAnsi="Calibri" w:cs="Calibri"/>
        </w:rPr>
        <w:t>smlouvy</w:t>
      </w:r>
      <w:r w:rsidRPr="0098668E">
        <w:rPr>
          <w:rFonts w:ascii="Calibri" w:hAnsi="Calibri" w:cs="Calibri"/>
        </w:rPr>
        <w:t xml:space="preserve"> </w:t>
      </w:r>
      <w:r w:rsidR="00D34A90">
        <w:rPr>
          <w:rFonts w:ascii="Calibri" w:hAnsi="Calibri" w:cs="Calibri"/>
        </w:rPr>
        <w:t>pomocné práce na provádění běžné údržby jsou</w:t>
      </w:r>
      <w:r w:rsidRPr="0098668E">
        <w:rPr>
          <w:rFonts w:ascii="Calibri" w:hAnsi="Calibri" w:cs="Calibri"/>
        </w:rPr>
        <w:t xml:space="preserve"> drobné, místně vymezené práce, jejichž potřeba byla zjištěna v rámci prohlídek komunikací. Jedná se především o následující práce:</w:t>
      </w:r>
    </w:p>
    <w:p w:rsidR="0098668E" w:rsidRPr="0098668E" w:rsidRDefault="0098668E" w:rsidP="0098668E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spacing w:line="240" w:lineRule="auto"/>
        <w:ind w:left="1276" w:hanging="425"/>
        <w:jc w:val="left"/>
        <w:rPr>
          <w:rFonts w:cs="Calibri"/>
          <w:sz w:val="24"/>
          <w:szCs w:val="24"/>
        </w:rPr>
      </w:pPr>
      <w:r w:rsidRPr="0098668E">
        <w:rPr>
          <w:rFonts w:cs="Calibri"/>
          <w:sz w:val="24"/>
          <w:szCs w:val="24"/>
        </w:rPr>
        <w:t>údržba vozovky a krajnic</w:t>
      </w:r>
    </w:p>
    <w:p w:rsidR="0098668E" w:rsidRPr="0098668E" w:rsidRDefault="00D34A90" w:rsidP="0098668E">
      <w:pPr>
        <w:pStyle w:val="Odstavecseseznamem"/>
        <w:numPr>
          <w:ilvl w:val="2"/>
          <w:numId w:val="20"/>
        </w:numPr>
        <w:autoSpaceDE w:val="0"/>
        <w:autoSpaceDN w:val="0"/>
        <w:adjustRightInd w:val="0"/>
        <w:spacing w:line="240" w:lineRule="auto"/>
        <w:ind w:left="1843" w:hanging="283"/>
        <w:jc w:val="left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bourací a výkopové práce</w:t>
      </w:r>
    </w:p>
    <w:p w:rsidR="0098668E" w:rsidRPr="0098668E" w:rsidRDefault="0098668E" w:rsidP="0098668E">
      <w:pPr>
        <w:pStyle w:val="Odstavecseseznamem"/>
        <w:numPr>
          <w:ilvl w:val="2"/>
          <w:numId w:val="20"/>
        </w:numPr>
        <w:autoSpaceDE w:val="0"/>
        <w:autoSpaceDN w:val="0"/>
        <w:adjustRightInd w:val="0"/>
        <w:spacing w:line="240" w:lineRule="auto"/>
        <w:ind w:left="1843" w:hanging="283"/>
        <w:jc w:val="left"/>
        <w:rPr>
          <w:rFonts w:eastAsia="Times New Roman" w:cs="Calibri"/>
          <w:sz w:val="24"/>
          <w:szCs w:val="24"/>
        </w:rPr>
      </w:pPr>
      <w:r w:rsidRPr="0098668E">
        <w:rPr>
          <w:rFonts w:eastAsia="Times New Roman" w:cs="Calibri"/>
          <w:sz w:val="24"/>
          <w:szCs w:val="24"/>
        </w:rPr>
        <w:t>údržba štěrkových krytů</w:t>
      </w:r>
    </w:p>
    <w:p w:rsidR="0098668E" w:rsidRDefault="0098668E" w:rsidP="0098668E">
      <w:pPr>
        <w:pStyle w:val="Odstavecseseznamem"/>
        <w:numPr>
          <w:ilvl w:val="2"/>
          <w:numId w:val="20"/>
        </w:numPr>
        <w:autoSpaceDE w:val="0"/>
        <w:autoSpaceDN w:val="0"/>
        <w:adjustRightInd w:val="0"/>
        <w:spacing w:line="240" w:lineRule="auto"/>
        <w:ind w:left="1843" w:hanging="283"/>
        <w:jc w:val="left"/>
        <w:rPr>
          <w:rFonts w:eastAsia="Times New Roman" w:cs="Calibri"/>
          <w:sz w:val="24"/>
          <w:szCs w:val="24"/>
        </w:rPr>
      </w:pPr>
      <w:r w:rsidRPr="0098668E">
        <w:rPr>
          <w:rFonts w:eastAsia="Times New Roman" w:cs="Calibri"/>
          <w:sz w:val="24"/>
          <w:szCs w:val="24"/>
        </w:rPr>
        <w:t>seříznutí, doplnění, zpevnění a čištění krajnic</w:t>
      </w:r>
    </w:p>
    <w:p w:rsidR="00DC685D" w:rsidRPr="00C40A28" w:rsidRDefault="00DC685D" w:rsidP="00DC685D">
      <w:pPr>
        <w:pStyle w:val="Odstavecseseznamem"/>
        <w:numPr>
          <w:ilvl w:val="2"/>
          <w:numId w:val="20"/>
        </w:numPr>
        <w:autoSpaceDE w:val="0"/>
        <w:autoSpaceDN w:val="0"/>
        <w:adjustRightInd w:val="0"/>
        <w:spacing w:line="240" w:lineRule="auto"/>
        <w:ind w:left="1843" w:hanging="283"/>
        <w:jc w:val="left"/>
        <w:rPr>
          <w:rFonts w:eastAsia="Times New Roman" w:cs="Calibri"/>
          <w:sz w:val="24"/>
          <w:szCs w:val="24"/>
        </w:rPr>
      </w:pPr>
      <w:r w:rsidRPr="00C40A28">
        <w:rPr>
          <w:rFonts w:eastAsia="Times New Roman" w:cs="Calibri"/>
          <w:sz w:val="24"/>
          <w:szCs w:val="24"/>
        </w:rPr>
        <w:lastRenderedPageBreak/>
        <w:t>pokládka zámkové nebo kamenné dlažby</w:t>
      </w:r>
    </w:p>
    <w:p w:rsidR="00DC685D" w:rsidRPr="00C40A28" w:rsidRDefault="00DC685D" w:rsidP="00CA0A65">
      <w:pPr>
        <w:pStyle w:val="Odstavecseseznamem"/>
        <w:numPr>
          <w:ilvl w:val="2"/>
          <w:numId w:val="20"/>
        </w:numPr>
        <w:autoSpaceDE w:val="0"/>
        <w:autoSpaceDN w:val="0"/>
        <w:adjustRightInd w:val="0"/>
        <w:spacing w:line="240" w:lineRule="auto"/>
        <w:ind w:left="1843" w:hanging="283"/>
        <w:jc w:val="left"/>
        <w:rPr>
          <w:rFonts w:eastAsia="Times New Roman" w:cs="Calibri"/>
          <w:sz w:val="24"/>
          <w:szCs w:val="24"/>
        </w:rPr>
      </w:pPr>
      <w:r w:rsidRPr="00C40A28">
        <w:rPr>
          <w:rFonts w:eastAsia="Times New Roman" w:cs="Calibri"/>
          <w:sz w:val="24"/>
          <w:szCs w:val="24"/>
        </w:rPr>
        <w:t>pokládka betonových nebo kamenných obrub</w:t>
      </w:r>
    </w:p>
    <w:p w:rsidR="0098668E" w:rsidRPr="0098668E" w:rsidRDefault="0098668E" w:rsidP="0098668E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spacing w:line="240" w:lineRule="auto"/>
        <w:ind w:left="1276" w:hanging="425"/>
        <w:jc w:val="left"/>
        <w:rPr>
          <w:rFonts w:eastAsia="Times New Roman" w:cs="Calibri"/>
          <w:sz w:val="24"/>
          <w:szCs w:val="24"/>
        </w:rPr>
      </w:pPr>
      <w:r w:rsidRPr="0098668E">
        <w:rPr>
          <w:rFonts w:eastAsia="Times New Roman" w:cs="Calibri"/>
          <w:sz w:val="24"/>
          <w:szCs w:val="24"/>
        </w:rPr>
        <w:t>údržba dopravního značení, dopravních zařízení a dalšího příslušenství</w:t>
      </w:r>
      <w:r w:rsidRPr="0098668E">
        <w:rPr>
          <w:rFonts w:cs="Calibri"/>
          <w:sz w:val="24"/>
          <w:szCs w:val="24"/>
        </w:rPr>
        <w:t>.</w:t>
      </w:r>
    </w:p>
    <w:p w:rsidR="0098668E" w:rsidRPr="00833208" w:rsidRDefault="0098668E" w:rsidP="0017626B">
      <w:pPr>
        <w:spacing w:line="276" w:lineRule="auto"/>
        <w:jc w:val="both"/>
        <w:rPr>
          <w:rFonts w:ascii="Calibri" w:hAnsi="Calibri" w:cs="Calibri"/>
          <w:sz w:val="12"/>
          <w:szCs w:val="8"/>
        </w:rPr>
      </w:pPr>
    </w:p>
    <w:p w:rsidR="004008B5" w:rsidRDefault="004008B5" w:rsidP="004008B5">
      <w:pPr>
        <w:spacing w:line="340" w:lineRule="exact"/>
        <w:jc w:val="both"/>
        <w:rPr>
          <w:rFonts w:ascii="Calibri" w:hAnsi="Calibri" w:cs="Calibri"/>
        </w:rPr>
      </w:pPr>
      <w:r w:rsidRPr="004008B5">
        <w:rPr>
          <w:rFonts w:ascii="Calibri" w:hAnsi="Calibri" w:cs="Calibri"/>
        </w:rPr>
        <w:t xml:space="preserve">Tato smlouva je uzavřena na základě výsledku </w:t>
      </w:r>
      <w:r w:rsidR="004E4D17">
        <w:rPr>
          <w:rFonts w:ascii="Calibri" w:hAnsi="Calibri" w:cs="Calibri"/>
        </w:rPr>
        <w:t>výběrového</w:t>
      </w:r>
      <w:r w:rsidR="002A55A0">
        <w:rPr>
          <w:rFonts w:ascii="Calibri" w:hAnsi="Calibri" w:cs="Calibri"/>
        </w:rPr>
        <w:t xml:space="preserve"> řízení</w:t>
      </w:r>
      <w:r w:rsidRPr="004008B5">
        <w:rPr>
          <w:rFonts w:ascii="Calibri" w:hAnsi="Calibri" w:cs="Calibri"/>
        </w:rPr>
        <w:t> veřejné zakáz</w:t>
      </w:r>
      <w:r w:rsidR="004E4D17">
        <w:rPr>
          <w:rFonts w:ascii="Calibri" w:hAnsi="Calibri" w:cs="Calibri"/>
        </w:rPr>
        <w:t>ky malého rozsahu</w:t>
      </w:r>
      <w:r w:rsidR="008B7E91">
        <w:rPr>
          <w:rFonts w:ascii="Calibri" w:hAnsi="Calibri" w:cs="Calibri"/>
        </w:rPr>
        <w:t xml:space="preserve"> </w:t>
      </w:r>
      <w:r w:rsidRPr="004008B5">
        <w:rPr>
          <w:rFonts w:ascii="Calibri" w:hAnsi="Calibri" w:cs="Calibri"/>
        </w:rPr>
        <w:t>s názvem „</w:t>
      </w:r>
      <w:r w:rsidR="005829C9">
        <w:rPr>
          <w:rFonts w:ascii="Calibri" w:hAnsi="Calibri" w:cs="Calibri"/>
        </w:rPr>
        <w:t>P</w:t>
      </w:r>
      <w:r w:rsidR="002A55A0">
        <w:rPr>
          <w:rFonts w:ascii="Calibri" w:hAnsi="Calibri" w:cs="Calibri"/>
        </w:rPr>
        <w:t>omocné práce na</w:t>
      </w:r>
      <w:r w:rsidR="005829C9">
        <w:rPr>
          <w:rFonts w:ascii="Calibri" w:hAnsi="Calibri" w:cs="Calibri"/>
        </w:rPr>
        <w:t xml:space="preserve"> provádění běžná údržby</w:t>
      </w:r>
      <w:r w:rsidR="004E4D17">
        <w:rPr>
          <w:rFonts w:ascii="Calibri" w:hAnsi="Calibri" w:cs="Calibri"/>
        </w:rPr>
        <w:t xml:space="preserve"> komunikací</w:t>
      </w:r>
      <w:r w:rsidR="00833208">
        <w:rPr>
          <w:rFonts w:ascii="Calibri" w:hAnsi="Calibri" w:cs="Calibri"/>
        </w:rPr>
        <w:t xml:space="preserve"> II</w:t>
      </w:r>
      <w:r w:rsidRPr="004008B5">
        <w:rPr>
          <w:rFonts w:ascii="Calibri" w:hAnsi="Calibri" w:cs="Calibri"/>
        </w:rPr>
        <w:t>“ (dále jen „veřejná zakázka“), ve které byla nabídka zhotovitele vybrána jako ekonomicky nejvýhodnější.</w:t>
      </w:r>
    </w:p>
    <w:p w:rsidR="00D34A90" w:rsidRPr="00DA2971" w:rsidRDefault="00D34A90" w:rsidP="00DA2971">
      <w:pPr>
        <w:pStyle w:val="Odstavecseseznamem"/>
        <w:spacing w:line="240" w:lineRule="auto"/>
        <w:ind w:left="0"/>
        <w:contextualSpacing w:val="0"/>
        <w:rPr>
          <w:rFonts w:cs="Calibri"/>
          <w:sz w:val="18"/>
          <w:szCs w:val="24"/>
        </w:rPr>
      </w:pPr>
    </w:p>
    <w:p w:rsidR="00DF432C" w:rsidRPr="00440722" w:rsidRDefault="00DF432C" w:rsidP="00F12D67">
      <w:pPr>
        <w:spacing w:line="300" w:lineRule="exact"/>
        <w:jc w:val="center"/>
        <w:rPr>
          <w:rFonts w:ascii="Calibri" w:hAnsi="Calibri" w:cs="Calibri"/>
          <w:b/>
        </w:rPr>
      </w:pPr>
      <w:r w:rsidRPr="00440722">
        <w:rPr>
          <w:rFonts w:ascii="Calibri" w:hAnsi="Calibri" w:cs="Calibri"/>
          <w:b/>
        </w:rPr>
        <w:t>Čl</w:t>
      </w:r>
      <w:r w:rsidR="001C7761">
        <w:rPr>
          <w:rFonts w:ascii="Calibri" w:hAnsi="Calibri" w:cs="Calibri"/>
          <w:b/>
        </w:rPr>
        <w:t>ánek</w:t>
      </w:r>
      <w:r w:rsidRPr="00440722">
        <w:rPr>
          <w:rFonts w:ascii="Calibri" w:hAnsi="Calibri" w:cs="Calibri"/>
          <w:b/>
        </w:rPr>
        <w:t xml:space="preserve"> II</w:t>
      </w:r>
      <w:r w:rsidR="001C7761">
        <w:rPr>
          <w:rFonts w:ascii="Calibri" w:hAnsi="Calibri" w:cs="Calibri"/>
          <w:b/>
        </w:rPr>
        <w:t>.</w:t>
      </w:r>
    </w:p>
    <w:p w:rsidR="00F45D9E" w:rsidRPr="00440722" w:rsidRDefault="00DF432C" w:rsidP="00F12D67">
      <w:pPr>
        <w:spacing w:after="120" w:line="300" w:lineRule="exact"/>
        <w:jc w:val="center"/>
        <w:rPr>
          <w:rFonts w:ascii="Calibri" w:hAnsi="Calibri" w:cs="Calibri"/>
          <w:b/>
        </w:rPr>
      </w:pPr>
      <w:r w:rsidRPr="00440722">
        <w:rPr>
          <w:rFonts w:ascii="Calibri" w:hAnsi="Calibri" w:cs="Calibri"/>
          <w:b/>
        </w:rPr>
        <w:t>Cena za dílo</w:t>
      </w:r>
    </w:p>
    <w:p w:rsidR="004B4EA8" w:rsidRPr="00440722" w:rsidRDefault="00DF432C" w:rsidP="00656ED5">
      <w:pPr>
        <w:numPr>
          <w:ilvl w:val="0"/>
          <w:numId w:val="6"/>
        </w:numPr>
        <w:spacing w:line="340" w:lineRule="exact"/>
        <w:ind w:left="357" w:hanging="357"/>
        <w:jc w:val="both"/>
        <w:rPr>
          <w:rFonts w:ascii="Calibri" w:hAnsi="Calibri" w:cs="Calibri"/>
        </w:rPr>
      </w:pPr>
      <w:r w:rsidRPr="00440722">
        <w:rPr>
          <w:rFonts w:ascii="Calibri" w:hAnsi="Calibri" w:cs="Calibri"/>
        </w:rPr>
        <w:t xml:space="preserve">Celková cena za dílo bude stanovena konkrétními </w:t>
      </w:r>
      <w:r w:rsidR="00B87A38">
        <w:rPr>
          <w:rFonts w:ascii="Calibri" w:hAnsi="Calibri" w:cs="Calibri"/>
        </w:rPr>
        <w:t>dílčími objednávkami na základě dílčí poptávky zadavatele</w:t>
      </w:r>
      <w:r w:rsidRPr="00440722">
        <w:rPr>
          <w:rFonts w:ascii="Calibri" w:hAnsi="Calibri" w:cs="Calibri"/>
        </w:rPr>
        <w:t xml:space="preserve"> v běžném měsíci, odsouhlasenými objednavatelem i zhotovitelem.</w:t>
      </w:r>
      <w:r w:rsidR="004B4EA8" w:rsidRPr="00440722">
        <w:rPr>
          <w:rFonts w:ascii="Calibri" w:hAnsi="Calibri" w:cs="Calibri"/>
        </w:rPr>
        <w:t xml:space="preserve"> </w:t>
      </w:r>
      <w:r w:rsidRPr="00440722">
        <w:rPr>
          <w:rFonts w:ascii="Calibri" w:hAnsi="Calibri" w:cs="Calibri"/>
        </w:rPr>
        <w:t>K takto stanovené ceně se účtuje DPH.</w:t>
      </w:r>
    </w:p>
    <w:p w:rsidR="00634963" w:rsidRPr="00F51D66" w:rsidRDefault="00CA375A" w:rsidP="00634963">
      <w:pPr>
        <w:numPr>
          <w:ilvl w:val="0"/>
          <w:numId w:val="6"/>
        </w:numPr>
        <w:spacing w:line="340" w:lineRule="exact"/>
        <w:ind w:left="357" w:hanging="357"/>
        <w:jc w:val="both"/>
        <w:rPr>
          <w:rFonts w:ascii="Calibri" w:hAnsi="Calibri" w:cs="Calibri"/>
          <w:b/>
        </w:rPr>
      </w:pPr>
      <w:r w:rsidRPr="00440722">
        <w:rPr>
          <w:rFonts w:ascii="Calibri" w:hAnsi="Calibri" w:cs="Calibri"/>
        </w:rPr>
        <w:t>Jednotkové ceny jsou stanoveny:</w:t>
      </w:r>
    </w:p>
    <w:p w:rsidR="00F51D66" w:rsidRPr="00DA2971" w:rsidRDefault="00F51D66" w:rsidP="00963516">
      <w:pPr>
        <w:jc w:val="both"/>
        <w:rPr>
          <w:rFonts w:ascii="Calibri" w:hAnsi="Calibri" w:cs="Calibri"/>
          <w:sz w:val="6"/>
          <w:szCs w:val="2"/>
        </w:rPr>
      </w:pPr>
    </w:p>
    <w:tbl>
      <w:tblPr>
        <w:tblW w:w="9284" w:type="dxa"/>
        <w:tblInd w:w="496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602"/>
        <w:gridCol w:w="1776"/>
        <w:gridCol w:w="1985"/>
        <w:gridCol w:w="354"/>
      </w:tblGrid>
      <w:tr w:rsidR="00F51D66" w:rsidRPr="008F18EF" w:rsidTr="00DA2971">
        <w:trPr>
          <w:gridAfter w:val="1"/>
          <w:wAfter w:w="354" w:type="dxa"/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51D66" w:rsidRPr="008F18EF" w:rsidRDefault="00DA2971" w:rsidP="00C40A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</w:t>
            </w:r>
            <w:r w:rsidR="00F51D66" w:rsidRPr="008F18E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46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F51D66" w:rsidRPr="008F18EF" w:rsidRDefault="00F51D66" w:rsidP="00C40A28">
            <w:pPr>
              <w:ind w:firstLine="77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F18E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předmět činnosti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51D66" w:rsidRPr="008F18EF" w:rsidRDefault="00F51D66" w:rsidP="00C40A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F18E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za jednotku</w:t>
            </w:r>
          </w:p>
        </w:tc>
      </w:tr>
      <w:tr w:rsidR="00F51D66" w:rsidRPr="008F18EF" w:rsidTr="00F51D66">
        <w:trPr>
          <w:gridAfter w:val="1"/>
          <w:wAfter w:w="354" w:type="dxa"/>
          <w:trHeight w:val="6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D66" w:rsidRPr="008F18EF" w:rsidRDefault="00F51D66" w:rsidP="00C40A2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1D66" w:rsidRPr="008F18EF" w:rsidRDefault="00F51D66" w:rsidP="00C40A28">
            <w:pPr>
              <w:ind w:firstLine="77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51D66" w:rsidRPr="008F18EF" w:rsidRDefault="00F51D66" w:rsidP="00C40A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F18E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měrná jednotka (MJ)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51D66" w:rsidRDefault="00F51D66" w:rsidP="00C40A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F18E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cena za MJ </w:t>
            </w:r>
          </w:p>
          <w:p w:rsidR="00F51D66" w:rsidRPr="008F18EF" w:rsidRDefault="00F51D66" w:rsidP="00C40A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F18E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(Kč bez DPH)</w:t>
            </w:r>
          </w:p>
        </w:tc>
      </w:tr>
      <w:tr w:rsidR="00F51D66" w:rsidRPr="008F18EF" w:rsidTr="00F51D66">
        <w:trPr>
          <w:gridAfter w:val="1"/>
          <w:wAfter w:w="354" w:type="dxa"/>
          <w:trHeight w:hRule="exact" w:val="6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D66" w:rsidRPr="008F18EF" w:rsidRDefault="00F51D66" w:rsidP="00C40A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18E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D66" w:rsidRPr="00C40A28" w:rsidRDefault="00931706" w:rsidP="00C40A28">
            <w:pPr>
              <w:ind w:left="77"/>
              <w:rPr>
                <w:rFonts w:ascii="Calibri" w:hAnsi="Calibri" w:cs="Calibri"/>
                <w:sz w:val="22"/>
                <w:szCs w:val="22"/>
              </w:rPr>
            </w:pPr>
            <w:r w:rsidRPr="00C40A28">
              <w:rPr>
                <w:rFonts w:ascii="Calibri" w:hAnsi="Calibri" w:cs="Calibri"/>
                <w:sz w:val="22"/>
                <w:szCs w:val="22"/>
              </w:rPr>
              <w:t>sazba</w:t>
            </w:r>
            <w:r w:rsidR="008932D2" w:rsidRPr="00C40A28">
              <w:rPr>
                <w:rFonts w:ascii="Calibri" w:hAnsi="Calibri" w:cs="Calibri"/>
                <w:sz w:val="22"/>
                <w:szCs w:val="22"/>
              </w:rPr>
              <w:t xml:space="preserve"> profesí HSV zemní a pomocné práce </w:t>
            </w:r>
            <w:r w:rsidR="00AD0B12" w:rsidRPr="00C40A28">
              <w:rPr>
                <w:rFonts w:ascii="Calibri" w:hAnsi="Calibri" w:cs="Calibri"/>
                <w:sz w:val="22"/>
                <w:szCs w:val="22"/>
              </w:rPr>
              <w:t>-</w:t>
            </w:r>
            <w:r w:rsidR="008932D2" w:rsidRPr="00C40A28">
              <w:rPr>
                <w:rFonts w:ascii="Calibri" w:hAnsi="Calibri" w:cs="Calibri"/>
                <w:sz w:val="22"/>
                <w:szCs w:val="22"/>
              </w:rPr>
              <w:t>stavební dělník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D66" w:rsidRPr="008F18EF" w:rsidRDefault="00F51D66" w:rsidP="00C40A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18EF">
              <w:rPr>
                <w:rFonts w:ascii="Calibri" w:hAnsi="Calibri" w:cs="Calibri"/>
                <w:color w:val="000000"/>
                <w:sz w:val="22"/>
                <w:szCs w:val="22"/>
              </w:rPr>
              <w:t>hod.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1D66" w:rsidRPr="008F18EF" w:rsidRDefault="00F51D66" w:rsidP="00C40A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18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51D66" w:rsidRPr="008F18EF" w:rsidTr="00C40A28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D66" w:rsidRPr="008F18EF" w:rsidRDefault="00F51D66" w:rsidP="00C40A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18E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D66" w:rsidRPr="00C40A28" w:rsidRDefault="00931706" w:rsidP="00C40A28">
            <w:pPr>
              <w:ind w:left="77"/>
              <w:rPr>
                <w:rFonts w:ascii="Calibri" w:hAnsi="Calibri" w:cs="Calibri"/>
                <w:sz w:val="22"/>
                <w:szCs w:val="22"/>
              </w:rPr>
            </w:pPr>
            <w:r w:rsidRPr="00C40A28">
              <w:rPr>
                <w:rFonts w:ascii="Calibri" w:hAnsi="Calibri" w:cs="Calibri"/>
                <w:sz w:val="22"/>
                <w:szCs w:val="22"/>
              </w:rPr>
              <w:t>sazba</w:t>
            </w:r>
            <w:r w:rsidR="008932D2" w:rsidRPr="00C40A28">
              <w:rPr>
                <w:rFonts w:ascii="Calibri" w:hAnsi="Calibri" w:cs="Calibri"/>
                <w:sz w:val="22"/>
                <w:szCs w:val="22"/>
              </w:rPr>
              <w:t xml:space="preserve"> profesí odborný stavební dělník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D66" w:rsidRPr="008F18EF" w:rsidRDefault="00F51D66" w:rsidP="00C40A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18EF">
              <w:rPr>
                <w:rFonts w:ascii="Calibri" w:hAnsi="Calibri" w:cs="Calibri"/>
                <w:color w:val="000000"/>
                <w:sz w:val="22"/>
                <w:szCs w:val="22"/>
              </w:rPr>
              <w:t>hod.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1D66" w:rsidRPr="008F18EF" w:rsidRDefault="00F51D66" w:rsidP="00C40A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18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" w:type="dxa"/>
            <w:tcBorders>
              <w:left w:val="single" w:sz="4" w:space="0" w:color="auto"/>
            </w:tcBorders>
            <w:vAlign w:val="center"/>
            <w:hideMark/>
          </w:tcPr>
          <w:p w:rsidR="00F51D66" w:rsidRPr="008F18EF" w:rsidRDefault="00F51D66" w:rsidP="00C47C92">
            <w:pPr>
              <w:rPr>
                <w:sz w:val="20"/>
              </w:rPr>
            </w:pPr>
          </w:p>
        </w:tc>
      </w:tr>
    </w:tbl>
    <w:p w:rsidR="00F51D66" w:rsidRPr="00833208" w:rsidRDefault="00F51D66" w:rsidP="00833208">
      <w:pPr>
        <w:ind w:left="357"/>
        <w:jc w:val="both"/>
        <w:rPr>
          <w:rFonts w:ascii="Calibri" w:hAnsi="Calibri" w:cs="Calibri"/>
          <w:b/>
          <w:sz w:val="16"/>
          <w:szCs w:val="12"/>
        </w:rPr>
      </w:pPr>
    </w:p>
    <w:p w:rsidR="00DF432C" w:rsidRPr="00440722" w:rsidRDefault="00DF432C" w:rsidP="00634963">
      <w:pPr>
        <w:spacing w:line="340" w:lineRule="exact"/>
        <w:jc w:val="center"/>
        <w:rPr>
          <w:rFonts w:ascii="Calibri" w:hAnsi="Calibri" w:cs="Calibri"/>
          <w:b/>
        </w:rPr>
      </w:pPr>
      <w:r w:rsidRPr="00440722">
        <w:rPr>
          <w:rFonts w:ascii="Calibri" w:hAnsi="Calibri" w:cs="Calibri"/>
          <w:b/>
        </w:rPr>
        <w:t>Čl</w:t>
      </w:r>
      <w:r w:rsidR="00C34338">
        <w:rPr>
          <w:rFonts w:ascii="Calibri" w:hAnsi="Calibri" w:cs="Calibri"/>
          <w:b/>
        </w:rPr>
        <w:t>ánek</w:t>
      </w:r>
      <w:r w:rsidRPr="00440722">
        <w:rPr>
          <w:rFonts w:ascii="Calibri" w:hAnsi="Calibri" w:cs="Calibri"/>
          <w:b/>
        </w:rPr>
        <w:t xml:space="preserve"> I</w:t>
      </w:r>
      <w:r w:rsidR="00656ED5">
        <w:rPr>
          <w:rFonts w:ascii="Calibri" w:hAnsi="Calibri" w:cs="Calibri"/>
          <w:b/>
        </w:rPr>
        <w:t>II</w:t>
      </w:r>
      <w:r w:rsidR="00C34338">
        <w:rPr>
          <w:rFonts w:ascii="Calibri" w:hAnsi="Calibri" w:cs="Calibri"/>
          <w:b/>
        </w:rPr>
        <w:t>.</w:t>
      </w:r>
    </w:p>
    <w:p w:rsidR="00F45D9E" w:rsidRPr="00440722" w:rsidRDefault="00DF432C" w:rsidP="00F12D67">
      <w:pPr>
        <w:spacing w:after="120" w:line="300" w:lineRule="exact"/>
        <w:jc w:val="center"/>
        <w:rPr>
          <w:rFonts w:ascii="Calibri" w:hAnsi="Calibri" w:cs="Calibri"/>
          <w:b/>
        </w:rPr>
      </w:pPr>
      <w:r w:rsidRPr="00440722">
        <w:rPr>
          <w:rFonts w:ascii="Calibri" w:hAnsi="Calibri" w:cs="Calibri"/>
          <w:b/>
        </w:rPr>
        <w:t>Platební podmínky</w:t>
      </w:r>
    </w:p>
    <w:p w:rsidR="00DF432C" w:rsidRDefault="00DF432C" w:rsidP="0017626B">
      <w:pPr>
        <w:numPr>
          <w:ilvl w:val="0"/>
          <w:numId w:val="7"/>
        </w:numPr>
        <w:spacing w:line="276" w:lineRule="auto"/>
        <w:ind w:left="357" w:hanging="357"/>
        <w:jc w:val="both"/>
        <w:rPr>
          <w:rFonts w:ascii="Calibri" w:hAnsi="Calibri" w:cs="Calibri"/>
        </w:rPr>
      </w:pPr>
      <w:r w:rsidRPr="00440722">
        <w:rPr>
          <w:rFonts w:ascii="Calibri" w:hAnsi="Calibri" w:cs="Calibri"/>
        </w:rPr>
        <w:t>Podkladem pro úhradu je faktura, kterou zhotovitel vystav</w:t>
      </w:r>
      <w:r w:rsidR="00D12804" w:rsidRPr="00440722">
        <w:rPr>
          <w:rFonts w:ascii="Calibri" w:hAnsi="Calibri" w:cs="Calibri"/>
        </w:rPr>
        <w:t xml:space="preserve">í po ukončení </w:t>
      </w:r>
      <w:r w:rsidR="00B87A38">
        <w:rPr>
          <w:rFonts w:ascii="Calibri" w:hAnsi="Calibri" w:cs="Calibri"/>
        </w:rPr>
        <w:t>jednotlivých dílčích zadání (objednávek).</w:t>
      </w:r>
    </w:p>
    <w:p w:rsidR="00C70D56" w:rsidRPr="00C70D56" w:rsidRDefault="00C70D56" w:rsidP="00C70D56">
      <w:pPr>
        <w:numPr>
          <w:ilvl w:val="0"/>
          <w:numId w:val="7"/>
        </w:numPr>
        <w:spacing w:line="276" w:lineRule="auto"/>
        <w:ind w:left="357" w:hanging="357"/>
        <w:jc w:val="both"/>
        <w:rPr>
          <w:rFonts w:ascii="Calibri" w:hAnsi="Calibri" w:cs="Calibri"/>
        </w:rPr>
      </w:pPr>
      <w:r w:rsidRPr="00C70D56">
        <w:rPr>
          <w:rFonts w:ascii="Calibri" w:hAnsi="Calibri" w:cs="Calibri"/>
        </w:rPr>
        <w:t xml:space="preserve">Práce budou fakturovány měsíčně dle odsouhlasených výkazů prací. Objednatel má právo na kontrolu vykázaných hodin. V případě </w:t>
      </w:r>
      <w:r>
        <w:rPr>
          <w:rFonts w:ascii="Calibri" w:hAnsi="Calibri" w:cs="Calibri"/>
        </w:rPr>
        <w:t xml:space="preserve">nesouladu či </w:t>
      </w:r>
      <w:r w:rsidRPr="00C70D56">
        <w:rPr>
          <w:rFonts w:ascii="Calibri" w:hAnsi="Calibri" w:cs="Calibri"/>
        </w:rPr>
        <w:t xml:space="preserve">nesouhlasu s vykázaným množstvím odpracovaných hodin si objednatel vyhrazuje právo provést kontrolu dle normohodin podle ceníku URS dle jednotlivých činností na jednotlivých zadáních.  </w:t>
      </w:r>
    </w:p>
    <w:p w:rsidR="00FA4FC7" w:rsidRDefault="007729CD" w:rsidP="0017626B">
      <w:pPr>
        <w:numPr>
          <w:ilvl w:val="0"/>
          <w:numId w:val="7"/>
        </w:numPr>
        <w:spacing w:line="276" w:lineRule="auto"/>
        <w:ind w:left="357" w:hanging="357"/>
        <w:jc w:val="both"/>
        <w:rPr>
          <w:rFonts w:ascii="Calibri" w:hAnsi="Calibri" w:cs="Calibri"/>
        </w:rPr>
      </w:pPr>
      <w:r w:rsidRPr="00440722">
        <w:rPr>
          <w:rFonts w:ascii="Calibri" w:hAnsi="Calibri" w:cs="Calibri"/>
        </w:rPr>
        <w:t>Faktura je splatná do 14</w:t>
      </w:r>
      <w:r w:rsidR="00DF432C" w:rsidRPr="00440722">
        <w:rPr>
          <w:rFonts w:ascii="Calibri" w:hAnsi="Calibri" w:cs="Calibri"/>
        </w:rPr>
        <w:t xml:space="preserve"> dnů ode dne doručení objednateli.</w:t>
      </w:r>
    </w:p>
    <w:p w:rsidR="00B87A38" w:rsidRPr="00440722" w:rsidRDefault="00B87A38" w:rsidP="0017626B">
      <w:pPr>
        <w:numPr>
          <w:ilvl w:val="0"/>
          <w:numId w:val="7"/>
        </w:numPr>
        <w:spacing w:line="276" w:lineRule="auto"/>
        <w:ind w:left="357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Faktura bude elektronicky zasl</w:t>
      </w:r>
      <w:r w:rsidR="003D418A">
        <w:rPr>
          <w:rFonts w:ascii="Calibri" w:hAnsi="Calibri" w:cs="Calibri"/>
        </w:rPr>
        <w:t xml:space="preserve">ána na email: </w:t>
      </w:r>
      <w:hyperlink r:id="rId8" w:history="1">
        <w:r w:rsidR="003D418A" w:rsidRPr="001A74C5">
          <w:rPr>
            <w:rStyle w:val="Hypertextovodkaz"/>
            <w:rFonts w:ascii="Calibri" w:hAnsi="Calibri" w:cs="Calibri"/>
          </w:rPr>
          <w:t>fakturace@tsml.cz</w:t>
        </w:r>
      </w:hyperlink>
      <w:r w:rsidR="003D418A">
        <w:rPr>
          <w:rFonts w:ascii="Calibri" w:hAnsi="Calibri" w:cs="Calibri"/>
        </w:rPr>
        <w:t xml:space="preserve"> nebo osobně doručena na středisko údržby </w:t>
      </w:r>
      <w:r w:rsidR="00FA6CFB">
        <w:rPr>
          <w:rFonts w:ascii="Calibri" w:hAnsi="Calibri" w:cs="Calibri"/>
        </w:rPr>
        <w:t>komunikací.</w:t>
      </w:r>
    </w:p>
    <w:p w:rsidR="00FA4FC7" w:rsidRDefault="00FA4FC7" w:rsidP="0017626B">
      <w:pPr>
        <w:numPr>
          <w:ilvl w:val="0"/>
          <w:numId w:val="7"/>
        </w:numPr>
        <w:spacing w:line="276" w:lineRule="auto"/>
        <w:ind w:left="357" w:hanging="357"/>
        <w:jc w:val="both"/>
        <w:rPr>
          <w:rFonts w:ascii="Calibri" w:hAnsi="Calibri" w:cs="Calibri"/>
        </w:rPr>
      </w:pPr>
      <w:r w:rsidRPr="00440722">
        <w:rPr>
          <w:rFonts w:ascii="Calibri" w:hAnsi="Calibri" w:cs="Calibri"/>
        </w:rPr>
        <w:t xml:space="preserve">Pokud bude mít zhotovitel v době splatnosti daňového dokladu status </w:t>
      </w:r>
      <w:r w:rsidR="00AA05AF" w:rsidRPr="00440722">
        <w:rPr>
          <w:rFonts w:ascii="Calibri" w:hAnsi="Calibri" w:cs="Calibri"/>
        </w:rPr>
        <w:t xml:space="preserve">nespolehlivého plátce a to dle </w:t>
      </w:r>
      <w:r w:rsidRPr="00440722">
        <w:rPr>
          <w:rFonts w:ascii="Calibri" w:hAnsi="Calibri" w:cs="Calibri"/>
        </w:rPr>
        <w:t>§</w:t>
      </w:r>
      <w:r w:rsidR="00C42C9B">
        <w:rPr>
          <w:rFonts w:ascii="Calibri" w:hAnsi="Calibri" w:cs="Calibri"/>
        </w:rPr>
        <w:t xml:space="preserve"> </w:t>
      </w:r>
      <w:r w:rsidRPr="00440722">
        <w:rPr>
          <w:rFonts w:ascii="Calibri" w:hAnsi="Calibri" w:cs="Calibri"/>
        </w:rPr>
        <w:t xml:space="preserve">106a zákona </w:t>
      </w:r>
      <w:r w:rsidR="00146F70">
        <w:rPr>
          <w:rFonts w:ascii="Calibri" w:hAnsi="Calibri" w:cs="Calibri"/>
        </w:rPr>
        <w:t xml:space="preserve">č. </w:t>
      </w:r>
      <w:r w:rsidRPr="00440722">
        <w:rPr>
          <w:rFonts w:ascii="Calibri" w:hAnsi="Calibri" w:cs="Calibri"/>
        </w:rPr>
        <w:t>235/04 Sb. o dani z přidané ho</w:t>
      </w:r>
      <w:r w:rsidR="002F1D9A" w:rsidRPr="00440722">
        <w:rPr>
          <w:rFonts w:ascii="Calibri" w:hAnsi="Calibri" w:cs="Calibri"/>
        </w:rPr>
        <w:t xml:space="preserve">dnoty v platném znění, </w:t>
      </w:r>
      <w:r w:rsidRPr="00440722">
        <w:rPr>
          <w:rFonts w:ascii="Calibri" w:hAnsi="Calibri" w:cs="Calibri"/>
        </w:rPr>
        <w:t>objednatel ručí za nezaplacenou daň.</w:t>
      </w:r>
      <w:r w:rsidR="002F1D9A" w:rsidRPr="00440722">
        <w:rPr>
          <w:rFonts w:ascii="Calibri" w:hAnsi="Calibri" w:cs="Calibri"/>
        </w:rPr>
        <w:t xml:space="preserve"> O</w:t>
      </w:r>
      <w:r w:rsidRPr="00440722">
        <w:rPr>
          <w:rFonts w:ascii="Calibri" w:hAnsi="Calibri" w:cs="Calibri"/>
        </w:rPr>
        <w:t xml:space="preserve">bjednatel je v tomto případě oprávněn nezaplatit </w:t>
      </w:r>
      <w:r w:rsidR="002F1D9A" w:rsidRPr="00440722">
        <w:rPr>
          <w:rFonts w:ascii="Calibri" w:hAnsi="Calibri" w:cs="Calibri"/>
        </w:rPr>
        <w:t>zhotoviteli</w:t>
      </w:r>
      <w:r w:rsidRPr="00440722">
        <w:rPr>
          <w:rFonts w:ascii="Calibri" w:hAnsi="Calibri" w:cs="Calibri"/>
        </w:rPr>
        <w:t xml:space="preserve"> částku ve výši rovnající se DPH, která bude použita jako zvláštní způsob zajištění daně dle §</w:t>
      </w:r>
      <w:r w:rsidR="00C42C9B">
        <w:rPr>
          <w:rFonts w:ascii="Calibri" w:hAnsi="Calibri" w:cs="Calibri"/>
        </w:rPr>
        <w:t xml:space="preserve"> </w:t>
      </w:r>
      <w:r w:rsidRPr="00440722">
        <w:rPr>
          <w:rFonts w:ascii="Calibri" w:hAnsi="Calibri" w:cs="Calibri"/>
        </w:rPr>
        <w:t>109a zákona 235/04 Sb.</w:t>
      </w:r>
    </w:p>
    <w:p w:rsidR="00B14649" w:rsidRPr="00C40A28" w:rsidRDefault="00B14649" w:rsidP="00173749">
      <w:pPr>
        <w:spacing w:line="276" w:lineRule="auto"/>
        <w:jc w:val="both"/>
        <w:rPr>
          <w:rFonts w:ascii="Calibri" w:hAnsi="Calibri" w:cs="Calibri"/>
          <w:sz w:val="10"/>
          <w:szCs w:val="6"/>
        </w:rPr>
      </w:pPr>
    </w:p>
    <w:p w:rsidR="00C34338" w:rsidRPr="00DA2971" w:rsidRDefault="00C34338" w:rsidP="00F12D67">
      <w:pPr>
        <w:rPr>
          <w:rFonts w:ascii="Calibri" w:hAnsi="Calibri" w:cs="Calibri"/>
          <w:b/>
          <w:sz w:val="10"/>
          <w:szCs w:val="6"/>
        </w:rPr>
      </w:pPr>
    </w:p>
    <w:p w:rsidR="00DF432C" w:rsidRPr="00440722" w:rsidRDefault="00DF432C" w:rsidP="00F12D67">
      <w:pPr>
        <w:spacing w:line="300" w:lineRule="exact"/>
        <w:jc w:val="center"/>
        <w:rPr>
          <w:rFonts w:ascii="Calibri" w:hAnsi="Calibri" w:cs="Calibri"/>
          <w:b/>
        </w:rPr>
      </w:pPr>
      <w:r w:rsidRPr="00440722">
        <w:rPr>
          <w:rFonts w:ascii="Calibri" w:hAnsi="Calibri" w:cs="Calibri"/>
          <w:b/>
        </w:rPr>
        <w:t>Čl</w:t>
      </w:r>
      <w:r w:rsidR="00C34338">
        <w:rPr>
          <w:rFonts w:ascii="Calibri" w:hAnsi="Calibri" w:cs="Calibri"/>
          <w:b/>
        </w:rPr>
        <w:t>ánek</w:t>
      </w:r>
      <w:r w:rsidRPr="00440722">
        <w:rPr>
          <w:rFonts w:ascii="Calibri" w:hAnsi="Calibri" w:cs="Calibri"/>
          <w:b/>
        </w:rPr>
        <w:t xml:space="preserve"> </w:t>
      </w:r>
      <w:r w:rsidR="00656ED5">
        <w:rPr>
          <w:rFonts w:ascii="Calibri" w:hAnsi="Calibri" w:cs="Calibri"/>
          <w:b/>
        </w:rPr>
        <w:t>I</w:t>
      </w:r>
      <w:r w:rsidRPr="00440722">
        <w:rPr>
          <w:rFonts w:ascii="Calibri" w:hAnsi="Calibri" w:cs="Calibri"/>
          <w:b/>
        </w:rPr>
        <w:t>V</w:t>
      </w:r>
      <w:r w:rsidR="00C34338">
        <w:rPr>
          <w:rFonts w:ascii="Calibri" w:hAnsi="Calibri" w:cs="Calibri"/>
          <w:b/>
        </w:rPr>
        <w:t>.</w:t>
      </w:r>
    </w:p>
    <w:p w:rsidR="007F30E1" w:rsidRPr="00440722" w:rsidRDefault="00EF03A1" w:rsidP="00F12D67">
      <w:pPr>
        <w:spacing w:after="120" w:line="300" w:lineRule="exact"/>
        <w:jc w:val="center"/>
        <w:rPr>
          <w:rFonts w:ascii="Calibri" w:hAnsi="Calibri" w:cs="Calibri"/>
          <w:b/>
        </w:rPr>
      </w:pPr>
      <w:r w:rsidRPr="00440722">
        <w:rPr>
          <w:rFonts w:ascii="Calibri" w:hAnsi="Calibri" w:cs="Calibri"/>
          <w:b/>
        </w:rPr>
        <w:t>Ostatní ujednání</w:t>
      </w:r>
    </w:p>
    <w:p w:rsidR="00DF432C" w:rsidRDefault="00DF432C" w:rsidP="0017626B">
      <w:pPr>
        <w:numPr>
          <w:ilvl w:val="0"/>
          <w:numId w:val="8"/>
        </w:numPr>
        <w:spacing w:line="276" w:lineRule="auto"/>
        <w:ind w:left="357" w:hanging="357"/>
        <w:jc w:val="both"/>
        <w:rPr>
          <w:rFonts w:ascii="Calibri" w:hAnsi="Calibri" w:cs="Calibri"/>
        </w:rPr>
      </w:pPr>
      <w:r w:rsidRPr="00440722">
        <w:rPr>
          <w:rFonts w:ascii="Calibri" w:hAnsi="Calibri" w:cs="Calibri"/>
        </w:rPr>
        <w:t>Zhotovitel řídí práce na pracovišti svým odpovědným pracovníkem a zodpovídá za d</w:t>
      </w:r>
      <w:r w:rsidR="00B87A38">
        <w:rPr>
          <w:rFonts w:ascii="Calibri" w:hAnsi="Calibri" w:cs="Calibri"/>
        </w:rPr>
        <w:t>održení technologických</w:t>
      </w:r>
      <w:r w:rsidRPr="00440722">
        <w:rPr>
          <w:rFonts w:ascii="Calibri" w:hAnsi="Calibri" w:cs="Calibri"/>
        </w:rPr>
        <w:t xml:space="preserve"> postupů a za dodržování</w:t>
      </w:r>
      <w:r w:rsidR="004267C0">
        <w:rPr>
          <w:rFonts w:ascii="Calibri" w:hAnsi="Calibri" w:cs="Calibri"/>
        </w:rPr>
        <w:t xml:space="preserve"> pravidel bezpečnosti při práci v koordinaci s objednavatelem.</w:t>
      </w:r>
    </w:p>
    <w:p w:rsidR="00DF432C" w:rsidRPr="00440722" w:rsidRDefault="00DF432C" w:rsidP="0017626B">
      <w:pPr>
        <w:numPr>
          <w:ilvl w:val="0"/>
          <w:numId w:val="8"/>
        </w:numPr>
        <w:spacing w:line="276" w:lineRule="auto"/>
        <w:ind w:left="357" w:hanging="357"/>
        <w:jc w:val="both"/>
        <w:rPr>
          <w:rFonts w:ascii="Calibri" w:hAnsi="Calibri" w:cs="Calibri"/>
        </w:rPr>
      </w:pPr>
      <w:r w:rsidRPr="00440722">
        <w:rPr>
          <w:rFonts w:ascii="Calibri" w:hAnsi="Calibri" w:cs="Calibri"/>
        </w:rPr>
        <w:t xml:space="preserve">Pro věci v této smlouvě neuvedené platí ustanovení </w:t>
      </w:r>
      <w:r w:rsidR="00AE46BC" w:rsidRPr="00440722">
        <w:rPr>
          <w:rFonts w:ascii="Calibri" w:hAnsi="Calibri" w:cs="Calibri"/>
        </w:rPr>
        <w:t>obecně závazných právních předpisů.</w:t>
      </w:r>
    </w:p>
    <w:p w:rsidR="00DF432C" w:rsidRDefault="00DF432C" w:rsidP="0017626B">
      <w:pPr>
        <w:numPr>
          <w:ilvl w:val="0"/>
          <w:numId w:val="8"/>
        </w:numPr>
        <w:spacing w:line="276" w:lineRule="auto"/>
        <w:ind w:left="357" w:hanging="357"/>
        <w:jc w:val="both"/>
        <w:rPr>
          <w:rFonts w:ascii="Calibri" w:hAnsi="Calibri" w:cs="Calibri"/>
        </w:rPr>
      </w:pPr>
      <w:r w:rsidRPr="00440722">
        <w:rPr>
          <w:rFonts w:ascii="Calibri" w:hAnsi="Calibri" w:cs="Calibri"/>
        </w:rPr>
        <w:lastRenderedPageBreak/>
        <w:t xml:space="preserve">Zhotovitel </w:t>
      </w:r>
      <w:r w:rsidR="008F47FA">
        <w:rPr>
          <w:rFonts w:ascii="Calibri" w:hAnsi="Calibri" w:cs="Calibri"/>
        </w:rPr>
        <w:t xml:space="preserve">i zadavatel </w:t>
      </w:r>
      <w:r w:rsidRPr="00440722">
        <w:rPr>
          <w:rFonts w:ascii="Calibri" w:hAnsi="Calibri" w:cs="Calibri"/>
        </w:rPr>
        <w:t>bere na vědomí, že práce mohou být z provozních důvodů, nebo z důvodů počasí přerušeny na kratší dobu. Toto přerušení není důvodem ke změně této smlouvy.</w:t>
      </w:r>
    </w:p>
    <w:p w:rsidR="000537C3" w:rsidRPr="000537C3" w:rsidRDefault="000537C3" w:rsidP="000537C3">
      <w:pPr>
        <w:numPr>
          <w:ilvl w:val="0"/>
          <w:numId w:val="8"/>
        </w:numPr>
        <w:spacing w:line="276" w:lineRule="auto"/>
        <w:ind w:left="357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Objednate</w:t>
      </w:r>
      <w:r w:rsidRPr="000537C3">
        <w:rPr>
          <w:rFonts w:ascii="Calibri" w:hAnsi="Calibri" w:cs="Calibri"/>
        </w:rPr>
        <w:t>l požaduje zahájení činnosti do 5 kalendářních dní od objednání.</w:t>
      </w:r>
    </w:p>
    <w:p w:rsidR="000537C3" w:rsidRPr="000537C3" w:rsidRDefault="00F95849" w:rsidP="000537C3">
      <w:pPr>
        <w:numPr>
          <w:ilvl w:val="0"/>
          <w:numId w:val="8"/>
        </w:numPr>
        <w:spacing w:line="276" w:lineRule="auto"/>
        <w:ind w:left="357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Objednate</w:t>
      </w:r>
      <w:r w:rsidR="000537C3" w:rsidRPr="000537C3">
        <w:rPr>
          <w:rFonts w:ascii="Calibri" w:hAnsi="Calibri" w:cs="Calibri"/>
        </w:rPr>
        <w:t xml:space="preserve">l požaduje, aby k dispozici pro plnění veřejné zakázky byli minimálně čtyři a maximálně 10 pracovníků zhotovitele. Tito pracovníci musí splňovat požadované odborné znalosti pro profese dle </w:t>
      </w:r>
      <w:r w:rsidR="00A016BB">
        <w:rPr>
          <w:rFonts w:ascii="Calibri" w:hAnsi="Calibri" w:cs="Calibri"/>
        </w:rPr>
        <w:t>čl. II. odst. 2 této smlouvy</w:t>
      </w:r>
      <w:r w:rsidR="000537C3" w:rsidRPr="000537C3">
        <w:rPr>
          <w:rFonts w:ascii="Calibri" w:hAnsi="Calibri" w:cs="Calibri"/>
        </w:rPr>
        <w:t xml:space="preserve"> a zhotovitel musí mít k dispozici obě skupiny těchto pracovníků (obě profese). Počty pracovníků dle těchto skupin bude určovat objednatel dle své aktuální potřeby. </w:t>
      </w:r>
    </w:p>
    <w:p w:rsidR="00C204A5" w:rsidRPr="00440722" w:rsidRDefault="008D6684" w:rsidP="0017626B">
      <w:pPr>
        <w:numPr>
          <w:ilvl w:val="0"/>
          <w:numId w:val="8"/>
        </w:numPr>
        <w:spacing w:line="276" w:lineRule="auto"/>
        <w:ind w:left="357" w:hanging="357"/>
        <w:jc w:val="both"/>
        <w:rPr>
          <w:rFonts w:ascii="Calibri" w:hAnsi="Calibri" w:cs="Calibri"/>
        </w:rPr>
      </w:pPr>
      <w:r w:rsidRPr="00440722">
        <w:rPr>
          <w:rFonts w:ascii="Calibri" w:hAnsi="Calibri" w:cs="Calibri"/>
        </w:rPr>
        <w:t xml:space="preserve">Zhotovitel odpovídá za škody způsobené objednateli či třetím osobám v souvislosti s prováděním díla. Zhotovitel má povinnost být </w:t>
      </w:r>
      <w:r w:rsidR="00C204A5" w:rsidRPr="00440722">
        <w:rPr>
          <w:rFonts w:ascii="Calibri" w:hAnsi="Calibri" w:cs="Calibri"/>
        </w:rPr>
        <w:t>proti těmto škodám pojištěn</w:t>
      </w:r>
      <w:r w:rsidRPr="00440722">
        <w:rPr>
          <w:rFonts w:ascii="Calibri" w:hAnsi="Calibri" w:cs="Calibri"/>
        </w:rPr>
        <w:t>, v</w:t>
      </w:r>
      <w:r w:rsidR="00C204A5" w:rsidRPr="00440722">
        <w:rPr>
          <w:rFonts w:ascii="Calibri" w:hAnsi="Calibri" w:cs="Calibri"/>
        </w:rPr>
        <w:t>eškeré</w:t>
      </w:r>
      <w:r w:rsidR="008E0301" w:rsidRPr="00440722">
        <w:rPr>
          <w:rFonts w:ascii="Calibri" w:hAnsi="Calibri" w:cs="Calibri"/>
        </w:rPr>
        <w:t xml:space="preserve"> pojistné události </w:t>
      </w:r>
      <w:r w:rsidR="00C204A5" w:rsidRPr="00440722">
        <w:rPr>
          <w:rFonts w:ascii="Calibri" w:hAnsi="Calibri" w:cs="Calibri"/>
        </w:rPr>
        <w:t>řeší zhotovitel na své náklady.</w:t>
      </w:r>
      <w:r w:rsidR="00CF64A9" w:rsidRPr="00440722">
        <w:rPr>
          <w:rFonts w:ascii="Calibri" w:hAnsi="Calibri" w:cs="Calibri"/>
        </w:rPr>
        <w:t xml:space="preserve"> Zhotovitel je povinen ve lhůtě do 30 dní od podpisu </w:t>
      </w:r>
      <w:r w:rsidR="007D7DB6" w:rsidRPr="00440722">
        <w:rPr>
          <w:rFonts w:ascii="Calibri" w:hAnsi="Calibri" w:cs="Calibri"/>
        </w:rPr>
        <w:t xml:space="preserve">této </w:t>
      </w:r>
      <w:r w:rsidR="00CF64A9" w:rsidRPr="00440722">
        <w:rPr>
          <w:rFonts w:ascii="Calibri" w:hAnsi="Calibri" w:cs="Calibri"/>
        </w:rPr>
        <w:t xml:space="preserve">smlouvy doložit </w:t>
      </w:r>
      <w:r w:rsidR="007D7DB6" w:rsidRPr="00440722">
        <w:rPr>
          <w:rFonts w:ascii="Calibri" w:hAnsi="Calibri" w:cs="Calibri"/>
        </w:rPr>
        <w:t xml:space="preserve">objednateli </w:t>
      </w:r>
      <w:r w:rsidR="00CF64A9" w:rsidRPr="00440722">
        <w:rPr>
          <w:rFonts w:ascii="Calibri" w:hAnsi="Calibri" w:cs="Calibri"/>
        </w:rPr>
        <w:t>kopii smlouvy o pojištění</w:t>
      </w:r>
      <w:r w:rsidR="007D7DB6" w:rsidRPr="00440722">
        <w:rPr>
          <w:rFonts w:ascii="Calibri" w:hAnsi="Calibri" w:cs="Calibri"/>
        </w:rPr>
        <w:t xml:space="preserve"> provozní činnosti</w:t>
      </w:r>
      <w:r w:rsidR="008F47FA">
        <w:rPr>
          <w:rFonts w:ascii="Calibri" w:hAnsi="Calibri" w:cs="Calibri"/>
        </w:rPr>
        <w:t xml:space="preserve"> v minimální výši pojistného plnění </w:t>
      </w:r>
      <w:r w:rsidR="003D418A">
        <w:rPr>
          <w:rFonts w:ascii="Calibri" w:hAnsi="Calibri" w:cs="Calibri"/>
        </w:rPr>
        <w:t>500.000</w:t>
      </w:r>
      <w:r w:rsidR="008F47FA">
        <w:rPr>
          <w:rFonts w:ascii="Calibri" w:hAnsi="Calibri" w:cs="Calibri"/>
        </w:rPr>
        <w:t xml:space="preserve"> Kč</w:t>
      </w:r>
      <w:r w:rsidR="007D7DB6" w:rsidRPr="00440722">
        <w:rPr>
          <w:rFonts w:ascii="Calibri" w:hAnsi="Calibri" w:cs="Calibri"/>
        </w:rPr>
        <w:t>.</w:t>
      </w:r>
    </w:p>
    <w:p w:rsidR="00DF432C" w:rsidRDefault="00DF432C" w:rsidP="0017626B">
      <w:pPr>
        <w:numPr>
          <w:ilvl w:val="0"/>
          <w:numId w:val="8"/>
        </w:numPr>
        <w:spacing w:line="276" w:lineRule="auto"/>
        <w:ind w:left="357" w:hanging="357"/>
        <w:jc w:val="both"/>
        <w:rPr>
          <w:rFonts w:ascii="Calibri" w:hAnsi="Calibri" w:cs="Calibri"/>
        </w:rPr>
      </w:pPr>
      <w:r w:rsidRPr="00440722">
        <w:rPr>
          <w:rFonts w:ascii="Calibri" w:hAnsi="Calibri" w:cs="Calibri"/>
        </w:rPr>
        <w:t>Za případné škody na životním prostředí vzniklé při činnosti odpovídá zhotovitel a je povinen poskytnout součinnost při odstraňování ekologických škod.</w:t>
      </w:r>
    </w:p>
    <w:p w:rsidR="00F12D67" w:rsidRPr="001F461B" w:rsidRDefault="00F12D67" w:rsidP="001F461B">
      <w:pPr>
        <w:jc w:val="both"/>
        <w:rPr>
          <w:rFonts w:ascii="Calibri" w:hAnsi="Calibri" w:cs="Calibri"/>
          <w:sz w:val="18"/>
          <w:szCs w:val="14"/>
        </w:rPr>
      </w:pPr>
    </w:p>
    <w:p w:rsidR="00DF432C" w:rsidRPr="00440722" w:rsidRDefault="00DF432C" w:rsidP="00F12D67">
      <w:pPr>
        <w:spacing w:line="300" w:lineRule="exact"/>
        <w:jc w:val="center"/>
        <w:rPr>
          <w:rFonts w:ascii="Calibri" w:hAnsi="Calibri" w:cs="Calibri"/>
          <w:b/>
        </w:rPr>
      </w:pPr>
      <w:r w:rsidRPr="00440722">
        <w:rPr>
          <w:rFonts w:ascii="Calibri" w:hAnsi="Calibri" w:cs="Calibri"/>
          <w:b/>
        </w:rPr>
        <w:t>Čl</w:t>
      </w:r>
      <w:r w:rsidR="00C34338">
        <w:rPr>
          <w:rFonts w:ascii="Calibri" w:hAnsi="Calibri" w:cs="Calibri"/>
          <w:b/>
        </w:rPr>
        <w:t>ánek</w:t>
      </w:r>
      <w:r w:rsidRPr="00440722">
        <w:rPr>
          <w:rFonts w:ascii="Calibri" w:hAnsi="Calibri" w:cs="Calibri"/>
          <w:b/>
        </w:rPr>
        <w:t xml:space="preserve"> V</w:t>
      </w:r>
      <w:r w:rsidR="00C34338">
        <w:rPr>
          <w:rFonts w:ascii="Calibri" w:hAnsi="Calibri" w:cs="Calibri"/>
          <w:b/>
        </w:rPr>
        <w:t>.</w:t>
      </w:r>
    </w:p>
    <w:p w:rsidR="00DF432C" w:rsidRPr="00440722" w:rsidRDefault="00DF432C" w:rsidP="00F12D67">
      <w:pPr>
        <w:spacing w:after="120" w:line="300" w:lineRule="exact"/>
        <w:jc w:val="center"/>
        <w:rPr>
          <w:rFonts w:ascii="Calibri" w:hAnsi="Calibri" w:cs="Calibri"/>
          <w:b/>
        </w:rPr>
      </w:pPr>
      <w:r w:rsidRPr="00440722">
        <w:rPr>
          <w:rFonts w:ascii="Calibri" w:hAnsi="Calibri" w:cs="Calibri"/>
          <w:b/>
        </w:rPr>
        <w:t>Sankce</w:t>
      </w:r>
    </w:p>
    <w:p w:rsidR="00DF432C" w:rsidRDefault="00DF432C" w:rsidP="00656ED5">
      <w:pPr>
        <w:numPr>
          <w:ilvl w:val="0"/>
          <w:numId w:val="9"/>
        </w:numPr>
        <w:spacing w:line="340" w:lineRule="exact"/>
        <w:ind w:left="357" w:hanging="357"/>
        <w:jc w:val="both"/>
        <w:rPr>
          <w:rFonts w:ascii="Calibri" w:hAnsi="Calibri" w:cs="Calibri"/>
        </w:rPr>
      </w:pPr>
      <w:r w:rsidRPr="00440722">
        <w:rPr>
          <w:rFonts w:ascii="Calibri" w:hAnsi="Calibri" w:cs="Calibri"/>
        </w:rPr>
        <w:t xml:space="preserve">V případě, že </w:t>
      </w:r>
      <w:r w:rsidR="008F47FA">
        <w:rPr>
          <w:rFonts w:ascii="Calibri" w:hAnsi="Calibri" w:cs="Calibri"/>
        </w:rPr>
        <w:t>zhotovitel neprovede započetí díla do 3 pracovních dní od obdržení dílčí objednávky, uhradí objednateli smluvní pokutu ve výši 0,5% z</w:t>
      </w:r>
      <w:r w:rsidR="009227A5">
        <w:rPr>
          <w:rFonts w:ascii="Calibri" w:hAnsi="Calibri" w:cs="Calibri"/>
        </w:rPr>
        <w:t> částky dílčí objednávky za každý den prodlení nedomluví-li se smluvní strany na konkrétním termínu plnění.</w:t>
      </w:r>
    </w:p>
    <w:p w:rsidR="00DF432C" w:rsidRPr="00440722" w:rsidRDefault="00DF432C" w:rsidP="00656ED5">
      <w:pPr>
        <w:numPr>
          <w:ilvl w:val="0"/>
          <w:numId w:val="9"/>
        </w:numPr>
        <w:spacing w:line="340" w:lineRule="exact"/>
        <w:ind w:left="357" w:hanging="357"/>
        <w:jc w:val="both"/>
        <w:rPr>
          <w:rFonts w:ascii="Calibri" w:hAnsi="Calibri" w:cs="Calibri"/>
        </w:rPr>
      </w:pPr>
      <w:r w:rsidRPr="00440722">
        <w:rPr>
          <w:rFonts w:ascii="Calibri" w:hAnsi="Calibri" w:cs="Calibri"/>
        </w:rPr>
        <w:t>Za nedodržení termínu splatnosti faktury zaplatí objednatel smluvní pokutu ve výši 0,5% z dlužné částky za každý den prodlení.</w:t>
      </w:r>
    </w:p>
    <w:p w:rsidR="005B1F97" w:rsidRPr="001F461B" w:rsidRDefault="005B1F97" w:rsidP="001F461B">
      <w:pPr>
        <w:jc w:val="center"/>
        <w:rPr>
          <w:rFonts w:ascii="Calibri" w:hAnsi="Calibri" w:cs="Calibri"/>
          <w:b/>
          <w:sz w:val="18"/>
          <w:szCs w:val="14"/>
        </w:rPr>
      </w:pPr>
    </w:p>
    <w:p w:rsidR="00DF432C" w:rsidRPr="00440722" w:rsidRDefault="00DF432C" w:rsidP="00F12D67">
      <w:pPr>
        <w:spacing w:line="300" w:lineRule="exact"/>
        <w:jc w:val="center"/>
        <w:rPr>
          <w:rFonts w:ascii="Calibri" w:hAnsi="Calibri" w:cs="Calibri"/>
          <w:b/>
        </w:rPr>
      </w:pPr>
      <w:r w:rsidRPr="00440722">
        <w:rPr>
          <w:rFonts w:ascii="Calibri" w:hAnsi="Calibri" w:cs="Calibri"/>
          <w:b/>
        </w:rPr>
        <w:t>Čl</w:t>
      </w:r>
      <w:r w:rsidR="00C34338">
        <w:rPr>
          <w:rFonts w:ascii="Calibri" w:hAnsi="Calibri" w:cs="Calibri"/>
          <w:b/>
        </w:rPr>
        <w:t>ánek</w:t>
      </w:r>
      <w:r w:rsidRPr="00440722">
        <w:rPr>
          <w:rFonts w:ascii="Calibri" w:hAnsi="Calibri" w:cs="Calibri"/>
          <w:b/>
        </w:rPr>
        <w:t xml:space="preserve"> VI</w:t>
      </w:r>
      <w:r w:rsidR="00C34338">
        <w:rPr>
          <w:rFonts w:ascii="Calibri" w:hAnsi="Calibri" w:cs="Calibri"/>
          <w:b/>
        </w:rPr>
        <w:t>.</w:t>
      </w:r>
    </w:p>
    <w:p w:rsidR="00F45D9E" w:rsidRPr="00440722" w:rsidRDefault="00DF432C" w:rsidP="00F12D67">
      <w:pPr>
        <w:pStyle w:val="Nadpis5"/>
        <w:spacing w:after="120" w:line="300" w:lineRule="exact"/>
        <w:rPr>
          <w:rFonts w:ascii="Calibri" w:hAnsi="Calibri" w:cs="Calibri"/>
        </w:rPr>
      </w:pPr>
      <w:r w:rsidRPr="00440722">
        <w:rPr>
          <w:rFonts w:ascii="Calibri" w:hAnsi="Calibri" w:cs="Calibri"/>
        </w:rPr>
        <w:t>Doba trvání smlouvy a výpověď smlouvy</w:t>
      </w:r>
    </w:p>
    <w:p w:rsidR="005B5F5C" w:rsidRPr="005B5F5C" w:rsidRDefault="005B5F5C" w:rsidP="005B5F5C">
      <w:pPr>
        <w:numPr>
          <w:ilvl w:val="0"/>
          <w:numId w:val="23"/>
        </w:numPr>
        <w:spacing w:line="340" w:lineRule="exac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Tato</w:t>
      </w:r>
      <w:r w:rsidRPr="005B5F5C">
        <w:rPr>
          <w:rFonts w:ascii="Calibri" w:hAnsi="Calibri" w:cs="Calibri"/>
        </w:rPr>
        <w:t xml:space="preserve"> smlouva se uzavírá na dobu určitou do </w:t>
      </w:r>
      <w:proofErr w:type="gramStart"/>
      <w:r w:rsidRPr="005B5F5C">
        <w:rPr>
          <w:rFonts w:ascii="Calibri" w:hAnsi="Calibri" w:cs="Calibri"/>
        </w:rPr>
        <w:t>28.</w:t>
      </w:r>
      <w:r w:rsidR="00106CDF">
        <w:rPr>
          <w:rFonts w:ascii="Calibri" w:hAnsi="Calibri" w:cs="Calibri"/>
        </w:rPr>
        <w:t>03</w:t>
      </w:r>
      <w:r w:rsidRPr="005B5F5C">
        <w:rPr>
          <w:rFonts w:ascii="Calibri" w:hAnsi="Calibri" w:cs="Calibri"/>
        </w:rPr>
        <w:t>.2025</w:t>
      </w:r>
      <w:proofErr w:type="gramEnd"/>
      <w:r w:rsidRPr="005B5F5C">
        <w:rPr>
          <w:rFonts w:ascii="Calibri" w:hAnsi="Calibri" w:cs="Calibri"/>
        </w:rPr>
        <w:t xml:space="preserve">. Objednávky, které mohou být uzavřené na základě této smlouvy, se po celou dobu své platnosti a účinnosti řídí též ustanoveními rámcové dohody, a to i tehdy, když rámcová dohoda zanikne dříve než příslušná objednávka. </w:t>
      </w:r>
    </w:p>
    <w:p w:rsidR="005B5F5C" w:rsidRPr="005B5F5C" w:rsidRDefault="005B5F5C" w:rsidP="00430140">
      <w:pPr>
        <w:numPr>
          <w:ilvl w:val="0"/>
          <w:numId w:val="23"/>
        </w:numPr>
        <w:spacing w:line="340" w:lineRule="exac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Smlouva</w:t>
      </w:r>
      <w:r w:rsidRPr="005B5F5C">
        <w:rPr>
          <w:rFonts w:ascii="Calibri" w:hAnsi="Calibri" w:cs="Calibri"/>
        </w:rPr>
        <w:t xml:space="preserve"> zanikne v těchto případech:</w:t>
      </w:r>
    </w:p>
    <w:p w:rsidR="005B5F5C" w:rsidRPr="005B5F5C" w:rsidRDefault="005B5F5C" w:rsidP="00430140">
      <w:pPr>
        <w:numPr>
          <w:ilvl w:val="0"/>
          <w:numId w:val="21"/>
        </w:numPr>
        <w:spacing w:line="340" w:lineRule="exact"/>
        <w:ind w:left="924" w:hanging="357"/>
        <w:jc w:val="both"/>
        <w:rPr>
          <w:rFonts w:ascii="Calibri" w:eastAsia="Calibri" w:hAnsi="Calibri" w:cs="Calibri"/>
          <w:lang w:eastAsia="en-US"/>
        </w:rPr>
      </w:pPr>
      <w:r w:rsidRPr="005B5F5C">
        <w:rPr>
          <w:rFonts w:ascii="Calibri" w:eastAsia="Calibri" w:hAnsi="Calibri" w:cs="Calibri"/>
          <w:lang w:eastAsia="en-US"/>
        </w:rPr>
        <w:t>uplynutím sjednané doby trvání smlouvy,</w:t>
      </w:r>
    </w:p>
    <w:p w:rsidR="005B5F5C" w:rsidRPr="005B5F5C" w:rsidRDefault="005B5F5C" w:rsidP="00430140">
      <w:pPr>
        <w:numPr>
          <w:ilvl w:val="0"/>
          <w:numId w:val="21"/>
        </w:numPr>
        <w:spacing w:line="340" w:lineRule="exact"/>
        <w:ind w:left="924" w:hanging="357"/>
        <w:jc w:val="both"/>
        <w:rPr>
          <w:rFonts w:ascii="Calibri" w:eastAsia="Calibri" w:hAnsi="Calibri" w:cs="Calibri"/>
          <w:lang w:eastAsia="en-US"/>
        </w:rPr>
      </w:pPr>
      <w:r w:rsidRPr="005B5F5C">
        <w:rPr>
          <w:rFonts w:ascii="Calibri" w:eastAsia="Calibri" w:hAnsi="Calibri" w:cs="Calibri"/>
          <w:lang w:eastAsia="en-US"/>
        </w:rPr>
        <w:t xml:space="preserve">pokud zhotovitel provedl plnění dle čl. I. této smlouvy v celkové ceně ve výši 4.500.000 Kč bez DPH, v takovém případě smlouva zaniká okamžikem doručení oznámení zhotovitele o dosažení maximálně přípustné celkové ceně plnění, tj. dodaného zboží objednateli. </w:t>
      </w:r>
    </w:p>
    <w:p w:rsidR="005B5F5C" w:rsidRPr="005B5F5C" w:rsidRDefault="005B5F5C" w:rsidP="00430140">
      <w:pPr>
        <w:numPr>
          <w:ilvl w:val="0"/>
          <w:numId w:val="21"/>
        </w:numPr>
        <w:spacing w:line="340" w:lineRule="exact"/>
        <w:ind w:left="924" w:hanging="357"/>
        <w:jc w:val="both"/>
        <w:rPr>
          <w:rFonts w:ascii="Calibri" w:eastAsia="Calibri" w:hAnsi="Calibri" w:cs="Calibri"/>
          <w:lang w:eastAsia="en-US"/>
        </w:rPr>
      </w:pPr>
      <w:r w:rsidRPr="005B5F5C">
        <w:rPr>
          <w:rFonts w:ascii="Calibri" w:eastAsia="Calibri" w:hAnsi="Calibri" w:cs="Calibri"/>
          <w:lang w:eastAsia="en-US"/>
        </w:rPr>
        <w:t>dohodou smluvních stran podle ustanovení § 1981 OZ v písemné formě, přičemž účinky ukončení rámcové dohody nastanou k okamžiku stanovenému v takovéto dohodě. Nebude-li takovýto okamžik dohodou stanoven, pak tyto účinky nastanou ke dni podpisu takovéto dohody oběma stranami,</w:t>
      </w:r>
    </w:p>
    <w:p w:rsidR="005B5F5C" w:rsidRPr="005B5F5C" w:rsidRDefault="005B5F5C" w:rsidP="00430140">
      <w:pPr>
        <w:numPr>
          <w:ilvl w:val="0"/>
          <w:numId w:val="21"/>
        </w:numPr>
        <w:spacing w:line="340" w:lineRule="exact"/>
        <w:ind w:left="924" w:hanging="357"/>
        <w:jc w:val="both"/>
        <w:rPr>
          <w:rFonts w:ascii="Calibri" w:eastAsia="Calibri" w:hAnsi="Calibri" w:cs="Calibri"/>
          <w:lang w:eastAsia="en-US"/>
        </w:rPr>
      </w:pPr>
      <w:r w:rsidRPr="005B5F5C">
        <w:rPr>
          <w:rFonts w:ascii="Calibri" w:eastAsia="Calibri" w:hAnsi="Calibri" w:cs="Calibri"/>
          <w:lang w:eastAsia="en-US"/>
        </w:rPr>
        <w:t>odstoupením některé ze stran v případě jejího podstatného porušení druhou smluvní stranou za podmínek uvedených v ustanovení § 2002 OZ,</w:t>
      </w:r>
    </w:p>
    <w:p w:rsidR="005B5F5C" w:rsidRPr="005B5F5C" w:rsidRDefault="005B5F5C" w:rsidP="00430140">
      <w:pPr>
        <w:numPr>
          <w:ilvl w:val="0"/>
          <w:numId w:val="21"/>
        </w:numPr>
        <w:spacing w:line="340" w:lineRule="exact"/>
        <w:ind w:left="924" w:hanging="357"/>
        <w:jc w:val="both"/>
        <w:rPr>
          <w:rFonts w:ascii="Calibri" w:eastAsia="Calibri" w:hAnsi="Calibri" w:cs="Calibri"/>
          <w:lang w:eastAsia="en-US"/>
        </w:rPr>
      </w:pPr>
      <w:r w:rsidRPr="005B5F5C">
        <w:rPr>
          <w:rFonts w:ascii="Calibri" w:eastAsia="Calibri" w:hAnsi="Calibri" w:cs="Calibri"/>
          <w:lang w:eastAsia="en-US"/>
        </w:rPr>
        <w:lastRenderedPageBreak/>
        <w:t>písemnou výpovědí některé ze stran, přičemž výpovědní lhůta činí 90 kalendářních dní ode dne jejího prokazatelného doručení druhé straně.</w:t>
      </w:r>
    </w:p>
    <w:p w:rsidR="00656ED5" w:rsidRPr="00440722" w:rsidRDefault="00656ED5" w:rsidP="00F12D67">
      <w:pPr>
        <w:pStyle w:val="Zkladntext"/>
        <w:spacing w:line="300" w:lineRule="exact"/>
        <w:rPr>
          <w:rFonts w:ascii="Calibri" w:hAnsi="Calibri" w:cs="Calibri"/>
        </w:rPr>
      </w:pPr>
    </w:p>
    <w:p w:rsidR="00DF432C" w:rsidRPr="00440722" w:rsidRDefault="00DF432C" w:rsidP="00F12D67">
      <w:pPr>
        <w:spacing w:line="300" w:lineRule="exact"/>
        <w:jc w:val="center"/>
        <w:rPr>
          <w:rFonts w:ascii="Calibri" w:hAnsi="Calibri" w:cs="Calibri"/>
          <w:b/>
        </w:rPr>
      </w:pPr>
      <w:r w:rsidRPr="00440722">
        <w:rPr>
          <w:rFonts w:ascii="Calibri" w:hAnsi="Calibri" w:cs="Calibri"/>
          <w:b/>
        </w:rPr>
        <w:t>Čl</w:t>
      </w:r>
      <w:r w:rsidR="00C34338">
        <w:rPr>
          <w:rFonts w:ascii="Calibri" w:hAnsi="Calibri" w:cs="Calibri"/>
          <w:b/>
        </w:rPr>
        <w:t>ánek</w:t>
      </w:r>
      <w:r w:rsidRPr="00440722">
        <w:rPr>
          <w:rFonts w:ascii="Calibri" w:hAnsi="Calibri" w:cs="Calibri"/>
          <w:b/>
        </w:rPr>
        <w:t xml:space="preserve"> VII</w:t>
      </w:r>
      <w:r w:rsidR="00C34338">
        <w:rPr>
          <w:rFonts w:ascii="Calibri" w:hAnsi="Calibri" w:cs="Calibri"/>
          <w:b/>
        </w:rPr>
        <w:t>.</w:t>
      </w:r>
    </w:p>
    <w:p w:rsidR="00DF432C" w:rsidRPr="00440722" w:rsidRDefault="00DF432C" w:rsidP="00F12D67">
      <w:pPr>
        <w:spacing w:after="120" w:line="300" w:lineRule="exact"/>
        <w:jc w:val="center"/>
        <w:rPr>
          <w:rFonts w:ascii="Calibri" w:hAnsi="Calibri" w:cs="Calibri"/>
          <w:b/>
        </w:rPr>
      </w:pPr>
      <w:r w:rsidRPr="00440722">
        <w:rPr>
          <w:rFonts w:ascii="Calibri" w:hAnsi="Calibri" w:cs="Calibri"/>
          <w:b/>
        </w:rPr>
        <w:t>Závěrečná ustanovení</w:t>
      </w:r>
    </w:p>
    <w:p w:rsidR="00DF432C" w:rsidRPr="00440722" w:rsidRDefault="00DF432C" w:rsidP="00656ED5">
      <w:pPr>
        <w:numPr>
          <w:ilvl w:val="0"/>
          <w:numId w:val="10"/>
        </w:numPr>
        <w:spacing w:line="340" w:lineRule="exact"/>
        <w:ind w:left="357" w:hanging="357"/>
        <w:jc w:val="both"/>
        <w:rPr>
          <w:rFonts w:ascii="Calibri" w:hAnsi="Calibri" w:cs="Calibri"/>
        </w:rPr>
      </w:pPr>
      <w:r w:rsidRPr="00440722">
        <w:rPr>
          <w:rFonts w:ascii="Calibri" w:hAnsi="Calibri" w:cs="Calibri"/>
        </w:rPr>
        <w:t>Smlouva je vyhotovena ve dvou výtiscích, z nichž jeden obdrží zhotovitel a jeden objednatel.</w:t>
      </w:r>
    </w:p>
    <w:p w:rsidR="00E82E58" w:rsidRDefault="00DF432C" w:rsidP="003749CF">
      <w:pPr>
        <w:numPr>
          <w:ilvl w:val="0"/>
          <w:numId w:val="10"/>
        </w:numPr>
        <w:spacing w:line="340" w:lineRule="exact"/>
        <w:ind w:left="357" w:hanging="357"/>
        <w:jc w:val="both"/>
        <w:rPr>
          <w:rFonts w:ascii="Calibri" w:hAnsi="Calibri" w:cs="Calibri"/>
        </w:rPr>
      </w:pPr>
      <w:r w:rsidRPr="00E82E58">
        <w:rPr>
          <w:rFonts w:ascii="Calibri" w:hAnsi="Calibri" w:cs="Calibri"/>
        </w:rPr>
        <w:t>Změny a doplňky mohou být prováděny pouze písemnými dodatky, podepsanými oběma smluvními stranami</w:t>
      </w:r>
      <w:r w:rsidR="004D7010" w:rsidRPr="00E82E58">
        <w:rPr>
          <w:rFonts w:ascii="Calibri" w:hAnsi="Calibri" w:cs="Calibri"/>
        </w:rPr>
        <w:t xml:space="preserve">. </w:t>
      </w:r>
    </w:p>
    <w:p w:rsidR="004D7010" w:rsidRPr="00E82E58" w:rsidRDefault="004D7010" w:rsidP="003749CF">
      <w:pPr>
        <w:numPr>
          <w:ilvl w:val="0"/>
          <w:numId w:val="10"/>
        </w:numPr>
        <w:spacing w:line="340" w:lineRule="exact"/>
        <w:ind w:left="357" w:hanging="357"/>
        <w:jc w:val="both"/>
        <w:rPr>
          <w:rFonts w:ascii="Calibri" w:hAnsi="Calibri" w:cs="Calibri"/>
        </w:rPr>
      </w:pPr>
      <w:r w:rsidRPr="00E82E58">
        <w:rPr>
          <w:rFonts w:ascii="Calibri" w:hAnsi="Calibri" w:cs="Calibri"/>
        </w:rPr>
        <w:t>Smluvní strany berou na vědomí, že tato smlouva bude zveřejněna v registru smluv dle zákona č. 340/2015 Sb., o zvláštních podmínkách účinnosti některých smluv, uveřejňování těchto smluv a o registru smluv (zákon o registru smluv).</w:t>
      </w:r>
    </w:p>
    <w:p w:rsidR="0017626B" w:rsidRDefault="0017626B" w:rsidP="00F12D67">
      <w:pPr>
        <w:spacing w:line="300" w:lineRule="exact"/>
        <w:jc w:val="both"/>
        <w:rPr>
          <w:rFonts w:ascii="Calibri" w:hAnsi="Calibri" w:cs="Calibri"/>
        </w:rPr>
      </w:pPr>
    </w:p>
    <w:p w:rsidR="0017626B" w:rsidRDefault="0017626B" w:rsidP="00F12D67">
      <w:pPr>
        <w:spacing w:line="300" w:lineRule="exact"/>
        <w:jc w:val="both"/>
        <w:rPr>
          <w:rFonts w:ascii="Calibri" w:hAnsi="Calibri" w:cs="Calibri"/>
        </w:rPr>
      </w:pPr>
    </w:p>
    <w:p w:rsidR="00C34338" w:rsidRPr="009046BD" w:rsidRDefault="00C34338" w:rsidP="00F12D67">
      <w:pPr>
        <w:widowControl w:val="0"/>
        <w:tabs>
          <w:tab w:val="left" w:pos="6096"/>
        </w:tabs>
        <w:spacing w:line="300" w:lineRule="exact"/>
        <w:rPr>
          <w:rFonts w:ascii="Calibri" w:hAnsi="Calibri"/>
        </w:rPr>
      </w:pPr>
      <w:r w:rsidRPr="009046BD">
        <w:rPr>
          <w:rFonts w:ascii="Calibri" w:hAnsi="Calibri"/>
        </w:rPr>
        <w:t>V</w:t>
      </w:r>
      <w:r>
        <w:rPr>
          <w:rFonts w:ascii="Calibri" w:hAnsi="Calibri"/>
        </w:rPr>
        <w:t xml:space="preserve"> Liberci</w:t>
      </w:r>
      <w:r w:rsidRPr="009046BD">
        <w:rPr>
          <w:rFonts w:ascii="Calibri" w:hAnsi="Calibri"/>
        </w:rPr>
        <w:t xml:space="preserve"> dne</w:t>
      </w:r>
      <w:r>
        <w:rPr>
          <w:rFonts w:ascii="Calibri" w:hAnsi="Calibri"/>
        </w:rPr>
        <w:t xml:space="preserve"> </w:t>
      </w:r>
      <w:r w:rsidRPr="003578EF">
        <w:rPr>
          <w:rFonts w:ascii="Calibri" w:hAnsi="Calibri"/>
          <w:highlight w:val="lightGray"/>
        </w:rPr>
        <w:t>………………</w:t>
      </w:r>
      <w:r w:rsidRPr="009046BD">
        <w:rPr>
          <w:rFonts w:ascii="Calibri" w:hAnsi="Calibri"/>
        </w:rPr>
        <w:tab/>
        <w:t>V </w:t>
      </w:r>
      <w:r w:rsidRPr="003578EF">
        <w:rPr>
          <w:rFonts w:ascii="Calibri" w:hAnsi="Calibri"/>
          <w:highlight w:val="lightGray"/>
        </w:rPr>
        <w:t>…………….</w:t>
      </w:r>
      <w:r w:rsidRPr="003578EF">
        <w:rPr>
          <w:rFonts w:ascii="Calibri" w:hAnsi="Calibri"/>
        </w:rPr>
        <w:t xml:space="preserve"> </w:t>
      </w:r>
      <w:proofErr w:type="gramStart"/>
      <w:r w:rsidRPr="009046BD">
        <w:rPr>
          <w:rFonts w:ascii="Calibri" w:hAnsi="Calibri"/>
        </w:rPr>
        <w:t>dne</w:t>
      </w:r>
      <w:proofErr w:type="gramEnd"/>
      <w:r w:rsidRPr="009046BD">
        <w:rPr>
          <w:rFonts w:ascii="Calibri" w:hAnsi="Calibri"/>
        </w:rPr>
        <w:t xml:space="preserve"> </w:t>
      </w:r>
      <w:r w:rsidRPr="003578EF">
        <w:rPr>
          <w:rFonts w:ascii="Calibri" w:hAnsi="Calibri"/>
          <w:highlight w:val="lightGray"/>
        </w:rPr>
        <w:t>………………</w:t>
      </w:r>
    </w:p>
    <w:p w:rsidR="00C34338" w:rsidRDefault="00C34338" w:rsidP="00F12D67">
      <w:pPr>
        <w:widowControl w:val="0"/>
        <w:tabs>
          <w:tab w:val="left" w:pos="6660"/>
        </w:tabs>
        <w:spacing w:line="300" w:lineRule="exact"/>
        <w:rPr>
          <w:rFonts w:ascii="Calibri" w:hAnsi="Calibri"/>
          <w:u w:val="single"/>
        </w:rPr>
      </w:pPr>
    </w:p>
    <w:p w:rsidR="00F550C3" w:rsidRPr="009046BD" w:rsidRDefault="00F550C3" w:rsidP="00F12D67">
      <w:pPr>
        <w:widowControl w:val="0"/>
        <w:tabs>
          <w:tab w:val="left" w:pos="6660"/>
        </w:tabs>
        <w:spacing w:line="300" w:lineRule="exact"/>
        <w:rPr>
          <w:rFonts w:ascii="Calibri" w:hAnsi="Calibri"/>
          <w:u w:val="single"/>
        </w:rPr>
      </w:pPr>
    </w:p>
    <w:p w:rsidR="00C34338" w:rsidRPr="009046BD" w:rsidRDefault="00C34338" w:rsidP="00F12D67">
      <w:pPr>
        <w:widowControl w:val="0"/>
        <w:tabs>
          <w:tab w:val="left" w:pos="6096"/>
        </w:tabs>
        <w:spacing w:line="300" w:lineRule="exact"/>
        <w:rPr>
          <w:rFonts w:ascii="Calibri" w:hAnsi="Calibri"/>
        </w:rPr>
      </w:pPr>
      <w:r w:rsidRPr="009046BD">
        <w:rPr>
          <w:rFonts w:ascii="Calibri" w:hAnsi="Calibri"/>
          <w:u w:val="single"/>
        </w:rPr>
        <w:t>Za objednatele:</w:t>
      </w:r>
      <w:r w:rsidRPr="009046BD">
        <w:rPr>
          <w:rFonts w:ascii="Calibri" w:hAnsi="Calibri"/>
        </w:rPr>
        <w:tab/>
      </w:r>
      <w:r w:rsidRPr="009046BD">
        <w:rPr>
          <w:rFonts w:ascii="Calibri" w:hAnsi="Calibri"/>
          <w:u w:val="single"/>
        </w:rPr>
        <w:t>Za zhotovitele:</w:t>
      </w:r>
    </w:p>
    <w:p w:rsidR="00C34338" w:rsidRDefault="00C34338" w:rsidP="00F12D67">
      <w:pPr>
        <w:widowControl w:val="0"/>
        <w:tabs>
          <w:tab w:val="left" w:pos="6660"/>
        </w:tabs>
        <w:spacing w:line="300" w:lineRule="exact"/>
        <w:rPr>
          <w:rFonts w:ascii="Calibri" w:hAnsi="Calibri"/>
        </w:rPr>
      </w:pPr>
    </w:p>
    <w:p w:rsidR="00C34338" w:rsidRDefault="00C34338" w:rsidP="00F12D67">
      <w:pPr>
        <w:widowControl w:val="0"/>
        <w:tabs>
          <w:tab w:val="left" w:pos="6660"/>
        </w:tabs>
        <w:spacing w:line="300" w:lineRule="exact"/>
        <w:rPr>
          <w:rFonts w:ascii="Calibri" w:hAnsi="Calibri"/>
        </w:rPr>
      </w:pPr>
    </w:p>
    <w:p w:rsidR="00C34338" w:rsidRDefault="00C34338" w:rsidP="00F12D67">
      <w:pPr>
        <w:widowControl w:val="0"/>
        <w:tabs>
          <w:tab w:val="left" w:pos="6660"/>
        </w:tabs>
        <w:spacing w:line="300" w:lineRule="exact"/>
        <w:rPr>
          <w:rFonts w:ascii="Calibri" w:hAnsi="Calibri"/>
        </w:rPr>
      </w:pPr>
    </w:p>
    <w:p w:rsidR="00C34338" w:rsidRPr="009046BD" w:rsidRDefault="00C34338" w:rsidP="00F12D67">
      <w:pPr>
        <w:widowControl w:val="0"/>
        <w:tabs>
          <w:tab w:val="left" w:pos="6660"/>
        </w:tabs>
        <w:spacing w:line="300" w:lineRule="exact"/>
        <w:rPr>
          <w:rFonts w:ascii="Calibri" w:hAnsi="Calibri"/>
        </w:rPr>
      </w:pPr>
    </w:p>
    <w:p w:rsidR="00C34338" w:rsidRPr="009046BD" w:rsidRDefault="00C34338" w:rsidP="00F12D67">
      <w:pPr>
        <w:widowControl w:val="0"/>
        <w:tabs>
          <w:tab w:val="left" w:pos="6096"/>
        </w:tabs>
        <w:spacing w:line="300" w:lineRule="exact"/>
        <w:rPr>
          <w:rFonts w:ascii="Calibri" w:hAnsi="Calibri"/>
        </w:rPr>
      </w:pPr>
      <w:r w:rsidRPr="009046BD">
        <w:rPr>
          <w:rFonts w:ascii="Calibri" w:hAnsi="Calibri"/>
        </w:rPr>
        <w:t>………………………………</w:t>
      </w:r>
      <w:r w:rsidRPr="009046BD">
        <w:rPr>
          <w:rFonts w:ascii="Calibri" w:hAnsi="Calibri"/>
        </w:rPr>
        <w:tab/>
        <w:t>…………………………</w:t>
      </w:r>
    </w:p>
    <w:p w:rsidR="00AE5E29" w:rsidRPr="009046BD" w:rsidRDefault="008B50FF" w:rsidP="00AE5E29">
      <w:pPr>
        <w:widowControl w:val="0"/>
        <w:tabs>
          <w:tab w:val="left" w:pos="6096"/>
        </w:tabs>
        <w:spacing w:line="300" w:lineRule="exact"/>
        <w:rPr>
          <w:rFonts w:ascii="Calibri" w:hAnsi="Calibri"/>
        </w:rPr>
      </w:pPr>
      <w:r>
        <w:rPr>
          <w:rFonts w:ascii="Calibri" w:hAnsi="Calibri"/>
        </w:rPr>
        <w:t>Petr Syrový</w:t>
      </w:r>
      <w:r>
        <w:rPr>
          <w:rFonts w:ascii="Calibri" w:hAnsi="Calibri"/>
        </w:rPr>
        <w:tab/>
      </w:r>
      <w:proofErr w:type="spellStart"/>
      <w:r w:rsidR="00AE5E29">
        <w:rPr>
          <w:rFonts w:ascii="Calibri" w:hAnsi="Calibri"/>
        </w:rPr>
        <w:t>Yuri</w:t>
      </w:r>
      <w:proofErr w:type="spellEnd"/>
      <w:r w:rsidR="00AE5E29">
        <w:rPr>
          <w:rFonts w:ascii="Calibri" w:hAnsi="Calibri"/>
        </w:rPr>
        <w:t xml:space="preserve"> </w:t>
      </w:r>
      <w:proofErr w:type="spellStart"/>
      <w:r w:rsidR="00AE5E29">
        <w:rPr>
          <w:rFonts w:ascii="Calibri" w:hAnsi="Calibri"/>
        </w:rPr>
        <w:t>Horbach</w:t>
      </w:r>
      <w:proofErr w:type="spellEnd"/>
    </w:p>
    <w:p w:rsidR="008B50FF" w:rsidRPr="008B50FF" w:rsidRDefault="008B50FF" w:rsidP="00AE5E29">
      <w:pPr>
        <w:widowControl w:val="0"/>
        <w:tabs>
          <w:tab w:val="left" w:pos="6096"/>
        </w:tabs>
        <w:spacing w:line="300" w:lineRule="exact"/>
        <w:rPr>
          <w:rFonts w:ascii="Calibri" w:hAnsi="Calibri" w:cs="Arial"/>
          <w:szCs w:val="24"/>
        </w:rPr>
      </w:pPr>
      <w:r w:rsidRPr="008B50FF">
        <w:rPr>
          <w:rFonts w:ascii="Calibri" w:hAnsi="Calibri" w:cs="Arial"/>
          <w:szCs w:val="24"/>
        </w:rPr>
        <w:t xml:space="preserve">vedoucí informační soustavy a controllingu, </w:t>
      </w:r>
      <w:r w:rsidR="00AE5E29">
        <w:rPr>
          <w:rFonts w:ascii="Calibri" w:hAnsi="Calibri" w:cs="Arial"/>
          <w:szCs w:val="24"/>
        </w:rPr>
        <w:tab/>
        <w:t>jednatel</w:t>
      </w:r>
    </w:p>
    <w:p w:rsidR="008B50FF" w:rsidRPr="008B50FF" w:rsidRDefault="008B50FF" w:rsidP="008B50FF">
      <w:pPr>
        <w:widowControl w:val="0"/>
        <w:tabs>
          <w:tab w:val="left" w:pos="6096"/>
        </w:tabs>
        <w:spacing w:line="300" w:lineRule="exact"/>
        <w:rPr>
          <w:rFonts w:ascii="Calibri" w:hAnsi="Calibri"/>
          <w:szCs w:val="24"/>
        </w:rPr>
      </w:pPr>
      <w:r w:rsidRPr="008B50FF">
        <w:rPr>
          <w:rFonts w:ascii="Calibri" w:hAnsi="Calibri" w:cs="Arial"/>
          <w:szCs w:val="24"/>
        </w:rPr>
        <w:t>pověřený výkonem funkce ředitele</w:t>
      </w:r>
    </w:p>
    <w:p w:rsidR="00DF432C" w:rsidRPr="00440722" w:rsidRDefault="00DF432C">
      <w:pPr>
        <w:jc w:val="both"/>
        <w:rPr>
          <w:rFonts w:ascii="Calibri" w:hAnsi="Calibri" w:cs="Calibri"/>
        </w:rPr>
      </w:pPr>
    </w:p>
    <w:sectPr w:rsidR="00DF432C" w:rsidRPr="00440722" w:rsidSect="000721B2">
      <w:footerReference w:type="even" r:id="rId9"/>
      <w:footerReference w:type="default" r:id="rId10"/>
      <w:pgSz w:w="11906" w:h="16838" w:code="9"/>
      <w:pgMar w:top="1021" w:right="1134" w:bottom="1021" w:left="1418" w:header="68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1B2" w:rsidRDefault="000721B2">
      <w:r>
        <w:separator/>
      </w:r>
    </w:p>
  </w:endnote>
  <w:endnote w:type="continuationSeparator" w:id="0">
    <w:p w:rsidR="000721B2" w:rsidRDefault="00072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93F" w:rsidRDefault="0089593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89593F" w:rsidRDefault="008959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A91" w:rsidRDefault="00FF6A91" w:rsidP="00FF6A91">
    <w:pPr>
      <w:pStyle w:val="Zhlav"/>
    </w:pPr>
    <w:r w:rsidRPr="00FC210E">
      <w:rPr>
        <w:rFonts w:ascii="Calibri" w:hAnsi="Calibri"/>
        <w:color w:val="000000"/>
        <w:sz w:val="16"/>
      </w:rPr>
      <w:fldChar w:fldCharType="begin"/>
    </w:r>
    <w:r w:rsidRPr="00FC210E">
      <w:rPr>
        <w:rFonts w:ascii="Calibri" w:hAnsi="Calibri"/>
        <w:color w:val="000000"/>
        <w:sz w:val="16"/>
      </w:rPr>
      <w:instrText xml:space="preserve"> PAGE </w:instrText>
    </w:r>
    <w:r w:rsidRPr="00FC210E">
      <w:rPr>
        <w:rFonts w:ascii="Calibri" w:hAnsi="Calibri"/>
        <w:color w:val="000000"/>
        <w:sz w:val="16"/>
      </w:rPr>
      <w:fldChar w:fldCharType="separate"/>
    </w:r>
    <w:r w:rsidR="00F255B4">
      <w:rPr>
        <w:rFonts w:ascii="Calibri" w:hAnsi="Calibri"/>
        <w:noProof/>
        <w:color w:val="000000"/>
        <w:sz w:val="16"/>
      </w:rPr>
      <w:t>4</w:t>
    </w:r>
    <w:r w:rsidRPr="00FC210E">
      <w:rPr>
        <w:rFonts w:ascii="Calibri" w:hAnsi="Calibri"/>
        <w:color w:val="000000"/>
        <w:sz w:val="16"/>
      </w:rPr>
      <w:fldChar w:fldCharType="end"/>
    </w:r>
    <w:r w:rsidRPr="00FC210E">
      <w:rPr>
        <w:rFonts w:ascii="Calibri" w:hAnsi="Calibri"/>
        <w:color w:val="000000"/>
        <w:sz w:val="16"/>
      </w:rPr>
      <w:t>/</w:t>
    </w:r>
    <w:r w:rsidRPr="00FC210E">
      <w:rPr>
        <w:rFonts w:ascii="Calibri" w:hAnsi="Calibri"/>
        <w:color w:val="000000"/>
        <w:sz w:val="16"/>
      </w:rPr>
      <w:fldChar w:fldCharType="begin"/>
    </w:r>
    <w:r w:rsidRPr="00FC210E">
      <w:rPr>
        <w:rFonts w:ascii="Calibri" w:hAnsi="Calibri"/>
        <w:color w:val="000000"/>
        <w:sz w:val="16"/>
      </w:rPr>
      <w:instrText xml:space="preserve"> NUMPAGES </w:instrText>
    </w:r>
    <w:r w:rsidRPr="00FC210E">
      <w:rPr>
        <w:rFonts w:ascii="Calibri" w:hAnsi="Calibri"/>
        <w:color w:val="000000"/>
        <w:sz w:val="16"/>
      </w:rPr>
      <w:fldChar w:fldCharType="separate"/>
    </w:r>
    <w:r w:rsidR="00F255B4">
      <w:rPr>
        <w:rFonts w:ascii="Calibri" w:hAnsi="Calibri"/>
        <w:noProof/>
        <w:color w:val="000000"/>
        <w:sz w:val="16"/>
      </w:rPr>
      <w:t>4</w:t>
    </w:r>
    <w:r w:rsidRPr="00FC210E">
      <w:rPr>
        <w:rFonts w:ascii="Calibri" w:hAnsi="Calibri"/>
        <w:color w:val="000000"/>
        <w:sz w:val="16"/>
      </w:rPr>
      <w:fldChar w:fldCharType="end"/>
    </w:r>
    <w:r>
      <w:rPr>
        <w:noProof/>
      </w:rPr>
      <w:t xml:space="preserve">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1B2" w:rsidRDefault="000721B2">
      <w:r>
        <w:separator/>
      </w:r>
    </w:p>
  </w:footnote>
  <w:footnote w:type="continuationSeparator" w:id="0">
    <w:p w:rsidR="000721B2" w:rsidRDefault="00072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5833"/>
    <w:multiLevelType w:val="hybridMultilevel"/>
    <w:tmpl w:val="1C7E59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31206"/>
    <w:multiLevelType w:val="hybridMultilevel"/>
    <w:tmpl w:val="58FC24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3192D31"/>
    <w:multiLevelType w:val="multilevel"/>
    <w:tmpl w:val="C6E4BAC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B07B7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D141EB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59F46D4"/>
    <w:multiLevelType w:val="hybridMultilevel"/>
    <w:tmpl w:val="1C2C0B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E61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740439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AC5692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FAB4F17"/>
    <w:multiLevelType w:val="hybridMultilevel"/>
    <w:tmpl w:val="18BC6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01079"/>
    <w:multiLevelType w:val="hybridMultilevel"/>
    <w:tmpl w:val="64B290E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0E538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F03672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928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18E04F3"/>
    <w:multiLevelType w:val="multilevel"/>
    <w:tmpl w:val="7DA0C5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1D47225"/>
    <w:multiLevelType w:val="singleLevel"/>
    <w:tmpl w:val="246CBB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3122D4A"/>
    <w:multiLevelType w:val="hybridMultilevel"/>
    <w:tmpl w:val="143801DA"/>
    <w:lvl w:ilvl="0" w:tplc="D3DC59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A33340"/>
    <w:multiLevelType w:val="hybridMultilevel"/>
    <w:tmpl w:val="C312346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F6E548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24C4DF6"/>
    <w:multiLevelType w:val="multilevel"/>
    <w:tmpl w:val="2AC8901A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4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9" w15:restartNumberingAfterBreak="0">
    <w:nsid w:val="67A45DB1"/>
    <w:multiLevelType w:val="hybridMultilevel"/>
    <w:tmpl w:val="657E050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F1C5C5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36E24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ED20DEE"/>
    <w:multiLevelType w:val="multilevel"/>
    <w:tmpl w:val="2F5A11A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5"/>
  </w:num>
  <w:num w:numId="5">
    <w:abstractNumId w:val="20"/>
  </w:num>
  <w:num w:numId="6">
    <w:abstractNumId w:val="2"/>
  </w:num>
  <w:num w:numId="7">
    <w:abstractNumId w:val="6"/>
  </w:num>
  <w:num w:numId="8">
    <w:abstractNumId w:val="21"/>
  </w:num>
  <w:num w:numId="9">
    <w:abstractNumId w:val="11"/>
  </w:num>
  <w:num w:numId="10">
    <w:abstractNumId w:val="17"/>
  </w:num>
  <w:num w:numId="11">
    <w:abstractNumId w:val="16"/>
  </w:num>
  <w:num w:numId="12">
    <w:abstractNumId w:val="0"/>
  </w:num>
  <w:num w:numId="13">
    <w:abstractNumId w:val="4"/>
  </w:num>
  <w:num w:numId="14">
    <w:abstractNumId w:val="12"/>
  </w:num>
  <w:num w:numId="15">
    <w:abstractNumId w:val="7"/>
  </w:num>
  <w:num w:numId="16">
    <w:abstractNumId w:val="22"/>
  </w:num>
  <w:num w:numId="17">
    <w:abstractNumId w:val="8"/>
  </w:num>
  <w:num w:numId="18">
    <w:abstractNumId w:val="15"/>
  </w:num>
  <w:num w:numId="19">
    <w:abstractNumId w:val="19"/>
  </w:num>
  <w:num w:numId="20">
    <w:abstractNumId w:val="1"/>
  </w:num>
  <w:num w:numId="21">
    <w:abstractNumId w:val="18"/>
  </w:num>
  <w:num w:numId="22">
    <w:abstractNumId w:val="13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9E9"/>
    <w:rsid w:val="00000A19"/>
    <w:rsid w:val="0001399B"/>
    <w:rsid w:val="0001677E"/>
    <w:rsid w:val="000202F2"/>
    <w:rsid w:val="00023BCB"/>
    <w:rsid w:val="00024ECC"/>
    <w:rsid w:val="00045526"/>
    <w:rsid w:val="00050CAC"/>
    <w:rsid w:val="00052437"/>
    <w:rsid w:val="000537C3"/>
    <w:rsid w:val="000721B2"/>
    <w:rsid w:val="000755DF"/>
    <w:rsid w:val="00082E26"/>
    <w:rsid w:val="0009248D"/>
    <w:rsid w:val="0009495A"/>
    <w:rsid w:val="000A0E49"/>
    <w:rsid w:val="000B0A0E"/>
    <w:rsid w:val="000C21AC"/>
    <w:rsid w:val="000D516B"/>
    <w:rsid w:val="000E1FFB"/>
    <w:rsid w:val="000E4720"/>
    <w:rsid w:val="000E5114"/>
    <w:rsid w:val="000E6978"/>
    <w:rsid w:val="00106CDF"/>
    <w:rsid w:val="00141012"/>
    <w:rsid w:val="00142630"/>
    <w:rsid w:val="00146F70"/>
    <w:rsid w:val="001508A8"/>
    <w:rsid w:val="00165D3F"/>
    <w:rsid w:val="001667E3"/>
    <w:rsid w:val="00173749"/>
    <w:rsid w:val="00173A91"/>
    <w:rsid w:val="0017626B"/>
    <w:rsid w:val="00180330"/>
    <w:rsid w:val="0019351F"/>
    <w:rsid w:val="001A4E10"/>
    <w:rsid w:val="001B2BAE"/>
    <w:rsid w:val="001B3723"/>
    <w:rsid w:val="001C2D17"/>
    <w:rsid w:val="001C3BC6"/>
    <w:rsid w:val="001C7761"/>
    <w:rsid w:val="001C7D09"/>
    <w:rsid w:val="001E4999"/>
    <w:rsid w:val="001F07D5"/>
    <w:rsid w:val="001F2317"/>
    <w:rsid w:val="001F461B"/>
    <w:rsid w:val="00206491"/>
    <w:rsid w:val="00231E59"/>
    <w:rsid w:val="00233DCB"/>
    <w:rsid w:val="0023469D"/>
    <w:rsid w:val="0023670C"/>
    <w:rsid w:val="00242293"/>
    <w:rsid w:val="00246410"/>
    <w:rsid w:val="00273ACB"/>
    <w:rsid w:val="00281951"/>
    <w:rsid w:val="00292548"/>
    <w:rsid w:val="002A186B"/>
    <w:rsid w:val="002A55A0"/>
    <w:rsid w:val="002A5BC1"/>
    <w:rsid w:val="002A694C"/>
    <w:rsid w:val="002D6BC4"/>
    <w:rsid w:val="002F1D9A"/>
    <w:rsid w:val="00300F8A"/>
    <w:rsid w:val="0030605A"/>
    <w:rsid w:val="003644C6"/>
    <w:rsid w:val="003656E2"/>
    <w:rsid w:val="00366D13"/>
    <w:rsid w:val="0037288A"/>
    <w:rsid w:val="003749CF"/>
    <w:rsid w:val="003816B1"/>
    <w:rsid w:val="00381CCD"/>
    <w:rsid w:val="00383503"/>
    <w:rsid w:val="003854A2"/>
    <w:rsid w:val="003A0643"/>
    <w:rsid w:val="003A6470"/>
    <w:rsid w:val="003B1D75"/>
    <w:rsid w:val="003B5741"/>
    <w:rsid w:val="003D0D7F"/>
    <w:rsid w:val="003D203F"/>
    <w:rsid w:val="003D27C5"/>
    <w:rsid w:val="003D418A"/>
    <w:rsid w:val="003D7410"/>
    <w:rsid w:val="003E484F"/>
    <w:rsid w:val="004008B5"/>
    <w:rsid w:val="004020A6"/>
    <w:rsid w:val="00405833"/>
    <w:rsid w:val="00405AE2"/>
    <w:rsid w:val="00407003"/>
    <w:rsid w:val="00407451"/>
    <w:rsid w:val="004267C0"/>
    <w:rsid w:val="00430140"/>
    <w:rsid w:val="004316B8"/>
    <w:rsid w:val="00440722"/>
    <w:rsid w:val="00440DB8"/>
    <w:rsid w:val="004410DF"/>
    <w:rsid w:val="00455577"/>
    <w:rsid w:val="004579F9"/>
    <w:rsid w:val="0046645D"/>
    <w:rsid w:val="004667FF"/>
    <w:rsid w:val="00485730"/>
    <w:rsid w:val="0048599E"/>
    <w:rsid w:val="004A0AC5"/>
    <w:rsid w:val="004B2E35"/>
    <w:rsid w:val="004B4EA8"/>
    <w:rsid w:val="004D47DF"/>
    <w:rsid w:val="004D7010"/>
    <w:rsid w:val="004E4D17"/>
    <w:rsid w:val="004F744F"/>
    <w:rsid w:val="00500D6F"/>
    <w:rsid w:val="00502771"/>
    <w:rsid w:val="00520D86"/>
    <w:rsid w:val="00552A79"/>
    <w:rsid w:val="00555471"/>
    <w:rsid w:val="00555E0C"/>
    <w:rsid w:val="00562D4B"/>
    <w:rsid w:val="00565F5D"/>
    <w:rsid w:val="00574844"/>
    <w:rsid w:val="005824EB"/>
    <w:rsid w:val="005829C9"/>
    <w:rsid w:val="00583EFE"/>
    <w:rsid w:val="00584850"/>
    <w:rsid w:val="00586A88"/>
    <w:rsid w:val="00593502"/>
    <w:rsid w:val="005959BC"/>
    <w:rsid w:val="005A0280"/>
    <w:rsid w:val="005A58B7"/>
    <w:rsid w:val="005B1F44"/>
    <w:rsid w:val="005B1F97"/>
    <w:rsid w:val="005B5F5C"/>
    <w:rsid w:val="005C6A41"/>
    <w:rsid w:val="005F3AEE"/>
    <w:rsid w:val="00627C24"/>
    <w:rsid w:val="006341CD"/>
    <w:rsid w:val="00634382"/>
    <w:rsid w:val="00634963"/>
    <w:rsid w:val="00656ED5"/>
    <w:rsid w:val="00662119"/>
    <w:rsid w:val="0066254A"/>
    <w:rsid w:val="00664313"/>
    <w:rsid w:val="0066452D"/>
    <w:rsid w:val="006753B8"/>
    <w:rsid w:val="00675BE0"/>
    <w:rsid w:val="00682F5B"/>
    <w:rsid w:val="006860D2"/>
    <w:rsid w:val="0068640B"/>
    <w:rsid w:val="00695114"/>
    <w:rsid w:val="006A0B83"/>
    <w:rsid w:val="006B3E99"/>
    <w:rsid w:val="006C258C"/>
    <w:rsid w:val="006E3E51"/>
    <w:rsid w:val="006F1FD5"/>
    <w:rsid w:val="006F34C2"/>
    <w:rsid w:val="006F3F79"/>
    <w:rsid w:val="006F5038"/>
    <w:rsid w:val="006F5755"/>
    <w:rsid w:val="006F6045"/>
    <w:rsid w:val="007076E3"/>
    <w:rsid w:val="007138A6"/>
    <w:rsid w:val="007148D4"/>
    <w:rsid w:val="007221F1"/>
    <w:rsid w:val="0073451F"/>
    <w:rsid w:val="00746887"/>
    <w:rsid w:val="007527F6"/>
    <w:rsid w:val="007649D6"/>
    <w:rsid w:val="007729CD"/>
    <w:rsid w:val="00772C4F"/>
    <w:rsid w:val="00776937"/>
    <w:rsid w:val="00790B0C"/>
    <w:rsid w:val="00795254"/>
    <w:rsid w:val="007A7E10"/>
    <w:rsid w:val="007B31D3"/>
    <w:rsid w:val="007B563B"/>
    <w:rsid w:val="007B5A66"/>
    <w:rsid w:val="007B6C89"/>
    <w:rsid w:val="007D5320"/>
    <w:rsid w:val="007D7DB6"/>
    <w:rsid w:val="007E1075"/>
    <w:rsid w:val="007E1400"/>
    <w:rsid w:val="007E28C1"/>
    <w:rsid w:val="007F132C"/>
    <w:rsid w:val="007F1974"/>
    <w:rsid w:val="007F30E1"/>
    <w:rsid w:val="007F7181"/>
    <w:rsid w:val="007F74ED"/>
    <w:rsid w:val="00806C74"/>
    <w:rsid w:val="0081019C"/>
    <w:rsid w:val="00833208"/>
    <w:rsid w:val="00854862"/>
    <w:rsid w:val="00861C1B"/>
    <w:rsid w:val="0086415A"/>
    <w:rsid w:val="00866BD6"/>
    <w:rsid w:val="00876EC2"/>
    <w:rsid w:val="008932D2"/>
    <w:rsid w:val="0089593F"/>
    <w:rsid w:val="008969E9"/>
    <w:rsid w:val="008A0DEA"/>
    <w:rsid w:val="008A12FB"/>
    <w:rsid w:val="008A6C8D"/>
    <w:rsid w:val="008A7D4D"/>
    <w:rsid w:val="008B50FF"/>
    <w:rsid w:val="008B7E91"/>
    <w:rsid w:val="008D6684"/>
    <w:rsid w:val="008D70D6"/>
    <w:rsid w:val="008E0301"/>
    <w:rsid w:val="008F418C"/>
    <w:rsid w:val="008F47FA"/>
    <w:rsid w:val="008F5CF2"/>
    <w:rsid w:val="00900BD6"/>
    <w:rsid w:val="00906EF5"/>
    <w:rsid w:val="009227A5"/>
    <w:rsid w:val="00924753"/>
    <w:rsid w:val="00925E03"/>
    <w:rsid w:val="00926AFF"/>
    <w:rsid w:val="00930C4E"/>
    <w:rsid w:val="00931706"/>
    <w:rsid w:val="00936456"/>
    <w:rsid w:val="009370E8"/>
    <w:rsid w:val="00963516"/>
    <w:rsid w:val="00972144"/>
    <w:rsid w:val="00973433"/>
    <w:rsid w:val="00973535"/>
    <w:rsid w:val="0098668E"/>
    <w:rsid w:val="00997653"/>
    <w:rsid w:val="009A4343"/>
    <w:rsid w:val="009B15AB"/>
    <w:rsid w:val="009B5256"/>
    <w:rsid w:val="009B5433"/>
    <w:rsid w:val="009B61CE"/>
    <w:rsid w:val="009C2A0A"/>
    <w:rsid w:val="009C2A15"/>
    <w:rsid w:val="009E525A"/>
    <w:rsid w:val="009E667B"/>
    <w:rsid w:val="00A016BB"/>
    <w:rsid w:val="00A05B43"/>
    <w:rsid w:val="00A06E72"/>
    <w:rsid w:val="00A2462D"/>
    <w:rsid w:val="00A256A7"/>
    <w:rsid w:val="00A2618B"/>
    <w:rsid w:val="00A31970"/>
    <w:rsid w:val="00A33CAE"/>
    <w:rsid w:val="00A61AD7"/>
    <w:rsid w:val="00A7059E"/>
    <w:rsid w:val="00A7505D"/>
    <w:rsid w:val="00A805D8"/>
    <w:rsid w:val="00A844DC"/>
    <w:rsid w:val="00A96956"/>
    <w:rsid w:val="00A9796E"/>
    <w:rsid w:val="00AA05AF"/>
    <w:rsid w:val="00AD0B12"/>
    <w:rsid w:val="00AD72D1"/>
    <w:rsid w:val="00AE0B1D"/>
    <w:rsid w:val="00AE4146"/>
    <w:rsid w:val="00AE46BC"/>
    <w:rsid w:val="00AE5E29"/>
    <w:rsid w:val="00AE7340"/>
    <w:rsid w:val="00AF6A23"/>
    <w:rsid w:val="00B14649"/>
    <w:rsid w:val="00B22E6A"/>
    <w:rsid w:val="00B45B38"/>
    <w:rsid w:val="00B461F5"/>
    <w:rsid w:val="00B5250F"/>
    <w:rsid w:val="00B65437"/>
    <w:rsid w:val="00B663A1"/>
    <w:rsid w:val="00B8193F"/>
    <w:rsid w:val="00B840EA"/>
    <w:rsid w:val="00B843AB"/>
    <w:rsid w:val="00B87A38"/>
    <w:rsid w:val="00B93B56"/>
    <w:rsid w:val="00B970B3"/>
    <w:rsid w:val="00BA134D"/>
    <w:rsid w:val="00BB19A9"/>
    <w:rsid w:val="00BD248C"/>
    <w:rsid w:val="00BD2920"/>
    <w:rsid w:val="00BD51B9"/>
    <w:rsid w:val="00BF37EA"/>
    <w:rsid w:val="00C02AC2"/>
    <w:rsid w:val="00C05837"/>
    <w:rsid w:val="00C11910"/>
    <w:rsid w:val="00C204A5"/>
    <w:rsid w:val="00C27C76"/>
    <w:rsid w:val="00C33E43"/>
    <w:rsid w:val="00C34338"/>
    <w:rsid w:val="00C40A28"/>
    <w:rsid w:val="00C42C9B"/>
    <w:rsid w:val="00C47C92"/>
    <w:rsid w:val="00C47F5E"/>
    <w:rsid w:val="00C51435"/>
    <w:rsid w:val="00C517DB"/>
    <w:rsid w:val="00C56681"/>
    <w:rsid w:val="00C70D56"/>
    <w:rsid w:val="00C723AE"/>
    <w:rsid w:val="00C809E4"/>
    <w:rsid w:val="00C83F4E"/>
    <w:rsid w:val="00C84E27"/>
    <w:rsid w:val="00C97CBC"/>
    <w:rsid w:val="00CA0A65"/>
    <w:rsid w:val="00CA375A"/>
    <w:rsid w:val="00CA732C"/>
    <w:rsid w:val="00CB2205"/>
    <w:rsid w:val="00CB3269"/>
    <w:rsid w:val="00CB784F"/>
    <w:rsid w:val="00CE2A1B"/>
    <w:rsid w:val="00CE75F3"/>
    <w:rsid w:val="00CF64A9"/>
    <w:rsid w:val="00D0112B"/>
    <w:rsid w:val="00D072ED"/>
    <w:rsid w:val="00D12804"/>
    <w:rsid w:val="00D20441"/>
    <w:rsid w:val="00D3082A"/>
    <w:rsid w:val="00D310D8"/>
    <w:rsid w:val="00D34A90"/>
    <w:rsid w:val="00D41221"/>
    <w:rsid w:val="00D43516"/>
    <w:rsid w:val="00D77C01"/>
    <w:rsid w:val="00DA2971"/>
    <w:rsid w:val="00DB052D"/>
    <w:rsid w:val="00DC685D"/>
    <w:rsid w:val="00DD5041"/>
    <w:rsid w:val="00DF02C6"/>
    <w:rsid w:val="00DF432C"/>
    <w:rsid w:val="00E013B8"/>
    <w:rsid w:val="00E22096"/>
    <w:rsid w:val="00E31A90"/>
    <w:rsid w:val="00E34483"/>
    <w:rsid w:val="00E377F4"/>
    <w:rsid w:val="00E43D34"/>
    <w:rsid w:val="00E458A5"/>
    <w:rsid w:val="00E60717"/>
    <w:rsid w:val="00E63854"/>
    <w:rsid w:val="00E74AC7"/>
    <w:rsid w:val="00E75E95"/>
    <w:rsid w:val="00E82E58"/>
    <w:rsid w:val="00E86AA7"/>
    <w:rsid w:val="00E93753"/>
    <w:rsid w:val="00E95FC3"/>
    <w:rsid w:val="00EA07B7"/>
    <w:rsid w:val="00EB36B9"/>
    <w:rsid w:val="00EB6A65"/>
    <w:rsid w:val="00EC12BD"/>
    <w:rsid w:val="00EC4301"/>
    <w:rsid w:val="00ED1960"/>
    <w:rsid w:val="00EE0274"/>
    <w:rsid w:val="00EF03A1"/>
    <w:rsid w:val="00EF3C76"/>
    <w:rsid w:val="00F00041"/>
    <w:rsid w:val="00F0187E"/>
    <w:rsid w:val="00F02BAC"/>
    <w:rsid w:val="00F10BFC"/>
    <w:rsid w:val="00F12D67"/>
    <w:rsid w:val="00F2478D"/>
    <w:rsid w:val="00F255B4"/>
    <w:rsid w:val="00F3387D"/>
    <w:rsid w:val="00F35BAD"/>
    <w:rsid w:val="00F4078E"/>
    <w:rsid w:val="00F45D9E"/>
    <w:rsid w:val="00F51D66"/>
    <w:rsid w:val="00F51ED5"/>
    <w:rsid w:val="00F550C3"/>
    <w:rsid w:val="00F61DB3"/>
    <w:rsid w:val="00F75B7C"/>
    <w:rsid w:val="00F8224F"/>
    <w:rsid w:val="00F91913"/>
    <w:rsid w:val="00F95849"/>
    <w:rsid w:val="00FA0407"/>
    <w:rsid w:val="00FA3B25"/>
    <w:rsid w:val="00FA4FC7"/>
    <w:rsid w:val="00FA6CFB"/>
    <w:rsid w:val="00FB485E"/>
    <w:rsid w:val="00FC0BA6"/>
    <w:rsid w:val="00FC27FC"/>
    <w:rsid w:val="00FC78BB"/>
    <w:rsid w:val="00FE4BD6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3E9B1"/>
  <w15:chartTrackingRefBased/>
  <w15:docId w15:val="{CEE5AAE3-00C5-49F0-BC52-CDC67A65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70D6"/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i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both"/>
      <w:outlineLvl w:val="2"/>
    </w:pPr>
    <w:rPr>
      <w:i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sz w:val="28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aliases w:val="ho,header odd,first,heading one,Odd Header,h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Nadpis2Char">
    <w:name w:val="Nadpis 2 Char"/>
    <w:link w:val="Nadpis2"/>
    <w:rsid w:val="008D70D6"/>
    <w:rPr>
      <w:b/>
      <w:i/>
      <w:sz w:val="28"/>
      <w:u w:val="single"/>
    </w:rPr>
  </w:style>
  <w:style w:type="character" w:customStyle="1" w:styleId="ZkladntextChar">
    <w:name w:val="Základní text Char"/>
    <w:link w:val="Zkladntext"/>
    <w:rsid w:val="008D70D6"/>
    <w:rPr>
      <w:sz w:val="24"/>
    </w:rPr>
  </w:style>
  <w:style w:type="paragraph" w:styleId="Textbubliny">
    <w:name w:val="Balloon Text"/>
    <w:basedOn w:val="Normln"/>
    <w:link w:val="TextbublinyChar"/>
    <w:rsid w:val="00AE46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E46BC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F45D9E"/>
    <w:rPr>
      <w:sz w:val="24"/>
    </w:rPr>
  </w:style>
  <w:style w:type="character" w:customStyle="1" w:styleId="Nadpis3Char">
    <w:name w:val="Nadpis 3 Char"/>
    <w:link w:val="Nadpis3"/>
    <w:rsid w:val="00584850"/>
    <w:rPr>
      <w:i/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D3082A"/>
    <w:pPr>
      <w:spacing w:line="259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qFormat/>
    <w:rsid w:val="001508A8"/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aliases w:val="ho Char,header odd Char,first Char,heading one Char,Odd Header Char,h Char"/>
    <w:link w:val="Zhlav"/>
    <w:rsid w:val="00FF6A91"/>
    <w:rPr>
      <w:sz w:val="24"/>
    </w:rPr>
  </w:style>
  <w:style w:type="table" w:styleId="Mkatabulky">
    <w:name w:val="Table Grid"/>
    <w:basedOn w:val="Normlntabulka"/>
    <w:rsid w:val="006F3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evChar">
    <w:name w:val="Název Char"/>
    <w:link w:val="Nzev"/>
    <w:uiPriority w:val="99"/>
    <w:rsid w:val="00B87A38"/>
    <w:rPr>
      <w:b/>
      <w:sz w:val="28"/>
    </w:rPr>
  </w:style>
  <w:style w:type="character" w:styleId="Odkaznakoment">
    <w:name w:val="annotation reference"/>
    <w:rsid w:val="00F10BFC"/>
    <w:rPr>
      <w:sz w:val="16"/>
      <w:szCs w:val="16"/>
    </w:rPr>
  </w:style>
  <w:style w:type="paragraph" w:styleId="Textkomente">
    <w:name w:val="annotation text"/>
    <w:basedOn w:val="Normln"/>
    <w:link w:val="TextkomenteChar"/>
    <w:rsid w:val="00F10BFC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F10BFC"/>
  </w:style>
  <w:style w:type="paragraph" w:styleId="Pedmtkomente">
    <w:name w:val="annotation subject"/>
    <w:basedOn w:val="Textkomente"/>
    <w:next w:val="Textkomente"/>
    <w:link w:val="PedmtkomenteChar"/>
    <w:rsid w:val="00F10BFC"/>
    <w:rPr>
      <w:b/>
      <w:bCs/>
    </w:rPr>
  </w:style>
  <w:style w:type="character" w:customStyle="1" w:styleId="PedmtkomenteChar">
    <w:name w:val="Předmět komentáře Char"/>
    <w:link w:val="Pedmtkomente"/>
    <w:rsid w:val="00F10BFC"/>
    <w:rPr>
      <w:b/>
      <w:bCs/>
    </w:rPr>
  </w:style>
  <w:style w:type="character" w:styleId="Hypertextovodkaz">
    <w:name w:val="Hyperlink"/>
    <w:rsid w:val="003D418A"/>
    <w:rPr>
      <w:color w:val="0563C1"/>
      <w:u w:val="single"/>
    </w:rPr>
  </w:style>
  <w:style w:type="paragraph" w:styleId="Zkladntextodsazen">
    <w:name w:val="Body Text Indent"/>
    <w:basedOn w:val="Normln"/>
    <w:link w:val="ZkladntextodsazenChar"/>
    <w:rsid w:val="005B5F5C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5B5F5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tsm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DFAB3-E399-4640-8311-C334C9945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1042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TSML a. s.</Company>
  <LinksUpToDate>false</LinksUpToDate>
  <CharactersWithSpaces>7069</CharactersWithSpaces>
  <SharedDoc>false</SharedDoc>
  <HLinks>
    <vt:vector size="6" baseType="variant">
      <vt:variant>
        <vt:i4>5439602</vt:i4>
      </vt:variant>
      <vt:variant>
        <vt:i4>0</vt:i4>
      </vt:variant>
      <vt:variant>
        <vt:i4>0</vt:i4>
      </vt:variant>
      <vt:variant>
        <vt:i4>5</vt:i4>
      </vt:variant>
      <vt:variant>
        <vt:lpwstr>mailto:fakturace@tsml.cz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Šrajbrová</dc:creator>
  <cp:keywords/>
  <cp:lastModifiedBy>Ciklová Markéta, Ing</cp:lastModifiedBy>
  <cp:revision>3</cp:revision>
  <cp:lastPrinted>2020-06-23T08:07:00Z</cp:lastPrinted>
  <dcterms:created xsi:type="dcterms:W3CDTF">2024-04-25T07:35:00Z</dcterms:created>
  <dcterms:modified xsi:type="dcterms:W3CDTF">2024-04-25T07:35:00Z</dcterms:modified>
</cp:coreProperties>
</file>