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50EB73F8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26401B">
        <w:rPr>
          <w:sz w:val="22"/>
          <w:szCs w:val="22"/>
        </w:rPr>
        <w:t>…………………..</w:t>
      </w:r>
      <w:r w:rsidRPr="007D54F6">
        <w:rPr>
          <w:sz w:val="22"/>
          <w:szCs w:val="22"/>
        </w:rPr>
        <w:t>, ředitel</w:t>
      </w:r>
    </w:p>
    <w:p w14:paraId="31C5A6F9" w14:textId="2ABD70B9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26401B">
        <w:rPr>
          <w:sz w:val="22"/>
          <w:szCs w:val="22"/>
        </w:rPr>
        <w:t>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53FB2A32" w:rsidR="009D3AA4" w:rsidRPr="00F7752E" w:rsidRDefault="00C71D7E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MARCCRAB GASTRO CB s.r.o.</w:t>
      </w:r>
    </w:p>
    <w:p w14:paraId="5EE075F4" w14:textId="7CE0C953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71D7E">
        <w:rPr>
          <w:rFonts w:ascii="Times New Roman" w:hAnsi="Times New Roman"/>
          <w:b w:val="0"/>
          <w:sz w:val="22"/>
          <w:szCs w:val="22"/>
        </w:rPr>
        <w:t>Sokolovská 1605/66, 120 00 Praha</w:t>
      </w:r>
    </w:p>
    <w:p w14:paraId="6419FF1C" w14:textId="3D5CD9CC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C71D7E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C71D7E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C71D7E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C71D7E">
        <w:rPr>
          <w:rFonts w:ascii="Times New Roman" w:hAnsi="Times New Roman"/>
          <w:b w:val="0"/>
          <w:sz w:val="22"/>
          <w:szCs w:val="22"/>
        </w:rPr>
        <w:t>214195</w:t>
      </w:r>
    </w:p>
    <w:p w14:paraId="545CBD79" w14:textId="1FDA5D9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71D7E">
        <w:rPr>
          <w:rFonts w:ascii="Times New Roman" w:hAnsi="Times New Roman"/>
          <w:b w:val="0"/>
          <w:sz w:val="22"/>
          <w:szCs w:val="22"/>
        </w:rPr>
        <w:t>01984390</w:t>
      </w:r>
    </w:p>
    <w:p w14:paraId="04DD9ECE" w14:textId="47B4BA4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71D7E">
        <w:rPr>
          <w:rFonts w:ascii="Times New Roman" w:hAnsi="Times New Roman"/>
          <w:b w:val="0"/>
          <w:sz w:val="22"/>
          <w:szCs w:val="22"/>
        </w:rPr>
        <w:t>CZ01984390</w:t>
      </w:r>
    </w:p>
    <w:p w14:paraId="45220221" w14:textId="5D558BE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26401B">
        <w:rPr>
          <w:rFonts w:ascii="Times New Roman" w:hAnsi="Times New Roman"/>
          <w:b w:val="0"/>
          <w:sz w:val="22"/>
          <w:szCs w:val="22"/>
        </w:rPr>
        <w:t>……………</w:t>
      </w:r>
    </w:p>
    <w:p w14:paraId="738BC35C" w14:textId="06616A20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26401B">
        <w:rPr>
          <w:rFonts w:ascii="Times New Roman" w:hAnsi="Times New Roman"/>
          <w:b w:val="0"/>
          <w:sz w:val="22"/>
          <w:szCs w:val="22"/>
        </w:rPr>
        <w:t>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16A8C33A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4D30DE">
        <w:rPr>
          <w:b/>
          <w:sz w:val="22"/>
          <w:szCs w:val="22"/>
          <w:u w:val="single"/>
        </w:rPr>
        <w:t xml:space="preserve">Nákup </w:t>
      </w:r>
      <w:r w:rsidR="004D30DE">
        <w:rPr>
          <w:b/>
          <w:u w:val="single"/>
        </w:rPr>
        <w:t>vík na gastronádoby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570286">
        <w:rPr>
          <w:sz w:val="22"/>
          <w:szCs w:val="22"/>
        </w:rPr>
        <w:t>3408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4FC38C5A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4D30DE">
        <w:rPr>
          <w:sz w:val="22"/>
          <w:szCs w:val="22"/>
        </w:rPr>
        <w:t xml:space="preserve"> </w:t>
      </w:r>
      <w:r w:rsidR="004D30DE" w:rsidRPr="004D30DE">
        <w:rPr>
          <w:b/>
          <w:sz w:val="22"/>
          <w:szCs w:val="22"/>
        </w:rPr>
        <w:t>Nákup vík na gastronádoby</w:t>
      </w:r>
      <w:r w:rsidRPr="002E0AFA">
        <w:rPr>
          <w:sz w:val="22"/>
          <w:szCs w:val="22"/>
        </w:rPr>
        <w:t xml:space="preserve"> </w:t>
      </w:r>
      <w:r w:rsidR="004D30DE">
        <w:rPr>
          <w:b/>
          <w:sz w:val="22"/>
          <w:szCs w:val="22"/>
        </w:rPr>
        <w:t>80ks typ: GN ½ - 40ks, GN 1/3 - 40ks</w:t>
      </w:r>
      <w:r w:rsidR="00C92AB3">
        <w:rPr>
          <w:b/>
          <w:sz w:val="22"/>
          <w:szCs w:val="22"/>
        </w:rPr>
        <w:t>,</w:t>
      </w:r>
      <w:r w:rsidR="009C5955">
        <w:rPr>
          <w:b/>
          <w:sz w:val="22"/>
          <w:szCs w:val="22"/>
        </w:rPr>
        <w:t xml:space="preserve"> vč. dopravy, vykládky na místě určení, kompletní montáže, zaškolení zaměstnanců Zadavatele k obsluze, dodání návodu k užívání vč. technického popisu a dalších dokumentů – v českém jazyce ( protokol o shodě, záruční list, atd.) nejdéle do </w:t>
      </w:r>
      <w:r w:rsidR="004C6DC3">
        <w:rPr>
          <w:b/>
          <w:sz w:val="22"/>
          <w:szCs w:val="22"/>
        </w:rPr>
        <w:t>1</w:t>
      </w:r>
      <w:r w:rsidR="00BF5FDC">
        <w:rPr>
          <w:b/>
          <w:sz w:val="22"/>
          <w:szCs w:val="22"/>
        </w:rPr>
        <w:t xml:space="preserve"> </w:t>
      </w:r>
      <w:r w:rsidR="004C6DC3">
        <w:rPr>
          <w:b/>
          <w:sz w:val="22"/>
          <w:szCs w:val="22"/>
        </w:rPr>
        <w:t>měsíce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69AB0D52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4C6DC3">
        <w:rPr>
          <w:rFonts w:eastAsia="Calibri"/>
          <w:b/>
          <w:bCs/>
          <w:sz w:val="22"/>
          <w:szCs w:val="22"/>
        </w:rPr>
        <w:t>1 měsíce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1239D0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C71D7E">
        <w:rPr>
          <w:b/>
          <w:sz w:val="22"/>
          <w:szCs w:val="22"/>
        </w:rPr>
        <w:t>95.084,-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C71D7E">
        <w:rPr>
          <w:sz w:val="22"/>
          <w:szCs w:val="22"/>
        </w:rPr>
        <w:t>19.967,64,-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C71D7E">
        <w:rPr>
          <w:b/>
          <w:sz w:val="22"/>
          <w:szCs w:val="22"/>
        </w:rPr>
        <w:t>115.051,64,-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5960EBE6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……………………….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46E97115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7140FD">
        <w:rPr>
          <w:rFonts w:ascii="Times New Roman" w:hAnsi="Times New Roman"/>
          <w:b w:val="0"/>
          <w:sz w:val="22"/>
          <w:szCs w:val="22"/>
        </w:rPr>
        <w:t xml:space="preserve"> s DPH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5D415702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bookmarkStart w:id="0" w:name="_Hlk164675810"/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  <w:bookmarkEnd w:id="0"/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20E80EC2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26401B">
        <w:rPr>
          <w:color w:val="000000"/>
          <w:sz w:val="22"/>
          <w:szCs w:val="22"/>
        </w:rPr>
        <w:t>24.4.2024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C71D7E">
        <w:rPr>
          <w:color w:val="000000"/>
          <w:sz w:val="22"/>
          <w:szCs w:val="22"/>
        </w:rPr>
        <w:t> Praze,</w:t>
      </w:r>
      <w:r w:rsidRPr="007D54F6">
        <w:rPr>
          <w:color w:val="000000"/>
          <w:sz w:val="22"/>
          <w:szCs w:val="22"/>
        </w:rPr>
        <w:t xml:space="preserve"> dne </w:t>
      </w:r>
      <w:r w:rsidR="0026401B">
        <w:rPr>
          <w:color w:val="000000"/>
          <w:sz w:val="22"/>
          <w:szCs w:val="22"/>
        </w:rPr>
        <w:t>23.4.2024</w:t>
      </w:r>
      <w:bookmarkStart w:id="1" w:name="_GoBack"/>
      <w:bookmarkEnd w:id="1"/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7215A7C3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68FE62E0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C71D7E">
        <w:rPr>
          <w:color w:val="000000"/>
          <w:sz w:val="22"/>
          <w:szCs w:val="22"/>
        </w:rPr>
        <w:t>jednatel</w:t>
      </w:r>
    </w:p>
    <w:p w14:paraId="2F391DFB" w14:textId="332EDE40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C71D7E">
        <w:rPr>
          <w:color w:val="000000"/>
          <w:sz w:val="22"/>
          <w:szCs w:val="22"/>
        </w:rPr>
        <w:t xml:space="preserve">                           </w:t>
      </w:r>
      <w:r w:rsidR="00C71D7E">
        <w:rPr>
          <w:color w:val="000000"/>
        </w:rPr>
        <w:t>MARCCRAB GASTRO CB s.r.o.</w:t>
      </w:r>
    </w:p>
    <w:p w14:paraId="28110CE7" w14:textId="3128B09E" w:rsidR="00C71D7E" w:rsidRDefault="00C71D7E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010C67CE" w14:textId="53F70B79" w:rsidR="00C71D7E" w:rsidRDefault="00C71D7E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77FFF4B" w14:textId="1471B97D" w:rsidR="00C71D7E" w:rsidRDefault="00C71D7E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69E5B0B2" w14:textId="2BB89706" w:rsidR="00C71D7E" w:rsidRDefault="00C71D7E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1EB0721" w14:textId="6A58A10A" w:rsidR="00C71D7E" w:rsidRPr="00C71D7E" w:rsidRDefault="00C71D7E" w:rsidP="00C71D7E">
      <w:pPr>
        <w:pStyle w:val="Styl"/>
        <w:numPr>
          <w:ilvl w:val="0"/>
          <w:numId w:val="34"/>
        </w:numPr>
        <w:tabs>
          <w:tab w:val="center" w:pos="2268"/>
          <w:tab w:val="left" w:pos="5670"/>
        </w:tabs>
        <w:rPr>
          <w:b/>
          <w:color w:val="000000"/>
        </w:rPr>
      </w:pPr>
      <w:r w:rsidRPr="007D54F6">
        <w:rPr>
          <w:noProof/>
          <w:color w:val="000000" w:themeColor="text1"/>
          <w:sz w:val="22"/>
          <w:szCs w:val="22"/>
        </w:rPr>
        <w:lastRenderedPageBreak/>
        <w:t>Specifikace předmětu plnění  - podrobný rozpis nabídkové ceny</w:t>
      </w:r>
    </w:p>
    <w:p w14:paraId="0F9B2AC3" w14:textId="77777777" w:rsidR="00C71D7E" w:rsidRPr="00C71D7E" w:rsidRDefault="00C71D7E" w:rsidP="00C71D7E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Cs w:val="23"/>
          <w:lang w:eastAsia="en-US"/>
        </w:rPr>
      </w:pPr>
    </w:p>
    <w:p w14:paraId="4EC42613" w14:textId="77777777" w:rsidR="00C71D7E" w:rsidRPr="00C71D7E" w:rsidRDefault="00C71D7E" w:rsidP="00C71D7E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i/>
          <w:iCs/>
          <w:color w:val="000000"/>
          <w:sz w:val="32"/>
          <w:szCs w:val="28"/>
          <w:lang w:eastAsia="en-US"/>
        </w:rPr>
      </w:pPr>
      <w:r w:rsidRPr="00C71D7E">
        <w:rPr>
          <w:rFonts w:ascii="Calibri" w:eastAsiaTheme="minorHAnsi" w:hAnsi="Calibri" w:cs="Calibri"/>
          <w:b/>
          <w:bCs/>
          <w:szCs w:val="23"/>
          <w:lang w:eastAsia="en-US"/>
        </w:rPr>
        <w:t>Tabulka specifikace předmětu plnění včetně cen</w:t>
      </w:r>
    </w:p>
    <w:tbl>
      <w:tblPr>
        <w:tblpPr w:leftFromText="141" w:rightFromText="141" w:vertAnchor="text" w:horzAnchor="margin" w:tblpX="-436" w:tblpY="-3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084"/>
        <w:gridCol w:w="1437"/>
        <w:gridCol w:w="965"/>
        <w:gridCol w:w="1361"/>
        <w:gridCol w:w="1422"/>
        <w:gridCol w:w="865"/>
        <w:gridCol w:w="1361"/>
      </w:tblGrid>
      <w:tr w:rsidR="00C71D7E" w:rsidRPr="00C71D7E" w14:paraId="3DC244F1" w14:textId="77777777" w:rsidTr="00E75833">
        <w:trPr>
          <w:trHeight w:val="1233"/>
        </w:trPr>
        <w:tc>
          <w:tcPr>
            <w:tcW w:w="580" w:type="dxa"/>
            <w:shd w:val="clear" w:color="auto" w:fill="auto"/>
          </w:tcPr>
          <w:p w14:paraId="55F57953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Polč</w:t>
            </w:r>
            <w:proofErr w:type="spellEnd"/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14:paraId="453C3780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1437" w:type="dxa"/>
            <w:shd w:val="clear" w:color="auto" w:fill="auto"/>
          </w:tcPr>
          <w:p w14:paraId="3229F4E1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Cena v Kč </w:t>
            </w:r>
          </w:p>
          <w:p w14:paraId="0EA42B3E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bez DPH / ks</w:t>
            </w:r>
          </w:p>
        </w:tc>
        <w:tc>
          <w:tcPr>
            <w:tcW w:w="965" w:type="dxa"/>
            <w:shd w:val="clear" w:color="auto" w:fill="auto"/>
          </w:tcPr>
          <w:p w14:paraId="4B1B9249" w14:textId="77777777" w:rsidR="00C71D7E" w:rsidRPr="00C71D7E" w:rsidRDefault="00C71D7E" w:rsidP="00C71D7E">
            <w:pPr>
              <w:spacing w:before="120" w:after="160" w:line="259" w:lineRule="auto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počet </w:t>
            </w:r>
          </w:p>
          <w:p w14:paraId="7BC7CD2A" w14:textId="77777777" w:rsidR="00C71D7E" w:rsidRPr="00C71D7E" w:rsidRDefault="00C71D7E" w:rsidP="00C71D7E">
            <w:pPr>
              <w:spacing w:before="120" w:after="160" w:line="259" w:lineRule="auto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361" w:type="dxa"/>
            <w:shd w:val="clear" w:color="auto" w:fill="auto"/>
          </w:tcPr>
          <w:p w14:paraId="3B16AB82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Celková cena v Kč bez DPH</w:t>
            </w:r>
          </w:p>
        </w:tc>
        <w:tc>
          <w:tcPr>
            <w:tcW w:w="1422" w:type="dxa"/>
            <w:shd w:val="clear" w:color="auto" w:fill="auto"/>
          </w:tcPr>
          <w:p w14:paraId="6FBE7FC0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Celková cena v Kč vč. DPH</w:t>
            </w:r>
          </w:p>
        </w:tc>
        <w:tc>
          <w:tcPr>
            <w:tcW w:w="865" w:type="dxa"/>
            <w:shd w:val="clear" w:color="auto" w:fill="auto"/>
          </w:tcPr>
          <w:p w14:paraId="7A37EDAB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Sazba </w:t>
            </w:r>
          </w:p>
          <w:p w14:paraId="4EA5C250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DPH </w:t>
            </w:r>
          </w:p>
          <w:p w14:paraId="481C6761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v % </w:t>
            </w:r>
          </w:p>
        </w:tc>
        <w:tc>
          <w:tcPr>
            <w:tcW w:w="1361" w:type="dxa"/>
            <w:shd w:val="clear" w:color="auto" w:fill="auto"/>
          </w:tcPr>
          <w:p w14:paraId="04B6D8CC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Poznámka:</w:t>
            </w:r>
          </w:p>
          <w:p w14:paraId="75A7B471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Název zboží</w:t>
            </w:r>
          </w:p>
        </w:tc>
      </w:tr>
      <w:tr w:rsidR="00C71D7E" w:rsidRPr="00C71D7E" w14:paraId="73FD049C" w14:textId="77777777" w:rsidTr="00E75833">
        <w:trPr>
          <w:trHeight w:val="884"/>
        </w:trPr>
        <w:tc>
          <w:tcPr>
            <w:tcW w:w="580" w:type="dxa"/>
            <w:shd w:val="clear" w:color="auto" w:fill="auto"/>
          </w:tcPr>
          <w:p w14:paraId="60DBAEFC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84" w:type="dxa"/>
            <w:shd w:val="clear" w:color="auto" w:fill="auto"/>
          </w:tcPr>
          <w:p w14:paraId="66D4E6CA" w14:textId="77777777" w:rsidR="00C71D7E" w:rsidRPr="00C71D7E" w:rsidRDefault="00C71D7E" w:rsidP="00C71D7E">
            <w:pPr>
              <w:spacing w:before="120" w:after="12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10A6CD25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shd w:val="clear" w:color="auto" w:fill="auto"/>
          </w:tcPr>
          <w:p w14:paraId="6A18BE49" w14:textId="77777777" w:rsidR="00C71D7E" w:rsidRPr="00C71D7E" w:rsidRDefault="00C71D7E" w:rsidP="00C71D7E">
            <w:pPr>
              <w:spacing w:before="120" w:after="120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61" w:type="dxa"/>
            <w:shd w:val="clear" w:color="auto" w:fill="auto"/>
          </w:tcPr>
          <w:p w14:paraId="5248D90D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14:paraId="4FBB9C17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shd w:val="clear" w:color="auto" w:fill="auto"/>
          </w:tcPr>
          <w:p w14:paraId="6B600C6C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5EC984EB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C71D7E" w:rsidRPr="00C71D7E" w14:paraId="3175BD75" w14:textId="77777777" w:rsidTr="00E75833">
        <w:trPr>
          <w:trHeight w:val="689"/>
        </w:trPr>
        <w:tc>
          <w:tcPr>
            <w:tcW w:w="580" w:type="dxa"/>
            <w:shd w:val="clear" w:color="auto" w:fill="auto"/>
          </w:tcPr>
          <w:p w14:paraId="4CA6BB53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84" w:type="dxa"/>
            <w:shd w:val="clear" w:color="auto" w:fill="auto"/>
          </w:tcPr>
          <w:p w14:paraId="336D334C" w14:textId="77777777" w:rsidR="00C71D7E" w:rsidRPr="00C71D7E" w:rsidRDefault="00C71D7E" w:rsidP="00C71D7E">
            <w:pPr>
              <w:spacing w:before="120" w:after="12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F55C3C5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shd w:val="clear" w:color="auto" w:fill="auto"/>
          </w:tcPr>
          <w:p w14:paraId="1844629E" w14:textId="77777777" w:rsidR="00C71D7E" w:rsidRPr="00C71D7E" w:rsidRDefault="00C71D7E" w:rsidP="00C71D7E">
            <w:pPr>
              <w:spacing w:before="120" w:after="120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61" w:type="dxa"/>
            <w:shd w:val="clear" w:color="auto" w:fill="auto"/>
          </w:tcPr>
          <w:p w14:paraId="1287F93B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14:paraId="0570F7E5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shd w:val="clear" w:color="auto" w:fill="auto"/>
          </w:tcPr>
          <w:p w14:paraId="59E2CD27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6CE53D83" w14:textId="77777777" w:rsidR="00C71D7E" w:rsidRPr="00C71D7E" w:rsidRDefault="00C71D7E" w:rsidP="00C71D7E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C71D7E" w:rsidRPr="00C71D7E" w14:paraId="38D618F6" w14:textId="77777777" w:rsidTr="00E75833">
        <w:trPr>
          <w:trHeight w:val="671"/>
        </w:trPr>
        <w:tc>
          <w:tcPr>
            <w:tcW w:w="5066" w:type="dxa"/>
            <w:gridSpan w:val="4"/>
            <w:shd w:val="clear" w:color="auto" w:fill="auto"/>
          </w:tcPr>
          <w:p w14:paraId="0CF1F684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C71D7E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                             Celková nabídková cena:</w:t>
            </w:r>
          </w:p>
        </w:tc>
        <w:tc>
          <w:tcPr>
            <w:tcW w:w="1361" w:type="dxa"/>
            <w:shd w:val="clear" w:color="auto" w:fill="auto"/>
          </w:tcPr>
          <w:p w14:paraId="398AE498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14:paraId="20706F5E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146D1BF4" w14:textId="77777777" w:rsidR="00C71D7E" w:rsidRPr="00C71D7E" w:rsidRDefault="00C71D7E" w:rsidP="00C71D7E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08886D7D" w14:textId="77777777" w:rsidR="00C71D7E" w:rsidRPr="00C71D7E" w:rsidRDefault="00C71D7E" w:rsidP="00C71D7E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HAnsi" w:hAnsiTheme="minorHAnsi" w:cstheme="minorHAnsi"/>
          <w:b/>
          <w:bCs/>
          <w:sz w:val="26"/>
          <w:szCs w:val="26"/>
          <w:u w:val="single"/>
          <w:lang w:eastAsia="en-US"/>
        </w:rPr>
      </w:pPr>
    </w:p>
    <w:p w14:paraId="71456E08" w14:textId="77777777" w:rsidR="00C71D7E" w:rsidRDefault="00C71D7E" w:rsidP="00C71D7E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1D0F4C1F" w14:textId="77777777" w:rsidR="00C71D7E" w:rsidRDefault="00C71D7E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C71D7E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FF18" w14:textId="77777777" w:rsidR="00D4335E" w:rsidRDefault="00D4335E" w:rsidP="00583CC5">
      <w:r>
        <w:separator/>
      </w:r>
    </w:p>
  </w:endnote>
  <w:endnote w:type="continuationSeparator" w:id="0">
    <w:p w14:paraId="24D58C98" w14:textId="77777777" w:rsidR="00D4335E" w:rsidRDefault="00D4335E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12A9AF79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1B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A9CA" w14:textId="77777777" w:rsidR="00D4335E" w:rsidRDefault="00D4335E" w:rsidP="00583CC5">
      <w:r>
        <w:separator/>
      </w:r>
    </w:p>
  </w:footnote>
  <w:footnote w:type="continuationSeparator" w:id="0">
    <w:p w14:paraId="53606206" w14:textId="77777777" w:rsidR="00D4335E" w:rsidRDefault="00D4335E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65B83"/>
    <w:multiLevelType w:val="hybridMultilevel"/>
    <w:tmpl w:val="56EE7BBE"/>
    <w:lvl w:ilvl="0" w:tplc="8EC48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2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6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3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33"/>
  </w:num>
  <w:num w:numId="7">
    <w:abstractNumId w:val="22"/>
  </w:num>
  <w:num w:numId="8">
    <w:abstractNumId w:val="25"/>
  </w:num>
  <w:num w:numId="9">
    <w:abstractNumId w:val="24"/>
  </w:num>
  <w:num w:numId="10">
    <w:abstractNumId w:val="32"/>
  </w:num>
  <w:num w:numId="11">
    <w:abstractNumId w:val="17"/>
  </w:num>
  <w:num w:numId="12">
    <w:abstractNumId w:val="15"/>
  </w:num>
  <w:num w:numId="13">
    <w:abstractNumId w:val="23"/>
  </w:num>
  <w:num w:numId="14">
    <w:abstractNumId w:val="14"/>
  </w:num>
  <w:num w:numId="15">
    <w:abstractNumId w:val="9"/>
  </w:num>
  <w:num w:numId="16">
    <w:abstractNumId w:val="4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1"/>
  </w:num>
  <w:num w:numId="21">
    <w:abstractNumId w:val="19"/>
  </w:num>
  <w:num w:numId="22">
    <w:abstractNumId w:val="26"/>
  </w:num>
  <w:num w:numId="23">
    <w:abstractNumId w:val="29"/>
  </w:num>
  <w:num w:numId="24">
    <w:abstractNumId w:val="5"/>
  </w:num>
  <w:num w:numId="25">
    <w:abstractNumId w:val="20"/>
  </w:num>
  <w:num w:numId="26">
    <w:abstractNumId w:val="21"/>
  </w:num>
  <w:num w:numId="27">
    <w:abstractNumId w:val="18"/>
  </w:num>
  <w:num w:numId="28">
    <w:abstractNumId w:val="10"/>
  </w:num>
  <w:num w:numId="29">
    <w:abstractNumId w:val="28"/>
  </w:num>
  <w:num w:numId="30">
    <w:abstractNumId w:val="16"/>
  </w:num>
  <w:num w:numId="31">
    <w:abstractNumId w:val="30"/>
  </w:num>
  <w:num w:numId="32">
    <w:abstractNumId w:val="6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6401B"/>
    <w:rsid w:val="0028789E"/>
    <w:rsid w:val="002E0AFA"/>
    <w:rsid w:val="00312A80"/>
    <w:rsid w:val="00344243"/>
    <w:rsid w:val="004C6DC3"/>
    <w:rsid w:val="004D30DE"/>
    <w:rsid w:val="00565069"/>
    <w:rsid w:val="00570286"/>
    <w:rsid w:val="00571502"/>
    <w:rsid w:val="00583CC5"/>
    <w:rsid w:val="0059786B"/>
    <w:rsid w:val="005B540D"/>
    <w:rsid w:val="005E6862"/>
    <w:rsid w:val="00675238"/>
    <w:rsid w:val="00697787"/>
    <w:rsid w:val="007140FD"/>
    <w:rsid w:val="007254D9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78F7"/>
    <w:rsid w:val="00A03C83"/>
    <w:rsid w:val="00A33670"/>
    <w:rsid w:val="00AB0FD4"/>
    <w:rsid w:val="00AC704E"/>
    <w:rsid w:val="00AD3B63"/>
    <w:rsid w:val="00BF45DF"/>
    <w:rsid w:val="00BF5FDC"/>
    <w:rsid w:val="00C4114B"/>
    <w:rsid w:val="00C5302C"/>
    <w:rsid w:val="00C63BC4"/>
    <w:rsid w:val="00C71D7E"/>
    <w:rsid w:val="00C92AB3"/>
    <w:rsid w:val="00CD0246"/>
    <w:rsid w:val="00CD6EC9"/>
    <w:rsid w:val="00D2067A"/>
    <w:rsid w:val="00D4335E"/>
    <w:rsid w:val="00D87F4B"/>
    <w:rsid w:val="00E33B13"/>
    <w:rsid w:val="00E62CF5"/>
    <w:rsid w:val="00EE0C73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AF3C-0E73-40DD-8B9C-C335D925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12415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3</cp:revision>
  <cp:lastPrinted>2024-03-15T09:19:00Z</cp:lastPrinted>
  <dcterms:created xsi:type="dcterms:W3CDTF">2024-04-22T08:57:00Z</dcterms:created>
  <dcterms:modified xsi:type="dcterms:W3CDTF">2024-04-24T08:40:00Z</dcterms:modified>
</cp:coreProperties>
</file>